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b"/>
        <w:tblW w:w="0" w:type="auto"/>
        <w:tblLook w:val="04A0" w:firstRow="1" w:lastRow="0" w:firstColumn="1" w:lastColumn="0" w:noHBand="0" w:noVBand="1"/>
      </w:tblPr>
      <w:tblGrid>
        <w:gridCol w:w="9064"/>
      </w:tblGrid>
      <w:tr w:rsidR="00477C88" w:rsidRPr="00BB5A61" w14:paraId="4DAACA76" w14:textId="77777777" w:rsidTr="00477C88">
        <w:tc>
          <w:tcPr>
            <w:tcW w:w="9064" w:type="dxa"/>
          </w:tcPr>
          <w:p w14:paraId="51558363" w14:textId="6B5DDB2D" w:rsidR="00477C88" w:rsidRPr="00E919A5" w:rsidRDefault="00477C88" w:rsidP="00477C88">
            <w:pPr>
              <w:suppressAutoHyphens/>
              <w:rPr>
                <w:ins w:id="0" w:author="만든 이"/>
                <w:szCs w:val="28"/>
                <w:lang w:val="fi-FI"/>
              </w:rPr>
            </w:pPr>
            <w:ins w:id="1" w:author="만든 이">
              <w:r w:rsidRPr="00E919A5">
                <w:rPr>
                  <w:szCs w:val="28"/>
                  <w:lang w:val="fi-FI"/>
                </w:rPr>
                <w:t xml:space="preserve">Tämä asiakirja sisältää </w:t>
              </w:r>
              <w:r w:rsidRPr="00E919A5">
                <w:rPr>
                  <w:rFonts w:eastAsia="맑은 고딕"/>
                  <w:szCs w:val="28"/>
                  <w:lang w:val="fi-FI" w:eastAsia="ko-KR"/>
                </w:rPr>
                <w:t>Avtozma</w:t>
              </w:r>
              <w:r w:rsidRPr="00E919A5">
                <w:rPr>
                  <w:szCs w:val="28"/>
                  <w:lang w:val="fi-FI"/>
                </w:rPr>
                <w:t xml:space="preserve"> valmistetietojen hyväksytyn tekstin, jossa on korostettu edellisen menettelyn </w:t>
              </w:r>
              <w:r w:rsidRPr="00E919A5">
                <w:rPr>
                  <w:rFonts w:eastAsia="맑은 고딕"/>
                  <w:szCs w:val="28"/>
                  <w:lang w:val="fi-FI" w:eastAsia="ko-KR"/>
                </w:rPr>
                <w:t>(</w:t>
              </w:r>
              <w:r w:rsidRPr="007833F1">
                <w:rPr>
                  <w:rFonts w:eastAsia="맑은 고딕"/>
                  <w:szCs w:val="28"/>
                  <w:lang w:eastAsia="ko-KR"/>
                </w:rPr>
                <w:t>EMA/VR/0000287521</w:t>
              </w:r>
              <w:r w:rsidRPr="00E919A5">
                <w:rPr>
                  <w:rFonts w:eastAsia="맑은 고딕"/>
                  <w:szCs w:val="28"/>
                  <w:lang w:val="fi-FI" w:eastAsia="ko-KR"/>
                </w:rPr>
                <w:t xml:space="preserve">) </w:t>
              </w:r>
              <w:r w:rsidRPr="00E919A5">
                <w:rPr>
                  <w:szCs w:val="28"/>
                  <w:lang w:val="fi-FI"/>
                </w:rPr>
                <w:t>jälkeen valmistetietoihin tehdyt muutokset.</w:t>
              </w:r>
            </w:ins>
          </w:p>
          <w:p w14:paraId="589E4D19" w14:textId="77777777" w:rsidR="00477C88" w:rsidRPr="00E919A5" w:rsidRDefault="00477C88" w:rsidP="00477C88">
            <w:pPr>
              <w:suppressAutoHyphens/>
              <w:rPr>
                <w:ins w:id="2" w:author="만든 이"/>
                <w:szCs w:val="28"/>
                <w:lang w:val="fi-FI"/>
              </w:rPr>
            </w:pPr>
          </w:p>
          <w:p w14:paraId="4C0093A5" w14:textId="77777777" w:rsidR="00477C88" w:rsidRPr="00E919A5" w:rsidRDefault="00477C88" w:rsidP="00477C88">
            <w:pPr>
              <w:rPr>
                <w:ins w:id="3" w:author="만든 이"/>
                <w:szCs w:val="28"/>
                <w:lang w:val="fi-FI"/>
              </w:rPr>
            </w:pPr>
            <w:ins w:id="4" w:author="만든 이">
              <w:r w:rsidRPr="00E919A5">
                <w:rPr>
                  <w:szCs w:val="28"/>
                  <w:lang w:val="fi-FI"/>
                </w:rPr>
                <w:t xml:space="preserve">Lisätietoja on Euroopan lääkeviraston verkkosivustolla osoitteessa </w:t>
              </w:r>
            </w:ins>
          </w:p>
          <w:p w14:paraId="5C1C886E" w14:textId="4D2CF96E" w:rsidR="00477C88" w:rsidRDefault="00477C88">
            <w:pPr>
              <w:pStyle w:val="a4"/>
              <w:ind w:left="0"/>
              <w:pPrChange w:id="5" w:author="만든 이">
                <w:pPr>
                  <w:pStyle w:val="a4"/>
                  <w:ind w:left="0"/>
                  <w:jc w:val="center"/>
                </w:pPr>
              </w:pPrChange>
            </w:pPr>
            <w:ins w:id="6" w:author="만든 이">
              <w:r>
                <w:fldChar w:fldCharType="begin"/>
              </w:r>
              <w:r>
                <w:instrText>HYPERLINK "</w:instrText>
              </w:r>
              <w:r w:rsidRPr="00E919A5">
                <w:instrText>https://www.ema.europa.eu/en/medicines/human/EPAR/</w:instrText>
              </w:r>
              <w:r w:rsidRPr="00E919A5">
                <w:rPr>
                  <w:rFonts w:eastAsia="맑은 고딕"/>
                  <w:noProof/>
                  <w:lang w:eastAsia="ko-KR"/>
                </w:rPr>
                <w:instrText>avtozma</w:instrText>
              </w:r>
              <w:r>
                <w:instrText>"</w:instrText>
              </w:r>
              <w:r>
                <w:fldChar w:fldCharType="separate"/>
              </w:r>
              <w:r w:rsidRPr="00352E72">
                <w:rPr>
                  <w:rStyle w:val="ad"/>
                </w:rPr>
                <w:t>https://www.ema.europa.eu/en/medicines/human/EPAR/</w:t>
              </w:r>
              <w:r w:rsidRPr="00352E72">
                <w:rPr>
                  <w:rStyle w:val="ad"/>
                  <w:rFonts w:eastAsia="맑은 고딕"/>
                  <w:noProof/>
                  <w:lang w:eastAsia="ko-KR"/>
                </w:rPr>
                <w:t>avtozma</w:t>
              </w:r>
              <w:r>
                <w:fldChar w:fldCharType="end"/>
              </w:r>
            </w:ins>
          </w:p>
        </w:tc>
      </w:tr>
    </w:tbl>
    <w:p w14:paraId="6FA8F828" w14:textId="77777777" w:rsidR="003B7027" w:rsidRPr="0028514E" w:rsidRDefault="003B7027" w:rsidP="006E5F9A">
      <w:pPr>
        <w:pStyle w:val="a4"/>
        <w:ind w:left="0"/>
        <w:jc w:val="center"/>
      </w:pPr>
    </w:p>
    <w:p w14:paraId="404505A6" w14:textId="77777777" w:rsidR="003B7027" w:rsidRPr="0028514E" w:rsidRDefault="003B7027" w:rsidP="006E5F9A">
      <w:pPr>
        <w:pStyle w:val="a4"/>
        <w:ind w:left="0"/>
        <w:jc w:val="center"/>
      </w:pPr>
    </w:p>
    <w:p w14:paraId="32F69988" w14:textId="77777777" w:rsidR="003B7027" w:rsidRPr="0028514E" w:rsidRDefault="003B7027" w:rsidP="006E5F9A">
      <w:pPr>
        <w:pStyle w:val="a4"/>
        <w:ind w:left="0"/>
        <w:jc w:val="center"/>
      </w:pPr>
    </w:p>
    <w:p w14:paraId="396CC349" w14:textId="77777777" w:rsidR="003B7027" w:rsidRPr="0028514E" w:rsidRDefault="003B7027" w:rsidP="006E5F9A">
      <w:pPr>
        <w:pStyle w:val="a4"/>
        <w:ind w:left="0"/>
        <w:jc w:val="center"/>
      </w:pPr>
    </w:p>
    <w:p w14:paraId="1C8C88EF" w14:textId="77777777" w:rsidR="003B7027" w:rsidRPr="0028514E" w:rsidRDefault="003B7027" w:rsidP="006E5F9A">
      <w:pPr>
        <w:pStyle w:val="a4"/>
        <w:ind w:left="0"/>
        <w:jc w:val="center"/>
      </w:pPr>
    </w:p>
    <w:p w14:paraId="566E0241" w14:textId="77777777" w:rsidR="003B7027" w:rsidRPr="0028514E" w:rsidRDefault="003B7027" w:rsidP="006E5F9A">
      <w:pPr>
        <w:pStyle w:val="a4"/>
        <w:ind w:left="0"/>
        <w:jc w:val="center"/>
      </w:pPr>
    </w:p>
    <w:p w14:paraId="555951C0" w14:textId="77777777" w:rsidR="003B7027" w:rsidRPr="0028514E" w:rsidRDefault="003B7027" w:rsidP="006E5F9A">
      <w:pPr>
        <w:pStyle w:val="a4"/>
        <w:ind w:left="0"/>
        <w:jc w:val="center"/>
      </w:pPr>
    </w:p>
    <w:p w14:paraId="5EA2204B" w14:textId="77777777" w:rsidR="003B7027" w:rsidRPr="0028514E" w:rsidRDefault="003B7027" w:rsidP="006E5F9A">
      <w:pPr>
        <w:pStyle w:val="a4"/>
        <w:ind w:left="0"/>
        <w:jc w:val="center"/>
      </w:pPr>
    </w:p>
    <w:p w14:paraId="0CBDCC85" w14:textId="77777777" w:rsidR="003B7027" w:rsidRPr="0028514E" w:rsidRDefault="003B7027" w:rsidP="006E5F9A">
      <w:pPr>
        <w:pStyle w:val="a4"/>
        <w:ind w:left="0"/>
        <w:jc w:val="center"/>
      </w:pPr>
    </w:p>
    <w:p w14:paraId="685BB3AD" w14:textId="77777777" w:rsidR="003B7027" w:rsidRPr="0028514E" w:rsidRDefault="003B7027" w:rsidP="006E5F9A">
      <w:pPr>
        <w:pStyle w:val="a4"/>
        <w:ind w:left="0"/>
        <w:jc w:val="center"/>
      </w:pPr>
    </w:p>
    <w:p w14:paraId="2108D7E1" w14:textId="77777777" w:rsidR="003B7027" w:rsidRPr="0028514E" w:rsidRDefault="003B7027" w:rsidP="006E5F9A">
      <w:pPr>
        <w:pStyle w:val="a4"/>
        <w:ind w:left="0"/>
        <w:jc w:val="center"/>
      </w:pPr>
    </w:p>
    <w:p w14:paraId="6B4E9905" w14:textId="77777777" w:rsidR="003B7027" w:rsidRPr="0028514E" w:rsidRDefault="003B7027" w:rsidP="006E5F9A">
      <w:pPr>
        <w:pStyle w:val="a4"/>
        <w:ind w:left="0"/>
        <w:jc w:val="center"/>
      </w:pPr>
    </w:p>
    <w:p w14:paraId="41513D31" w14:textId="77777777" w:rsidR="003B7027" w:rsidRPr="0028514E" w:rsidRDefault="003B7027" w:rsidP="006E5F9A">
      <w:pPr>
        <w:pStyle w:val="a4"/>
        <w:ind w:left="0"/>
        <w:jc w:val="center"/>
      </w:pPr>
    </w:p>
    <w:p w14:paraId="64A55BB0" w14:textId="77777777" w:rsidR="003B7027" w:rsidRPr="0028514E" w:rsidRDefault="003B7027" w:rsidP="006E5F9A">
      <w:pPr>
        <w:pStyle w:val="a4"/>
        <w:tabs>
          <w:tab w:val="left" w:pos="5445"/>
        </w:tabs>
        <w:ind w:left="0"/>
        <w:jc w:val="center"/>
      </w:pPr>
    </w:p>
    <w:p w14:paraId="36BB5571" w14:textId="77777777" w:rsidR="003B7027" w:rsidRPr="0028514E" w:rsidRDefault="003B7027" w:rsidP="006E5F9A">
      <w:pPr>
        <w:pStyle w:val="a4"/>
        <w:ind w:left="0"/>
        <w:jc w:val="center"/>
      </w:pPr>
    </w:p>
    <w:p w14:paraId="4BC9961C" w14:textId="77777777" w:rsidR="003B7027" w:rsidRPr="0028514E" w:rsidRDefault="003B7027" w:rsidP="006E5F9A">
      <w:pPr>
        <w:pStyle w:val="a4"/>
        <w:ind w:left="0"/>
        <w:jc w:val="center"/>
      </w:pPr>
    </w:p>
    <w:p w14:paraId="0F9083A5" w14:textId="77777777" w:rsidR="003B7027" w:rsidRPr="0028514E" w:rsidRDefault="003B7027" w:rsidP="006E5F9A">
      <w:pPr>
        <w:pStyle w:val="a4"/>
        <w:ind w:left="0"/>
        <w:jc w:val="center"/>
      </w:pPr>
    </w:p>
    <w:p w14:paraId="361711C1" w14:textId="77777777" w:rsidR="001F0366" w:rsidRPr="0028514E" w:rsidRDefault="001F0366" w:rsidP="006E5F9A">
      <w:pPr>
        <w:pStyle w:val="a4"/>
        <w:ind w:left="0"/>
        <w:jc w:val="center"/>
      </w:pPr>
    </w:p>
    <w:p w14:paraId="2E10F786" w14:textId="77777777" w:rsidR="001F0366" w:rsidRPr="0028514E" w:rsidRDefault="001F0366" w:rsidP="006E5F9A">
      <w:pPr>
        <w:pStyle w:val="a4"/>
        <w:ind w:left="0"/>
        <w:jc w:val="center"/>
      </w:pPr>
    </w:p>
    <w:p w14:paraId="5BF4A46C" w14:textId="77777777" w:rsidR="001F0366" w:rsidRPr="0028514E" w:rsidRDefault="001F0366" w:rsidP="006E5F9A">
      <w:pPr>
        <w:pStyle w:val="a4"/>
        <w:ind w:left="0"/>
        <w:jc w:val="center"/>
      </w:pPr>
    </w:p>
    <w:p w14:paraId="5354ADC8" w14:textId="77777777" w:rsidR="001F0366" w:rsidRPr="0028514E" w:rsidRDefault="001F0366" w:rsidP="006E5F9A">
      <w:pPr>
        <w:pStyle w:val="a4"/>
        <w:ind w:left="0"/>
        <w:jc w:val="center"/>
      </w:pPr>
    </w:p>
    <w:p w14:paraId="729BB6BB" w14:textId="77777777" w:rsidR="003B7027" w:rsidRPr="0028514E" w:rsidRDefault="003B7027" w:rsidP="006E5F9A">
      <w:pPr>
        <w:pStyle w:val="a4"/>
        <w:ind w:left="0"/>
        <w:jc w:val="center"/>
      </w:pPr>
    </w:p>
    <w:p w14:paraId="5ABE2569" w14:textId="77777777" w:rsidR="003B7027" w:rsidRPr="0028514E" w:rsidRDefault="003B7027" w:rsidP="006E5F9A">
      <w:pPr>
        <w:pStyle w:val="a4"/>
        <w:ind w:left="0"/>
        <w:jc w:val="center"/>
      </w:pPr>
    </w:p>
    <w:p w14:paraId="4BAE0230" w14:textId="77777777" w:rsidR="001F0366" w:rsidRPr="0028514E" w:rsidRDefault="00296A74" w:rsidP="003C43CF">
      <w:pPr>
        <w:pStyle w:val="1"/>
        <w:jc w:val="center"/>
      </w:pPr>
      <w:r w:rsidRPr="0028514E">
        <w:t>LIITE I</w:t>
      </w:r>
      <w:bookmarkStart w:id="7" w:name="VALMISTEYHTEENVETO"/>
      <w:bookmarkEnd w:id="7"/>
    </w:p>
    <w:p w14:paraId="6D96CB7E" w14:textId="77777777" w:rsidR="001F0366" w:rsidRPr="0028514E" w:rsidRDefault="001F0366" w:rsidP="00FF1202"/>
    <w:p w14:paraId="4D099BBB" w14:textId="75086AE7" w:rsidR="003B7027" w:rsidRPr="0028514E" w:rsidRDefault="00296A74" w:rsidP="006E5F9A">
      <w:pPr>
        <w:pStyle w:val="TitleA"/>
      </w:pPr>
      <w:r w:rsidRPr="0028514E">
        <w:t>VALMISTEYHTEENVETO</w:t>
      </w:r>
    </w:p>
    <w:p w14:paraId="04A831A0" w14:textId="77777777" w:rsidR="00365B6B" w:rsidRPr="0028514E" w:rsidRDefault="00365B6B" w:rsidP="00FF1202">
      <w:pPr>
        <w:pStyle w:val="TitleA"/>
        <w:outlineLvl w:val="9"/>
      </w:pPr>
    </w:p>
    <w:p w14:paraId="2209DA51" w14:textId="00CE2EBE" w:rsidR="00CE70D0" w:rsidRPr="00AF361E" w:rsidRDefault="00873146" w:rsidP="00CE70D0">
      <w:pPr>
        <w:tabs>
          <w:tab w:val="left" w:pos="284"/>
        </w:tabs>
        <w:rPr>
          <w:lang w:val="fi-FI"/>
        </w:rPr>
      </w:pPr>
      <w:r w:rsidRPr="00EE26A6">
        <w:rPr>
          <w:lang w:val="fi-FI"/>
        </w:rPr>
        <w:br w:type="page"/>
      </w:r>
      <w:r w:rsidR="0086716C">
        <w:rPr>
          <w:noProof/>
          <w:lang w:val="en-US" w:eastAsia="ko-KR"/>
        </w:rPr>
        <w:lastRenderedPageBreak/>
        <w:drawing>
          <wp:inline distT="0" distB="0" distL="0" distR="0" wp14:anchorId="13235F8D" wp14:editId="37B5C44F">
            <wp:extent cx="201930" cy="159385"/>
            <wp:effectExtent l="0" t="0" r="0" b="0"/>
            <wp:docPr id="1" name="그림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159385"/>
                    </a:xfrm>
                    <a:prstGeom prst="rect">
                      <a:avLst/>
                    </a:prstGeom>
                    <a:noFill/>
                    <a:ln>
                      <a:noFill/>
                    </a:ln>
                  </pic:spPr>
                </pic:pic>
              </a:graphicData>
            </a:graphic>
          </wp:inline>
        </w:drawing>
      </w:r>
      <w:r w:rsidR="00CE70D0" w:rsidRPr="00AF361E">
        <w:rPr>
          <w:lang w:val="fi-FI"/>
        </w:rPr>
        <w:t>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w:t>
      </w:r>
    </w:p>
    <w:p w14:paraId="165141B3" w14:textId="6F091E2E" w:rsidR="00CE70D0" w:rsidRPr="00CA43F5" w:rsidRDefault="00CE70D0" w:rsidP="00883282">
      <w:pPr>
        <w:widowControl w:val="0"/>
        <w:autoSpaceDE w:val="0"/>
        <w:autoSpaceDN w:val="0"/>
        <w:rPr>
          <w:lang w:val="fi-FI"/>
        </w:rPr>
      </w:pPr>
    </w:p>
    <w:p w14:paraId="07B37C95" w14:textId="77777777" w:rsidR="00CE70D0" w:rsidRPr="00CA43F5" w:rsidRDefault="00CE70D0" w:rsidP="00883282">
      <w:pPr>
        <w:widowControl w:val="0"/>
        <w:autoSpaceDE w:val="0"/>
        <w:autoSpaceDN w:val="0"/>
        <w:rPr>
          <w:lang w:val="fi-FI"/>
        </w:rPr>
      </w:pPr>
    </w:p>
    <w:p w14:paraId="4A972C2E" w14:textId="0EF634B8" w:rsidR="003B7027" w:rsidRPr="00CA43F5" w:rsidRDefault="00296A74" w:rsidP="00883282">
      <w:pPr>
        <w:widowControl w:val="0"/>
        <w:autoSpaceDE w:val="0"/>
        <w:autoSpaceDN w:val="0"/>
        <w:rPr>
          <w:b/>
          <w:bCs/>
          <w:lang w:val="fi-FI"/>
        </w:rPr>
      </w:pPr>
      <w:r w:rsidRPr="00CA43F5">
        <w:rPr>
          <w:b/>
          <w:bCs/>
          <w:lang w:val="fi-FI"/>
        </w:rPr>
        <w:t>1.</w:t>
      </w:r>
      <w:r w:rsidRPr="00CA43F5">
        <w:rPr>
          <w:b/>
          <w:bCs/>
          <w:lang w:val="fi-FI"/>
        </w:rPr>
        <w:tab/>
        <w:t>LÄÄKEVALMISTEEN NIMI</w:t>
      </w:r>
    </w:p>
    <w:p w14:paraId="2486BD2D" w14:textId="77777777" w:rsidR="00BD3D07" w:rsidRPr="00CA43F5" w:rsidRDefault="00BD3D07" w:rsidP="00BF3213">
      <w:pPr>
        <w:tabs>
          <w:tab w:val="left" w:pos="1604"/>
        </w:tabs>
        <w:rPr>
          <w:b/>
          <w:lang w:val="fi-FI"/>
        </w:rPr>
      </w:pPr>
    </w:p>
    <w:p w14:paraId="6014205E" w14:textId="7BCE5370" w:rsidR="003B7027" w:rsidRPr="0064502E" w:rsidRDefault="00CE70D0" w:rsidP="00BF3213">
      <w:pPr>
        <w:pStyle w:val="a4"/>
        <w:ind w:left="0"/>
        <w:rPr>
          <w:rFonts w:eastAsia="맑은 고딕" w:hint="eastAsia"/>
          <w:lang w:eastAsia="ko-KR"/>
          <w:rPrChange w:id="8" w:author="만든 이">
            <w:rPr/>
          </w:rPrChange>
        </w:rPr>
      </w:pPr>
      <w:r>
        <w:t>Avtozma</w:t>
      </w:r>
      <w:r w:rsidRPr="00A327CF">
        <w:t xml:space="preserve"> </w:t>
      </w:r>
      <w:r w:rsidR="00296A74" w:rsidRPr="00A327CF">
        <w:t>20 mg/ml, infuusiokonsentraatti, liuosta varten</w:t>
      </w:r>
      <w:del w:id="9" w:author="만든 이">
        <w:r w:rsidR="00296A74" w:rsidRPr="00A327CF" w:rsidDel="0064502E">
          <w:delText>.</w:delText>
        </w:r>
      </w:del>
    </w:p>
    <w:p w14:paraId="7F2A98C0" w14:textId="77777777" w:rsidR="003B7027" w:rsidRPr="00A327CF" w:rsidRDefault="003B7027" w:rsidP="00BF3213">
      <w:pPr>
        <w:pStyle w:val="a4"/>
        <w:ind w:left="0"/>
      </w:pPr>
    </w:p>
    <w:p w14:paraId="2032FF74" w14:textId="77777777" w:rsidR="003B7027" w:rsidRPr="00A327CF" w:rsidRDefault="003B7027" w:rsidP="00BF3213">
      <w:pPr>
        <w:pStyle w:val="a4"/>
        <w:ind w:left="0"/>
      </w:pPr>
    </w:p>
    <w:p w14:paraId="5F7EC8CD" w14:textId="77777777" w:rsidR="003B7027" w:rsidRPr="00A327CF" w:rsidRDefault="00296A74" w:rsidP="00BF3213">
      <w:pPr>
        <w:pStyle w:val="1"/>
      </w:pPr>
      <w:r w:rsidRPr="00A327CF">
        <w:t>2.</w:t>
      </w:r>
      <w:r w:rsidRPr="00A327CF">
        <w:tab/>
        <w:t>VAIKUTTAVAT AINEET JA NIIDEN MÄÄRÄT</w:t>
      </w:r>
    </w:p>
    <w:p w14:paraId="1DEA3B23" w14:textId="77777777" w:rsidR="00BD3D07" w:rsidRPr="00CA43F5" w:rsidRDefault="00BD3D07" w:rsidP="00BF3213">
      <w:pPr>
        <w:rPr>
          <w:lang w:val="fi-FI"/>
        </w:rPr>
      </w:pPr>
    </w:p>
    <w:p w14:paraId="3DEB7F50" w14:textId="77777777" w:rsidR="003B7027" w:rsidRPr="00A327CF" w:rsidRDefault="00296A74" w:rsidP="00BF3213">
      <w:pPr>
        <w:pStyle w:val="a4"/>
        <w:ind w:left="0"/>
      </w:pPr>
      <w:r w:rsidRPr="00A327CF">
        <w:t>Yksi ml konsentraattia sisältää 20 mg tosilitsumabia*.</w:t>
      </w:r>
    </w:p>
    <w:p w14:paraId="0E7FF27D" w14:textId="77777777" w:rsidR="003B7027" w:rsidRPr="00A327CF" w:rsidRDefault="003B7027" w:rsidP="00BF3213">
      <w:pPr>
        <w:pStyle w:val="a4"/>
        <w:ind w:left="0"/>
      </w:pPr>
    </w:p>
    <w:p w14:paraId="5D865164" w14:textId="77777777" w:rsidR="00BD3D07" w:rsidRPr="00A327CF" w:rsidRDefault="00296A74" w:rsidP="00BF3213">
      <w:pPr>
        <w:pStyle w:val="a4"/>
        <w:ind w:left="0"/>
      </w:pPr>
      <w:r w:rsidRPr="00A327CF">
        <w:t xml:space="preserve">Yksi 4 ml:n injektiopullo sisältää 80 mg tosilitsumabia* (20 mg/ml). </w:t>
      </w:r>
    </w:p>
    <w:p w14:paraId="04ED5B13" w14:textId="77777777" w:rsidR="00BD3D07" w:rsidRPr="00A327CF" w:rsidRDefault="00296A74" w:rsidP="00BF3213">
      <w:pPr>
        <w:pStyle w:val="a4"/>
        <w:ind w:left="0"/>
      </w:pPr>
      <w:r w:rsidRPr="00A327CF">
        <w:t xml:space="preserve">Yksi 10 ml:n injektiopullo sisältää 200 mg tosilitsumabia* (20 mg/ml). </w:t>
      </w:r>
    </w:p>
    <w:p w14:paraId="20CB910A" w14:textId="77777777" w:rsidR="003B7027" w:rsidRPr="00A327CF" w:rsidRDefault="00296A74" w:rsidP="00BF3213">
      <w:pPr>
        <w:pStyle w:val="a4"/>
        <w:ind w:left="0"/>
      </w:pPr>
      <w:r w:rsidRPr="00A327CF">
        <w:t>Yksi 20 ml:n injektiopullo sisältää 400 mg tosilitsumabia* (20 mg/ml).</w:t>
      </w:r>
    </w:p>
    <w:p w14:paraId="3C87FBC2" w14:textId="77777777" w:rsidR="003B7027" w:rsidRPr="00A327CF" w:rsidRDefault="003B7027" w:rsidP="00BF3213">
      <w:pPr>
        <w:pStyle w:val="a4"/>
        <w:ind w:left="0"/>
      </w:pPr>
    </w:p>
    <w:p w14:paraId="47D2141F" w14:textId="77777777" w:rsidR="003B7027" w:rsidRPr="00A327CF" w:rsidRDefault="00296A74" w:rsidP="00BF3213">
      <w:pPr>
        <w:pStyle w:val="a4"/>
        <w:ind w:left="0"/>
      </w:pPr>
      <w:r w:rsidRPr="00A327CF">
        <w:t>*yhdistelmä-DNA-tekniikalla kiinanhamsterin munasarjasoluissa (CHO) tuotettu humanisoitu monoklonaalinen IgG1-vasta-aine, joka kohdistuu ihmisen interleukiini 6 (IL-6) -reseptoriin.</w:t>
      </w:r>
    </w:p>
    <w:p w14:paraId="615AD083" w14:textId="77777777" w:rsidR="00BD3D07" w:rsidRDefault="00BD3D07" w:rsidP="00BF3213">
      <w:pPr>
        <w:pStyle w:val="a4"/>
        <w:ind w:left="0"/>
      </w:pPr>
    </w:p>
    <w:p w14:paraId="4C2C9AF2" w14:textId="4ECEBD61" w:rsidR="0015503D" w:rsidRPr="00237A3E" w:rsidRDefault="00FA56B2" w:rsidP="00BF3213">
      <w:pPr>
        <w:pStyle w:val="a4"/>
        <w:ind w:left="0"/>
        <w:rPr>
          <w:u w:val="single"/>
        </w:rPr>
      </w:pPr>
      <w:r w:rsidRPr="00237A3E">
        <w:rPr>
          <w:u w:val="single"/>
        </w:rPr>
        <w:t>Apuaineet, joiden vaikutu</w:t>
      </w:r>
      <w:r w:rsidR="006F3FD3">
        <w:rPr>
          <w:u w:val="single"/>
        </w:rPr>
        <w:t>s</w:t>
      </w:r>
      <w:r w:rsidRPr="00237A3E">
        <w:rPr>
          <w:u w:val="single"/>
        </w:rPr>
        <w:t xml:space="preserve"> tunnetaan:</w:t>
      </w:r>
    </w:p>
    <w:p w14:paraId="19BD6487" w14:textId="6579A088" w:rsidR="0015503D" w:rsidRPr="00237A3E" w:rsidRDefault="004A3206" w:rsidP="00BF3213">
      <w:pPr>
        <w:pStyle w:val="a4"/>
        <w:ind w:left="0"/>
        <w:rPr>
          <w:i/>
          <w:iCs/>
        </w:rPr>
      </w:pPr>
      <w:r w:rsidRPr="00237A3E">
        <w:rPr>
          <w:i/>
          <w:iCs/>
        </w:rPr>
        <w:t>Polysorbaatti</w:t>
      </w:r>
    </w:p>
    <w:p w14:paraId="3C78F0E8" w14:textId="58C399C5" w:rsidR="004A3206" w:rsidRDefault="004A3206" w:rsidP="00BF3213">
      <w:pPr>
        <w:pStyle w:val="a4"/>
        <w:ind w:left="0"/>
      </w:pPr>
      <w:r>
        <w:t>Yksi 80 mg:n injektiopullo sisältää 2,0 mg polysorbaatti</w:t>
      </w:r>
      <w:r w:rsidR="00484863">
        <w:rPr>
          <w:rFonts w:eastAsia="맑은 고딕" w:hint="eastAsia"/>
          <w:lang w:eastAsia="ko-KR"/>
        </w:rPr>
        <w:t xml:space="preserve"> 80</w:t>
      </w:r>
      <w:r w:rsidR="003A1821">
        <w:rPr>
          <w:rFonts w:eastAsia="맑은 고딕"/>
          <w:lang w:eastAsia="ko-KR"/>
        </w:rPr>
        <w:t>:tä</w:t>
      </w:r>
      <w:r>
        <w:t>.</w:t>
      </w:r>
    </w:p>
    <w:p w14:paraId="543519F0" w14:textId="62EF0689" w:rsidR="004A3206" w:rsidRDefault="004A3206" w:rsidP="00BF3213">
      <w:pPr>
        <w:pStyle w:val="a4"/>
        <w:ind w:left="0"/>
      </w:pPr>
      <w:r>
        <w:t>Yksi 200 mg:n injektiopullo sisältää 5,0 mg polysorbaatti</w:t>
      </w:r>
      <w:r w:rsidR="00484863">
        <w:rPr>
          <w:rFonts w:eastAsia="맑은 고딕" w:hint="eastAsia"/>
          <w:lang w:eastAsia="ko-KR"/>
        </w:rPr>
        <w:t xml:space="preserve"> 80</w:t>
      </w:r>
      <w:r w:rsidR="003A1821">
        <w:rPr>
          <w:rFonts w:eastAsia="맑은 고딕"/>
          <w:lang w:eastAsia="ko-KR"/>
        </w:rPr>
        <w:t>:tä</w:t>
      </w:r>
      <w:r>
        <w:t>.</w:t>
      </w:r>
    </w:p>
    <w:p w14:paraId="0AD1906F" w14:textId="06DAAC29" w:rsidR="004A3206" w:rsidRDefault="004A3206" w:rsidP="00BF3213">
      <w:pPr>
        <w:pStyle w:val="a4"/>
        <w:ind w:left="0"/>
      </w:pPr>
      <w:r>
        <w:t>Yksi 400 mg:n injektiopullo sisältää 10,0 mg polysorbaatti</w:t>
      </w:r>
      <w:r w:rsidR="00484863">
        <w:rPr>
          <w:rFonts w:eastAsia="맑은 고딕" w:hint="eastAsia"/>
          <w:lang w:eastAsia="ko-KR"/>
        </w:rPr>
        <w:t xml:space="preserve"> 80</w:t>
      </w:r>
      <w:r w:rsidR="003A1821">
        <w:rPr>
          <w:rFonts w:eastAsia="맑은 고딕"/>
          <w:lang w:eastAsia="ko-KR"/>
        </w:rPr>
        <w:t>:tä</w:t>
      </w:r>
      <w:r>
        <w:t>.</w:t>
      </w:r>
    </w:p>
    <w:p w14:paraId="4EAA2C6E" w14:textId="77777777" w:rsidR="004A3206" w:rsidRPr="00A327CF" w:rsidRDefault="004A3206" w:rsidP="00BF3213">
      <w:pPr>
        <w:pStyle w:val="a4"/>
        <w:ind w:left="0"/>
      </w:pPr>
    </w:p>
    <w:p w14:paraId="7E82DB31" w14:textId="77777777" w:rsidR="003B7027" w:rsidRPr="00A327CF" w:rsidRDefault="00296A74" w:rsidP="00BF3213">
      <w:pPr>
        <w:pStyle w:val="a4"/>
        <w:ind w:left="0"/>
      </w:pPr>
      <w:r w:rsidRPr="00A327CF">
        <w:t>Täydellinen apuaineluettelo, ks. kohta 6.1.</w:t>
      </w:r>
    </w:p>
    <w:p w14:paraId="7D1FD804" w14:textId="77777777" w:rsidR="003B7027" w:rsidRPr="00A327CF" w:rsidRDefault="003B7027" w:rsidP="00BF3213">
      <w:pPr>
        <w:pStyle w:val="a4"/>
        <w:ind w:left="0"/>
      </w:pPr>
    </w:p>
    <w:p w14:paraId="49AEFCFA" w14:textId="77777777" w:rsidR="003B7027" w:rsidRPr="00A327CF" w:rsidRDefault="003B7027" w:rsidP="00BF3213">
      <w:pPr>
        <w:pStyle w:val="a4"/>
        <w:ind w:left="0"/>
      </w:pPr>
    </w:p>
    <w:p w14:paraId="592BCF79" w14:textId="77777777" w:rsidR="003B7027" w:rsidRPr="00A327CF" w:rsidRDefault="00296A74" w:rsidP="00BF3213">
      <w:pPr>
        <w:pStyle w:val="1"/>
      </w:pPr>
      <w:r w:rsidRPr="00A327CF">
        <w:t>3.</w:t>
      </w:r>
      <w:r w:rsidRPr="00A327CF">
        <w:tab/>
        <w:t>LÄÄKEMUOTO</w:t>
      </w:r>
    </w:p>
    <w:p w14:paraId="00C327D5" w14:textId="77777777" w:rsidR="00BD3D07" w:rsidRPr="00A327CF" w:rsidRDefault="00BD3D07" w:rsidP="00FF1202"/>
    <w:p w14:paraId="45F76E31" w14:textId="6B218E9B" w:rsidR="003B7027" w:rsidRPr="00A327CF" w:rsidRDefault="00296A74" w:rsidP="00BF3213">
      <w:pPr>
        <w:pStyle w:val="a4"/>
        <w:ind w:left="0"/>
      </w:pPr>
      <w:r w:rsidRPr="00A327CF">
        <w:t>Infuusiokonsentraatti, liuosta varten (steriili konsentraatti).</w:t>
      </w:r>
      <w:r w:rsidR="002D5177">
        <w:t xml:space="preserve"> </w:t>
      </w:r>
      <w:r w:rsidRPr="00A327CF">
        <w:t xml:space="preserve">Kirkas tai </w:t>
      </w:r>
      <w:r w:rsidR="00CE70D0">
        <w:t xml:space="preserve">hieman </w:t>
      </w:r>
      <w:r w:rsidRPr="00A327CF">
        <w:t>opalisoiva, väritön tai vaaleankeltainen liuos.</w:t>
      </w:r>
    </w:p>
    <w:p w14:paraId="404B2624" w14:textId="77777777" w:rsidR="003B7027" w:rsidRPr="00A327CF" w:rsidRDefault="003B7027" w:rsidP="00BF3213">
      <w:pPr>
        <w:pStyle w:val="a4"/>
        <w:ind w:left="0"/>
      </w:pPr>
    </w:p>
    <w:p w14:paraId="1E0312D7" w14:textId="77777777" w:rsidR="00BD3D07" w:rsidRPr="00A327CF" w:rsidRDefault="00BD3D07" w:rsidP="006E5F9A">
      <w:pPr>
        <w:pStyle w:val="a4"/>
        <w:ind w:left="0"/>
      </w:pPr>
    </w:p>
    <w:p w14:paraId="76F67AD3" w14:textId="77777777" w:rsidR="003B7027" w:rsidRPr="00A327CF" w:rsidRDefault="00296A74" w:rsidP="00BF3213">
      <w:pPr>
        <w:pStyle w:val="1"/>
      </w:pPr>
      <w:r w:rsidRPr="00A327CF">
        <w:t>4.</w:t>
      </w:r>
      <w:r w:rsidRPr="00A327CF">
        <w:tab/>
        <w:t>KLIINISET TIEDOT</w:t>
      </w:r>
    </w:p>
    <w:p w14:paraId="68D2DDBF" w14:textId="77777777" w:rsidR="003B7027" w:rsidRPr="00A327CF" w:rsidRDefault="003B7027" w:rsidP="006E5F9A">
      <w:pPr>
        <w:pStyle w:val="a4"/>
        <w:ind w:left="0"/>
        <w:rPr>
          <w:b/>
        </w:rPr>
      </w:pPr>
    </w:p>
    <w:p w14:paraId="7C91D435" w14:textId="77777777" w:rsidR="003B7027" w:rsidRPr="00A327CF" w:rsidRDefault="00296A74" w:rsidP="006E5F9A">
      <w:pPr>
        <w:pStyle w:val="2"/>
      </w:pPr>
      <w:r w:rsidRPr="00A327CF">
        <w:t>4.1</w:t>
      </w:r>
      <w:r w:rsidRPr="00A327CF">
        <w:tab/>
        <w:t>Käyttöaiheet</w:t>
      </w:r>
    </w:p>
    <w:p w14:paraId="0186DDB5" w14:textId="77777777" w:rsidR="00BD3D07" w:rsidRPr="009A3CB5" w:rsidRDefault="00BD3D07" w:rsidP="00FF1202">
      <w:pPr>
        <w:rPr>
          <w:lang w:val="fi-FI"/>
        </w:rPr>
      </w:pPr>
    </w:p>
    <w:p w14:paraId="1D3963E7" w14:textId="2D854C4C" w:rsidR="00A5656C" w:rsidRPr="00E919A5" w:rsidRDefault="00A5656C" w:rsidP="006E5F9A">
      <w:pPr>
        <w:pStyle w:val="a4"/>
        <w:ind w:left="0"/>
        <w:rPr>
          <w:rFonts w:eastAsia="맑은 고딕"/>
          <w:u w:val="single"/>
          <w:lang w:eastAsia="ko-KR"/>
        </w:rPr>
      </w:pPr>
      <w:r w:rsidRPr="00E919A5">
        <w:rPr>
          <w:rFonts w:eastAsia="맑은 고딕"/>
          <w:u w:val="single"/>
          <w:lang w:eastAsia="ko-KR"/>
        </w:rPr>
        <w:t>Nivelreuma</w:t>
      </w:r>
    </w:p>
    <w:p w14:paraId="2DF42453" w14:textId="4C9F7ADE" w:rsidR="003B7027" w:rsidRPr="00A327CF" w:rsidRDefault="00CE70D0" w:rsidP="006E5F9A">
      <w:pPr>
        <w:pStyle w:val="a4"/>
        <w:ind w:left="0"/>
      </w:pPr>
      <w:r>
        <w:t>Avtozma</w:t>
      </w:r>
      <w:r w:rsidRPr="00A327CF" w:rsidDel="00CE70D0">
        <w:t xml:space="preserve"> </w:t>
      </w:r>
      <w:r w:rsidR="00296A74" w:rsidRPr="00A327CF">
        <w:t>on tarkoitettu yhdessä metotreksaatin (MTX) kanssa:</w:t>
      </w:r>
    </w:p>
    <w:p w14:paraId="0A224725" w14:textId="77777777" w:rsidR="003B7027" w:rsidRPr="00A327CF" w:rsidRDefault="003B7027" w:rsidP="006E5F9A">
      <w:pPr>
        <w:pStyle w:val="a4"/>
        <w:ind w:left="0"/>
      </w:pPr>
    </w:p>
    <w:p w14:paraId="600FFDE4" w14:textId="77777777" w:rsidR="003B7027" w:rsidRPr="00A327CF" w:rsidRDefault="00296A74" w:rsidP="00A327CF">
      <w:pPr>
        <w:pStyle w:val="a"/>
      </w:pPr>
      <w:r w:rsidRPr="00A327CF">
        <w:t>vaikean, aktiivisen ja etenevän nivelreuman hoitoon aikuisille, joita ei aiemmin ole hoidettu MTX:lla</w:t>
      </w:r>
    </w:p>
    <w:p w14:paraId="608BF2CC" w14:textId="77777777" w:rsidR="003B7027" w:rsidRPr="00A327CF" w:rsidRDefault="00296A74" w:rsidP="00A327CF">
      <w:pPr>
        <w:pStyle w:val="a"/>
      </w:pPr>
      <w:r w:rsidRPr="00A327CF">
        <w:t>aikuispotilaiden kohtalaisen tai vaikean aktiivisen nivelreuman hoitoon, kun aikaisempi hoito yhdellä tai useammalla tautiprosessia hidastavalla reumalääkkeellä (disease modifying anti- rheumatic drugs, DMARD) tai tuumorinekroositekijän (TNF) estäjällä ei ole tuottanut riittävää hoitovastetta tai potilas ei siedä niitä.</w:t>
      </w:r>
    </w:p>
    <w:p w14:paraId="73EE71E5" w14:textId="77777777" w:rsidR="00BD3D07" w:rsidRPr="00CA43F5" w:rsidRDefault="00BD3D07" w:rsidP="006E5F9A">
      <w:pPr>
        <w:tabs>
          <w:tab w:val="left" w:pos="1319"/>
          <w:tab w:val="left" w:pos="1321"/>
        </w:tabs>
        <w:rPr>
          <w:lang w:val="fi-FI"/>
        </w:rPr>
      </w:pPr>
    </w:p>
    <w:p w14:paraId="1D944CB7" w14:textId="72666AF6" w:rsidR="003B7027" w:rsidRPr="00A327CF" w:rsidRDefault="00CE70D0" w:rsidP="006E5F9A">
      <w:pPr>
        <w:pStyle w:val="a4"/>
        <w:ind w:left="0"/>
      </w:pPr>
      <w:r>
        <w:t>Avtozmaa</w:t>
      </w:r>
      <w:r w:rsidRPr="00A327CF" w:rsidDel="00CE70D0">
        <w:t xml:space="preserve"> </w:t>
      </w:r>
      <w:r w:rsidR="00296A74" w:rsidRPr="00A327CF">
        <w:t>voidaan antaa monoterapiana näille potilaille, jos he eivät siedä MTX:a tai, jos jatkuva MTX-hoito ei sovi heille.</w:t>
      </w:r>
    </w:p>
    <w:p w14:paraId="5D4FB8F5" w14:textId="5E225F88" w:rsidR="003B7027" w:rsidRPr="00A327CF" w:rsidRDefault="00CE70D0" w:rsidP="006E5F9A">
      <w:pPr>
        <w:pStyle w:val="a4"/>
        <w:ind w:left="0"/>
      </w:pPr>
      <w:r>
        <w:t>Avtozman</w:t>
      </w:r>
      <w:r w:rsidRPr="00A327CF" w:rsidDel="00CE70D0">
        <w:t xml:space="preserve"> </w:t>
      </w:r>
      <w:r w:rsidR="00296A74" w:rsidRPr="00A327CF">
        <w:t>on röntgentutkimuksissa havaittu vähentävän nivelvaurioiden etenemistä ja parantavan fyysistä toimintakykyä, kun sitä annetaan yhdessä MTX:n kanssa.</w:t>
      </w:r>
    </w:p>
    <w:p w14:paraId="56777CD9" w14:textId="77777777" w:rsidR="00BD3D07" w:rsidRPr="00A327CF" w:rsidRDefault="00BD3D07" w:rsidP="006E5F9A">
      <w:pPr>
        <w:pStyle w:val="a4"/>
        <w:ind w:left="0"/>
      </w:pPr>
    </w:p>
    <w:p w14:paraId="092AD1C5" w14:textId="77777777" w:rsidR="00A5656C" w:rsidRDefault="00A5656C" w:rsidP="006E5F9A">
      <w:pPr>
        <w:pStyle w:val="a4"/>
        <w:ind w:left="0"/>
        <w:rPr>
          <w:rFonts w:eastAsia="맑은 고딕"/>
          <w:lang w:eastAsia="ko-KR"/>
        </w:rPr>
      </w:pPr>
    </w:p>
    <w:p w14:paraId="468FF84C" w14:textId="77777777" w:rsidR="00A5656C" w:rsidRDefault="00A5656C" w:rsidP="006E5F9A">
      <w:pPr>
        <w:pStyle w:val="a4"/>
        <w:ind w:left="0"/>
        <w:rPr>
          <w:rFonts w:eastAsia="맑은 고딕"/>
          <w:lang w:eastAsia="ko-KR"/>
        </w:rPr>
      </w:pPr>
    </w:p>
    <w:p w14:paraId="387D6EBD" w14:textId="18193A1E" w:rsidR="00A5656C" w:rsidRPr="00E919A5" w:rsidRDefault="00A5656C" w:rsidP="006E5F9A">
      <w:pPr>
        <w:pStyle w:val="a4"/>
        <w:ind w:left="0"/>
        <w:rPr>
          <w:rFonts w:eastAsia="맑은 고딕"/>
          <w:u w:val="single"/>
          <w:lang w:eastAsia="ko-KR"/>
        </w:rPr>
      </w:pPr>
      <w:r w:rsidRPr="00E919A5">
        <w:rPr>
          <w:rFonts w:eastAsia="맑은 고딕"/>
          <w:u w:val="single"/>
          <w:lang w:eastAsia="ko-KR"/>
        </w:rPr>
        <w:lastRenderedPageBreak/>
        <w:t>Koronavirustauti 2019 (COVID-19)</w:t>
      </w:r>
    </w:p>
    <w:p w14:paraId="40FD759C" w14:textId="36BE2AD1" w:rsidR="003B7027" w:rsidRPr="00A327CF" w:rsidRDefault="00CE70D0" w:rsidP="006E5F9A">
      <w:pPr>
        <w:pStyle w:val="a4"/>
        <w:ind w:left="0"/>
      </w:pPr>
      <w:r>
        <w:t>Avtozma</w:t>
      </w:r>
      <w:r w:rsidRPr="00A327CF" w:rsidDel="00CE70D0">
        <w:t xml:space="preserve"> </w:t>
      </w:r>
      <w:r w:rsidR="00296A74" w:rsidRPr="00A327CF">
        <w:t>on tarkoitettu koronavirustaudin 2019 (COVID-19) hoitoon aikuisille, jotka saavat systeemistä kortikosteroidihoitoa ja jotka tarvitsevat lisähappea tai hengityskonehoitoa.</w:t>
      </w:r>
    </w:p>
    <w:p w14:paraId="5695C746" w14:textId="77777777" w:rsidR="00BD3D07" w:rsidRPr="00A327CF" w:rsidRDefault="00BD3D07" w:rsidP="006E5F9A">
      <w:pPr>
        <w:pStyle w:val="a4"/>
        <w:ind w:left="0"/>
      </w:pPr>
    </w:p>
    <w:p w14:paraId="7C4B6709" w14:textId="4B8F2D8B" w:rsidR="00A5656C" w:rsidRPr="00E919A5" w:rsidRDefault="00A5656C" w:rsidP="006E5F9A">
      <w:pPr>
        <w:pStyle w:val="a4"/>
        <w:ind w:left="0"/>
        <w:rPr>
          <w:rFonts w:eastAsia="맑은 고딕"/>
          <w:u w:val="single"/>
          <w:lang w:eastAsia="ko-KR"/>
        </w:rPr>
      </w:pPr>
      <w:r w:rsidRPr="00E919A5">
        <w:rPr>
          <w:rFonts w:eastAsia="맑은 고딕"/>
          <w:u w:val="single"/>
          <w:lang w:eastAsia="ko-KR"/>
        </w:rPr>
        <w:t>Yleisoireinen lastenreuma</w:t>
      </w:r>
    </w:p>
    <w:p w14:paraId="4B0AADF5" w14:textId="63382760" w:rsidR="003B7027" w:rsidRPr="00A327CF" w:rsidRDefault="00CE70D0" w:rsidP="006E5F9A">
      <w:pPr>
        <w:pStyle w:val="a4"/>
        <w:ind w:left="0"/>
      </w:pPr>
      <w:r>
        <w:t>Avtozma</w:t>
      </w:r>
      <w:r w:rsidRPr="00A327CF" w:rsidDel="00CE70D0">
        <w:t xml:space="preserve"> </w:t>
      </w:r>
      <w:r w:rsidR="00296A74" w:rsidRPr="00A327CF">
        <w:t xml:space="preserve">on tarkoitettu 2-vuotiaiden ja sitä vanhempien lasten aktiivisen yleisoireisen lastenreuman hoitoon, kun aikaisempi hoito tulehduskipulääkkeillä ja systeemisillä kortikosteroideilla ei ole tuottanut riittävää hoitovastetta. </w:t>
      </w:r>
      <w:r>
        <w:t>Avtozmaa</w:t>
      </w:r>
      <w:r w:rsidRPr="00A327CF" w:rsidDel="00CE70D0">
        <w:t xml:space="preserve"> </w:t>
      </w:r>
      <w:r w:rsidR="00296A74" w:rsidRPr="00A327CF">
        <w:t>voidaan antaa monoterapiana (jos potilas ei siedä MTX:a tai MTX-hoito ei sovi hänelle) tai yhdessä MTX:n kanssa.</w:t>
      </w:r>
    </w:p>
    <w:p w14:paraId="73C06E90" w14:textId="77777777" w:rsidR="00BD3D07" w:rsidRPr="00A327CF" w:rsidRDefault="00BD3D07" w:rsidP="006E5F9A">
      <w:pPr>
        <w:pStyle w:val="a4"/>
        <w:ind w:left="0"/>
      </w:pPr>
    </w:p>
    <w:p w14:paraId="7E57FA42" w14:textId="6FA77A1B" w:rsidR="00A5656C" w:rsidRPr="00E919A5" w:rsidRDefault="00A5656C" w:rsidP="006E5F9A">
      <w:pPr>
        <w:pStyle w:val="a4"/>
        <w:ind w:left="0"/>
        <w:rPr>
          <w:rFonts w:eastAsia="맑은 고딕"/>
          <w:u w:val="single"/>
          <w:lang w:eastAsia="ko-KR"/>
        </w:rPr>
      </w:pPr>
      <w:r w:rsidRPr="00E919A5">
        <w:rPr>
          <w:rFonts w:eastAsia="맑은 고딕"/>
          <w:u w:val="single"/>
          <w:lang w:eastAsia="ko-KR"/>
        </w:rPr>
        <w:t>Lasten polyartriitti</w:t>
      </w:r>
    </w:p>
    <w:p w14:paraId="385E6CFE" w14:textId="55718068" w:rsidR="003B7027" w:rsidRPr="0028514E" w:rsidRDefault="00CE70D0" w:rsidP="006E5F9A">
      <w:pPr>
        <w:pStyle w:val="a4"/>
        <w:ind w:left="0"/>
      </w:pPr>
      <w:r>
        <w:t>Avtozma</w:t>
      </w:r>
      <w:r w:rsidRPr="0028514E" w:rsidDel="00CE70D0">
        <w:t xml:space="preserve"> </w:t>
      </w:r>
      <w:r w:rsidR="00296A74" w:rsidRPr="0028514E">
        <w:t xml:space="preserve">on tarkoitettu yhdessä metotreksaatin (MTX) kanssa 2-vuotiaiden ja sitä vanhempien lasten aktiivisen polyartriitin hoitoon (pJIA; reumatekijä positiivinen tai negatiivinen ja laajentunut oligoartriitti), kun aikaisempi hoito MTX:lla ei ole tuottanut riittävää hoitovastetta. </w:t>
      </w:r>
      <w:r>
        <w:t>Avtozmaa</w:t>
      </w:r>
      <w:r w:rsidRPr="0028514E" w:rsidDel="00CE70D0">
        <w:t xml:space="preserve"> </w:t>
      </w:r>
      <w:r w:rsidR="00296A74" w:rsidRPr="0028514E">
        <w:t>voidaan antaa monoterapiana, jos potilas ei siedä MTX:a tai jos jatkuva MTX-hoito ei sovi hänelle.</w:t>
      </w:r>
    </w:p>
    <w:p w14:paraId="19882EA8" w14:textId="77777777" w:rsidR="003B7027" w:rsidRPr="0028514E" w:rsidRDefault="003B7027" w:rsidP="006E5F9A">
      <w:pPr>
        <w:pStyle w:val="a4"/>
        <w:ind w:left="0"/>
      </w:pPr>
    </w:p>
    <w:p w14:paraId="3A87524A" w14:textId="12F424EA" w:rsidR="00A5656C" w:rsidRPr="00E919A5" w:rsidRDefault="00A5656C" w:rsidP="006E5F9A">
      <w:pPr>
        <w:pStyle w:val="a4"/>
        <w:ind w:left="0"/>
        <w:rPr>
          <w:rFonts w:eastAsia="맑은 고딕"/>
          <w:u w:val="single"/>
          <w:lang w:eastAsia="ko-KR"/>
        </w:rPr>
      </w:pPr>
      <w:r w:rsidRPr="00E919A5">
        <w:rPr>
          <w:rFonts w:eastAsia="맑은 고딕"/>
          <w:u w:val="single"/>
          <w:lang w:eastAsia="ko-KR"/>
        </w:rPr>
        <w:t>Sytokiinien vapautumisoireyhtymä</w:t>
      </w:r>
    </w:p>
    <w:p w14:paraId="1872A977" w14:textId="302C9CC7" w:rsidR="003B7027" w:rsidRPr="0028514E" w:rsidRDefault="00CE70D0" w:rsidP="006E5F9A">
      <w:pPr>
        <w:pStyle w:val="a4"/>
        <w:ind w:left="0"/>
      </w:pPr>
      <w:r>
        <w:t>Avtozma</w:t>
      </w:r>
      <w:r w:rsidRPr="0028514E" w:rsidDel="00CE70D0">
        <w:t xml:space="preserve"> </w:t>
      </w:r>
      <w:r w:rsidR="00296A74" w:rsidRPr="0028514E">
        <w:t>on tarkoitettu aikuisille sekä 2-vuotiaille ja sitä vanhemmille pediatrisille potilaille kimeeristä antigeenireseptoria (CAR) ilmentävien T-solujen aikaansaaman vaikea-asteisen tai hengenvaarallisen sytokiinien vapautumisoireyhtymän hoitoon.</w:t>
      </w:r>
    </w:p>
    <w:p w14:paraId="01DC0A2F" w14:textId="77777777" w:rsidR="003B7027" w:rsidRPr="0028514E" w:rsidRDefault="003B7027" w:rsidP="006E5F9A">
      <w:pPr>
        <w:pStyle w:val="a4"/>
        <w:ind w:left="0"/>
      </w:pPr>
    </w:p>
    <w:p w14:paraId="717F5947" w14:textId="77777777" w:rsidR="003B7027" w:rsidRPr="0028514E" w:rsidRDefault="00296A74" w:rsidP="006E5F9A">
      <w:pPr>
        <w:pStyle w:val="2"/>
      </w:pPr>
      <w:r w:rsidRPr="0028514E">
        <w:t>4.2</w:t>
      </w:r>
      <w:r w:rsidRPr="0028514E">
        <w:tab/>
        <w:t>Annostus ja antotapa</w:t>
      </w:r>
    </w:p>
    <w:p w14:paraId="3D90FF71" w14:textId="77777777" w:rsidR="00BD1D86" w:rsidRPr="009A3CB5" w:rsidRDefault="00BD1D86" w:rsidP="00FF1202">
      <w:pPr>
        <w:rPr>
          <w:lang w:val="fi-FI"/>
        </w:rPr>
      </w:pPr>
    </w:p>
    <w:p w14:paraId="7EA46C30" w14:textId="77777777" w:rsidR="003B7027" w:rsidRPr="0028514E" w:rsidRDefault="00296A74" w:rsidP="006E5F9A">
      <w:pPr>
        <w:pStyle w:val="a4"/>
        <w:ind w:left="0"/>
      </w:pPr>
      <w:r w:rsidRPr="0028514E">
        <w:t>Hoidon saa aloittaa nivelreuman, COVID-19-taudin, yleisoireisen lastenreuman, polyartriitin tai sytokiinien vapautumisoireyhtymän diagnosointiin ja hoitoon perehtynyt lääkäri.</w:t>
      </w:r>
    </w:p>
    <w:p w14:paraId="04D75AFD" w14:textId="77777777" w:rsidR="00BD1D86" w:rsidRDefault="00BD1D86" w:rsidP="006E5F9A">
      <w:pPr>
        <w:pStyle w:val="a4"/>
        <w:ind w:left="0"/>
      </w:pPr>
    </w:p>
    <w:p w14:paraId="5A3F5CFE" w14:textId="338BB695" w:rsidR="00CE70D0" w:rsidRDefault="00CE70D0" w:rsidP="006E5F9A">
      <w:pPr>
        <w:pStyle w:val="a4"/>
        <w:ind w:left="0"/>
      </w:pPr>
      <w:r>
        <w:t>Polyvinyylikloridista (PVC) valmistettuja infuusiopusseja käytettäessä tulee käyttää infuusiopusseja, jotka eivät sisällä di</w:t>
      </w:r>
      <w:r w:rsidR="00412E5E">
        <w:rPr>
          <w:rFonts w:eastAsia="맑은 고딕" w:hint="eastAsia"/>
          <w:lang w:eastAsia="ko-KR"/>
        </w:rPr>
        <w:t xml:space="preserve"> </w:t>
      </w:r>
      <w:r>
        <w:t>(2‑etyyliheksyyli)</w:t>
      </w:r>
      <w:r w:rsidR="00412E5E">
        <w:rPr>
          <w:rFonts w:eastAsia="맑은 고딕" w:hint="eastAsia"/>
          <w:lang w:eastAsia="ko-KR"/>
        </w:rPr>
        <w:t xml:space="preserve"> </w:t>
      </w:r>
      <w:r>
        <w:t>ftalaattia (DEHP).</w:t>
      </w:r>
    </w:p>
    <w:p w14:paraId="418ECE35" w14:textId="77777777" w:rsidR="00CE70D0" w:rsidRPr="0028514E" w:rsidRDefault="00CE70D0" w:rsidP="006E5F9A">
      <w:pPr>
        <w:pStyle w:val="a4"/>
        <w:ind w:left="0"/>
      </w:pPr>
    </w:p>
    <w:p w14:paraId="54CA3E9A" w14:textId="2C5A3C06" w:rsidR="00BD1D86" w:rsidRPr="0028514E" w:rsidRDefault="00296A74" w:rsidP="006E5F9A">
      <w:pPr>
        <w:pStyle w:val="a4"/>
        <w:ind w:left="0"/>
      </w:pPr>
      <w:r w:rsidRPr="0028514E">
        <w:t xml:space="preserve">Kaikille </w:t>
      </w:r>
      <w:r w:rsidR="00CE70D0">
        <w:t>Avtozma</w:t>
      </w:r>
      <w:r w:rsidRPr="0028514E">
        <w:t>-hoitoa saaville potilaille tulee antaa potilaskortti.</w:t>
      </w:r>
    </w:p>
    <w:p w14:paraId="6DD0779A" w14:textId="77777777" w:rsidR="00BD1D86" w:rsidRPr="0028514E" w:rsidRDefault="00BD1D86" w:rsidP="006E5F9A">
      <w:pPr>
        <w:pStyle w:val="a4"/>
        <w:ind w:left="0"/>
      </w:pPr>
    </w:p>
    <w:p w14:paraId="71895118" w14:textId="77777777" w:rsidR="003B7027" w:rsidRPr="0028514E" w:rsidRDefault="00296A74" w:rsidP="006E5F9A">
      <w:pPr>
        <w:pStyle w:val="a4"/>
        <w:ind w:left="0"/>
      </w:pPr>
      <w:r w:rsidRPr="0028514E">
        <w:rPr>
          <w:u w:val="single"/>
        </w:rPr>
        <w:t>Annostus</w:t>
      </w:r>
    </w:p>
    <w:p w14:paraId="3BF8F331" w14:textId="77777777" w:rsidR="003B7027" w:rsidRPr="0028514E" w:rsidRDefault="00296A74" w:rsidP="006E5F9A">
      <w:pPr>
        <w:pStyle w:val="a4"/>
        <w:ind w:left="0"/>
      </w:pPr>
      <w:r w:rsidRPr="0028514E">
        <w:rPr>
          <w:u w:val="single"/>
        </w:rPr>
        <w:t>Nivelreumapotilaat</w:t>
      </w:r>
    </w:p>
    <w:p w14:paraId="589660D0" w14:textId="77777777" w:rsidR="003B7027" w:rsidRPr="0028514E" w:rsidRDefault="003B7027" w:rsidP="006E5F9A">
      <w:pPr>
        <w:pStyle w:val="a4"/>
        <w:ind w:left="0"/>
      </w:pPr>
    </w:p>
    <w:p w14:paraId="1C0CE661" w14:textId="77777777" w:rsidR="003B7027" w:rsidRPr="0028514E" w:rsidRDefault="00296A74" w:rsidP="006E5F9A">
      <w:pPr>
        <w:pStyle w:val="a4"/>
        <w:ind w:left="0"/>
      </w:pPr>
      <w:r w:rsidRPr="0028514E">
        <w:t>Suositeltu annostus on 8 mg/kg. Lääke annostellaan neljän viikon välein.</w:t>
      </w:r>
    </w:p>
    <w:p w14:paraId="35EED069" w14:textId="77777777" w:rsidR="003B7027" w:rsidRPr="0028514E" w:rsidRDefault="003B7027" w:rsidP="006E5F9A">
      <w:pPr>
        <w:pStyle w:val="a4"/>
        <w:ind w:left="0"/>
      </w:pPr>
    </w:p>
    <w:p w14:paraId="25BE1653" w14:textId="77777777" w:rsidR="00B55ACF" w:rsidRPr="0028514E" w:rsidRDefault="00296A74" w:rsidP="006E5F9A">
      <w:pPr>
        <w:pStyle w:val="a4"/>
        <w:ind w:left="0"/>
      </w:pPr>
      <w:r w:rsidRPr="0028514E">
        <w:t>Yli 100 kg painaville potilaille ei suositella 800 mg:aa ylittäviä kerta-annoksia (ks. kohta 5.2).</w:t>
      </w:r>
    </w:p>
    <w:p w14:paraId="086B4140" w14:textId="77777777" w:rsidR="00BD1D86" w:rsidRPr="00A327CF" w:rsidRDefault="00BD1D86" w:rsidP="006E5F9A">
      <w:pPr>
        <w:pStyle w:val="a4"/>
        <w:ind w:left="0"/>
      </w:pPr>
    </w:p>
    <w:p w14:paraId="15B2F896" w14:textId="77777777" w:rsidR="003B7027" w:rsidRPr="00A327CF" w:rsidRDefault="00296A74" w:rsidP="006E5F9A">
      <w:pPr>
        <w:pStyle w:val="a4"/>
        <w:ind w:left="0"/>
      </w:pPr>
      <w:r w:rsidRPr="00A327CF">
        <w:t>Kliinisissä tutkimuksissa ei ole arvioitu yli 1,2 g:n annoksia (ks. kohta 5.1).</w:t>
      </w:r>
    </w:p>
    <w:p w14:paraId="0DF75F26" w14:textId="77777777" w:rsidR="00BD1D86" w:rsidRPr="00A327CF" w:rsidRDefault="00BD1D86" w:rsidP="006E5F9A">
      <w:pPr>
        <w:pStyle w:val="a4"/>
        <w:ind w:left="0"/>
      </w:pPr>
    </w:p>
    <w:p w14:paraId="6609E14F" w14:textId="77777777" w:rsidR="003B7027" w:rsidRPr="00A327CF" w:rsidRDefault="00296A74" w:rsidP="006E5F9A">
      <w:pPr>
        <w:pStyle w:val="a4"/>
        <w:ind w:left="0"/>
      </w:pPr>
      <w:r w:rsidRPr="00A327CF">
        <w:rPr>
          <w:u w:val="single"/>
        </w:rPr>
        <w:t>Annoksen muuttaminen poikkeavien laboratorioarvojen takia (ks. kohta 4.4).</w:t>
      </w:r>
    </w:p>
    <w:p w14:paraId="24158FDC" w14:textId="77777777" w:rsidR="003B7027" w:rsidRPr="00A327CF" w:rsidRDefault="003B7027" w:rsidP="006E5F9A">
      <w:pPr>
        <w:pStyle w:val="a4"/>
        <w:ind w:left="0"/>
      </w:pPr>
    </w:p>
    <w:p w14:paraId="6A3C9D92" w14:textId="77777777" w:rsidR="003B7027" w:rsidRPr="00A327CF" w:rsidRDefault="00296A74" w:rsidP="00A327CF">
      <w:pPr>
        <w:pStyle w:val="a"/>
      </w:pPr>
      <w:r w:rsidRPr="00A327CF">
        <w:t>Poikkeavat maksaentsyymit</w:t>
      </w:r>
    </w:p>
    <w:p w14:paraId="3275E226" w14:textId="77777777" w:rsidR="003B7027" w:rsidRPr="00A327CF" w:rsidRDefault="003B7027" w:rsidP="006E5F9A">
      <w:pPr>
        <w:pStyle w:val="a4"/>
        <w:ind w:left="0"/>
        <w:rPr>
          <w:sz w:val="20"/>
        </w:rPr>
      </w:pPr>
    </w:p>
    <w:tbl>
      <w:tblPr>
        <w:tblW w:w="488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47"/>
        <w:gridCol w:w="6899"/>
      </w:tblGrid>
      <w:tr w:rsidR="003B7027" w:rsidRPr="00777B93" w14:paraId="066368FE" w14:textId="77777777" w:rsidTr="00C96C2E">
        <w:trPr>
          <w:cantSplit/>
        </w:trPr>
        <w:tc>
          <w:tcPr>
            <w:tcW w:w="1992" w:type="dxa"/>
          </w:tcPr>
          <w:p w14:paraId="6F71AC29" w14:textId="77777777" w:rsidR="003B7027" w:rsidRPr="00A327CF" w:rsidRDefault="00296A74" w:rsidP="00A52BCC">
            <w:pPr>
              <w:pStyle w:val="TableParagraph"/>
              <w:suppressAutoHyphens/>
              <w:jc w:val="center"/>
            </w:pPr>
            <w:r w:rsidRPr="00A327CF">
              <w:t>Laboratorioarvo</w:t>
            </w:r>
          </w:p>
        </w:tc>
        <w:tc>
          <w:tcPr>
            <w:tcW w:w="7075" w:type="dxa"/>
          </w:tcPr>
          <w:p w14:paraId="76E6915C" w14:textId="77777777" w:rsidR="003B7027" w:rsidRPr="00A327CF" w:rsidRDefault="00296A74" w:rsidP="00A52BCC">
            <w:pPr>
              <w:pStyle w:val="TableParagraph"/>
              <w:suppressAutoHyphens/>
              <w:jc w:val="center"/>
            </w:pPr>
            <w:r w:rsidRPr="00A327CF">
              <w:t>Toimenpide</w:t>
            </w:r>
          </w:p>
        </w:tc>
      </w:tr>
      <w:tr w:rsidR="003B7027" w:rsidRPr="00ED6BAC" w14:paraId="1FA418AF" w14:textId="77777777" w:rsidTr="00C96C2E">
        <w:trPr>
          <w:cantSplit/>
        </w:trPr>
        <w:tc>
          <w:tcPr>
            <w:tcW w:w="1992" w:type="dxa"/>
          </w:tcPr>
          <w:p w14:paraId="2EBF8169" w14:textId="77777777" w:rsidR="003B7027" w:rsidRPr="00A327CF" w:rsidRDefault="00296A74" w:rsidP="00A52BCC">
            <w:pPr>
              <w:pStyle w:val="TableParagraph"/>
              <w:suppressAutoHyphens/>
            </w:pPr>
            <w:r w:rsidRPr="00A327CF">
              <w:t>&gt; 1–3 x viitevälin yläraja (ULN)</w:t>
            </w:r>
            <w:r w:rsidR="00BD1D86" w:rsidRPr="00A327CF">
              <w:t xml:space="preserve"> </w:t>
            </w:r>
            <w:r w:rsidRPr="00A327CF">
              <w:t>(Upper Limit of Normal = viitevälin yläraja)</w:t>
            </w:r>
          </w:p>
        </w:tc>
        <w:tc>
          <w:tcPr>
            <w:tcW w:w="7075" w:type="dxa"/>
          </w:tcPr>
          <w:p w14:paraId="03D46846" w14:textId="77777777" w:rsidR="003B7027" w:rsidRPr="00A327CF" w:rsidRDefault="00296A74" w:rsidP="003C43CF">
            <w:pPr>
              <w:pStyle w:val="TableParagraph"/>
              <w:suppressAutoHyphens/>
            </w:pPr>
            <w:r w:rsidRPr="00A327CF">
              <w:t>Muuta samanaikaisesti annettu MTX-annos, jos tarkoituksenmukaista.</w:t>
            </w:r>
          </w:p>
          <w:p w14:paraId="06B0F1B7" w14:textId="77777777" w:rsidR="00B55ACF" w:rsidRPr="00A327CF" w:rsidRDefault="00B55ACF" w:rsidP="003C43CF">
            <w:pPr>
              <w:pStyle w:val="TableParagraph"/>
              <w:suppressAutoHyphens/>
            </w:pPr>
          </w:p>
          <w:p w14:paraId="4D35BA5E" w14:textId="2E5571A1" w:rsidR="003B7027" w:rsidRPr="00A327CF" w:rsidRDefault="00296A74" w:rsidP="00A52BCC">
            <w:pPr>
              <w:pStyle w:val="TableParagraph"/>
              <w:suppressAutoHyphens/>
            </w:pPr>
            <w:r w:rsidRPr="00A327CF">
              <w:t xml:space="preserve">Jos arvon nousu on pitkäaikaista, vähennä </w:t>
            </w:r>
            <w:r w:rsidR="00CE70D0">
              <w:t>Avtozma-</w:t>
            </w:r>
            <w:r w:rsidRPr="00A327CF">
              <w:t xml:space="preserve">annosta 4 mg:aan/kg tai keskeytä </w:t>
            </w:r>
            <w:r w:rsidR="00CE70D0">
              <w:t>Avtozma</w:t>
            </w:r>
            <w:r w:rsidRPr="00A327CF">
              <w:t>-hoito, kunnes ALAT- (alaniiniaminotransferaasi) ja ASAT (aspartaattiaminotransferaasi)-arvot ovat normalisoituneet.</w:t>
            </w:r>
          </w:p>
          <w:p w14:paraId="213B8D87" w14:textId="77777777" w:rsidR="00B55ACF" w:rsidRPr="00A327CF" w:rsidRDefault="00B55ACF" w:rsidP="003C43CF">
            <w:pPr>
              <w:pStyle w:val="TableParagraph"/>
              <w:suppressAutoHyphens/>
            </w:pPr>
          </w:p>
          <w:p w14:paraId="04B144AB" w14:textId="77777777" w:rsidR="003B7027" w:rsidRPr="00A327CF" w:rsidRDefault="00296A74" w:rsidP="003C43CF">
            <w:pPr>
              <w:pStyle w:val="TableParagraph"/>
              <w:suppressAutoHyphens/>
            </w:pPr>
            <w:r w:rsidRPr="00A327CF">
              <w:t>Aloita uudelleen annoksella 4 mg/kg tai 8 mg/kg, kliinisen tilan mukaan.</w:t>
            </w:r>
          </w:p>
        </w:tc>
      </w:tr>
      <w:tr w:rsidR="003B7027" w:rsidRPr="00ED6BAC" w14:paraId="3ED6BDAA" w14:textId="77777777" w:rsidTr="00D440EB">
        <w:trPr>
          <w:cantSplit/>
        </w:trPr>
        <w:tc>
          <w:tcPr>
            <w:tcW w:w="1992" w:type="dxa"/>
            <w:tcBorders>
              <w:bottom w:val="single" w:sz="4" w:space="0" w:color="auto"/>
            </w:tcBorders>
          </w:tcPr>
          <w:p w14:paraId="7553ACC4" w14:textId="77777777" w:rsidR="003B7027" w:rsidRPr="00A327CF" w:rsidRDefault="00296A74" w:rsidP="00A52BCC">
            <w:pPr>
              <w:pStyle w:val="TableParagraph"/>
              <w:suppressAutoHyphens/>
            </w:pPr>
            <w:r w:rsidRPr="00A327CF">
              <w:lastRenderedPageBreak/>
              <w:t>&gt; 3–5 x viitevälin yläraja</w:t>
            </w:r>
          </w:p>
          <w:p w14:paraId="2617C813" w14:textId="77777777" w:rsidR="00B55ACF" w:rsidRPr="00A327CF" w:rsidRDefault="00B55ACF" w:rsidP="00A52BCC">
            <w:pPr>
              <w:pStyle w:val="TableParagraph"/>
              <w:suppressAutoHyphens/>
            </w:pPr>
          </w:p>
          <w:p w14:paraId="796357E4" w14:textId="77777777" w:rsidR="003B7027" w:rsidRPr="00A327CF" w:rsidRDefault="00296A74" w:rsidP="00A52BCC">
            <w:pPr>
              <w:pStyle w:val="TableParagraph"/>
              <w:suppressAutoHyphens/>
            </w:pPr>
            <w:r w:rsidRPr="00A327CF">
              <w:t>(varmistetaan toistetulla mittauksella, ks. kohta 4.4).</w:t>
            </w:r>
          </w:p>
        </w:tc>
        <w:tc>
          <w:tcPr>
            <w:tcW w:w="7075" w:type="dxa"/>
            <w:tcBorders>
              <w:bottom w:val="single" w:sz="4" w:space="0" w:color="auto"/>
            </w:tcBorders>
          </w:tcPr>
          <w:p w14:paraId="732FC19B" w14:textId="1EF4F14D" w:rsidR="003B7027" w:rsidRPr="00A327CF" w:rsidRDefault="00296A74" w:rsidP="00A52BCC">
            <w:pPr>
              <w:pStyle w:val="TableParagraph"/>
              <w:suppressAutoHyphens/>
            </w:pPr>
            <w:r w:rsidRPr="00A327CF">
              <w:t xml:space="preserve">Keskeytä </w:t>
            </w:r>
            <w:r w:rsidR="00CE70D0">
              <w:t>Avtozma</w:t>
            </w:r>
            <w:r w:rsidRPr="00A327CF">
              <w:t>-hoito kunnes arvo on &lt; 3 x viitevälin yläraja ja noudata yllä annettuja suosituksia arvolle &gt; 1–3 x viitevälin yläraja.</w:t>
            </w:r>
          </w:p>
          <w:p w14:paraId="0A235A36" w14:textId="77777777" w:rsidR="00B55ACF" w:rsidRPr="00A327CF" w:rsidRDefault="00B55ACF" w:rsidP="003C43CF">
            <w:pPr>
              <w:pStyle w:val="TableParagraph"/>
              <w:suppressAutoHyphens/>
            </w:pPr>
          </w:p>
          <w:p w14:paraId="094889AF" w14:textId="35D9D936" w:rsidR="003B7027" w:rsidRPr="00A327CF" w:rsidRDefault="00296A74" w:rsidP="00A52BCC">
            <w:pPr>
              <w:pStyle w:val="TableParagraph"/>
              <w:suppressAutoHyphens/>
            </w:pPr>
            <w:r w:rsidRPr="00A327CF">
              <w:t xml:space="preserve">Jos arvot nousevat uudestaan &gt; 3 x viitevälin yläraja, lopeta </w:t>
            </w:r>
            <w:r w:rsidR="00CE70D0">
              <w:t>Avtozma</w:t>
            </w:r>
            <w:r w:rsidRPr="00A327CF">
              <w:t>-hoito.</w:t>
            </w:r>
          </w:p>
        </w:tc>
      </w:tr>
      <w:tr w:rsidR="003B7027" w:rsidRPr="00777B93" w14:paraId="27646D49" w14:textId="77777777" w:rsidTr="00D440EB">
        <w:trPr>
          <w:cantSplit/>
        </w:trPr>
        <w:tc>
          <w:tcPr>
            <w:tcW w:w="1992" w:type="dxa"/>
            <w:tcBorders>
              <w:bottom w:val="single" w:sz="4" w:space="0" w:color="auto"/>
            </w:tcBorders>
          </w:tcPr>
          <w:p w14:paraId="4F36FA59" w14:textId="77777777" w:rsidR="003B7027" w:rsidRPr="00A327CF" w:rsidRDefault="00296A74" w:rsidP="003C43CF">
            <w:pPr>
              <w:pStyle w:val="TableParagraph"/>
              <w:suppressAutoHyphens/>
            </w:pPr>
            <w:r w:rsidRPr="00A327CF">
              <w:t>&gt; 5 x viitevälin yläraja</w:t>
            </w:r>
          </w:p>
        </w:tc>
        <w:tc>
          <w:tcPr>
            <w:tcW w:w="7075" w:type="dxa"/>
            <w:tcBorders>
              <w:bottom w:val="single" w:sz="4" w:space="0" w:color="auto"/>
            </w:tcBorders>
          </w:tcPr>
          <w:p w14:paraId="0B2F0F23" w14:textId="016EB5FA" w:rsidR="003B7027" w:rsidRPr="00A327CF" w:rsidRDefault="00296A74" w:rsidP="003C43CF">
            <w:pPr>
              <w:pStyle w:val="TableParagraph"/>
              <w:suppressAutoHyphens/>
            </w:pPr>
            <w:r w:rsidRPr="00A327CF">
              <w:t xml:space="preserve">Lopeta </w:t>
            </w:r>
            <w:r w:rsidR="00CE70D0">
              <w:t>Avtozma</w:t>
            </w:r>
            <w:r w:rsidRPr="00A327CF">
              <w:t>-hoito.</w:t>
            </w:r>
          </w:p>
        </w:tc>
      </w:tr>
    </w:tbl>
    <w:p w14:paraId="52C14C81" w14:textId="77777777" w:rsidR="00296A74" w:rsidRPr="00A327CF" w:rsidRDefault="00296A74" w:rsidP="006E5F9A">
      <w:pPr>
        <w:tabs>
          <w:tab w:val="left" w:pos="1604"/>
        </w:tabs>
        <w:rPr>
          <w:rFonts w:eastAsia="Symbol"/>
          <w:lang w:val="fi-FI" w:eastAsia="en-US"/>
        </w:rPr>
      </w:pPr>
    </w:p>
    <w:p w14:paraId="5CA0D989" w14:textId="77777777" w:rsidR="003B7027" w:rsidRPr="00A327CF" w:rsidRDefault="00296A74" w:rsidP="00A327CF">
      <w:pPr>
        <w:pStyle w:val="a"/>
      </w:pPr>
      <w:r w:rsidRPr="00A327CF">
        <w:t>Matala absoluuttinen neutrofiilien määrä (ANC)</w:t>
      </w:r>
    </w:p>
    <w:p w14:paraId="21C65375" w14:textId="77777777" w:rsidR="00BD1D86" w:rsidRPr="00CA43F5" w:rsidRDefault="00BD1D86" w:rsidP="006E5F9A">
      <w:pPr>
        <w:tabs>
          <w:tab w:val="left" w:pos="1604"/>
        </w:tabs>
        <w:rPr>
          <w:lang w:val="fi-FI"/>
        </w:rPr>
      </w:pPr>
    </w:p>
    <w:p w14:paraId="507C7E8D" w14:textId="0F47E4A1" w:rsidR="003B7027" w:rsidRPr="00A327CF" w:rsidRDefault="00296A74" w:rsidP="00A52BCC">
      <w:pPr>
        <w:pStyle w:val="a4"/>
        <w:ind w:left="0"/>
      </w:pPr>
      <w:r w:rsidRPr="00A327CF">
        <w:t xml:space="preserve">Aiemmin </w:t>
      </w:r>
      <w:r w:rsidR="00CE70D0">
        <w:t>tosilitsumabilla</w:t>
      </w:r>
      <w:r w:rsidR="00CE70D0" w:rsidRPr="00A327CF">
        <w:t xml:space="preserve"> </w:t>
      </w:r>
      <w:r w:rsidRPr="00A327CF">
        <w:t>hoitamattomille potilaille ei suositella hoidon aloitusta, jos absoluuttinen neutrofiilien määrä (ANC) on &lt; 2 x 10</w:t>
      </w:r>
      <w:r w:rsidRPr="00A327CF">
        <w:rPr>
          <w:vertAlign w:val="superscript"/>
        </w:rPr>
        <w:t>9</w:t>
      </w:r>
      <w:r w:rsidRPr="00A327CF">
        <w:t>/l.</w:t>
      </w:r>
    </w:p>
    <w:p w14:paraId="530FD943" w14:textId="77777777" w:rsidR="00B55ACF" w:rsidRPr="0028514E" w:rsidRDefault="00B55ACF" w:rsidP="003C43CF">
      <w:pPr>
        <w:pStyle w:val="a4"/>
        <w:ind w:left="0"/>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52"/>
        <w:gridCol w:w="6894"/>
      </w:tblGrid>
      <w:tr w:rsidR="003B7027" w:rsidRPr="00777B93" w14:paraId="4DC9B268" w14:textId="77777777" w:rsidTr="00C96C2E">
        <w:trPr>
          <w:cantSplit/>
          <w:tblHeader/>
        </w:trPr>
        <w:tc>
          <w:tcPr>
            <w:tcW w:w="1997" w:type="dxa"/>
          </w:tcPr>
          <w:p w14:paraId="220ECAB7" w14:textId="77777777" w:rsidR="003B7027" w:rsidRPr="0028514E" w:rsidRDefault="00296A74" w:rsidP="003C43CF">
            <w:pPr>
              <w:pStyle w:val="TableParagraph"/>
              <w:keepNext/>
              <w:suppressAutoHyphens/>
              <w:jc w:val="center"/>
            </w:pPr>
            <w:r w:rsidRPr="0028514E">
              <w:t>Laboratorioarvo (solumäärä x 10</w:t>
            </w:r>
            <w:r w:rsidRPr="0028514E">
              <w:rPr>
                <w:vertAlign w:val="superscript"/>
              </w:rPr>
              <w:t>9</w:t>
            </w:r>
            <w:r w:rsidRPr="0028514E">
              <w:t>/l)</w:t>
            </w:r>
          </w:p>
        </w:tc>
        <w:tc>
          <w:tcPr>
            <w:tcW w:w="7070" w:type="dxa"/>
          </w:tcPr>
          <w:p w14:paraId="2C838D1F" w14:textId="77777777" w:rsidR="003B7027" w:rsidRPr="0028514E" w:rsidRDefault="00296A74" w:rsidP="003C43CF">
            <w:pPr>
              <w:pStyle w:val="TableParagraph"/>
              <w:keepNext/>
              <w:suppressAutoHyphens/>
              <w:jc w:val="center"/>
            </w:pPr>
            <w:r w:rsidRPr="0028514E">
              <w:t>Toimenpide</w:t>
            </w:r>
          </w:p>
        </w:tc>
      </w:tr>
      <w:tr w:rsidR="003B7027" w:rsidRPr="00777B93" w14:paraId="6DB854B2" w14:textId="77777777" w:rsidTr="00C96C2E">
        <w:trPr>
          <w:cantSplit/>
        </w:trPr>
        <w:tc>
          <w:tcPr>
            <w:tcW w:w="1997" w:type="dxa"/>
          </w:tcPr>
          <w:p w14:paraId="4DCE18F2" w14:textId="77777777" w:rsidR="003B7027" w:rsidRPr="0028514E" w:rsidRDefault="00296A74" w:rsidP="003C43CF">
            <w:pPr>
              <w:pStyle w:val="TableParagraph"/>
              <w:suppressAutoHyphens/>
              <w:jc w:val="center"/>
            </w:pPr>
            <w:r w:rsidRPr="0028514E">
              <w:t>ANC &gt; 1</w:t>
            </w:r>
          </w:p>
        </w:tc>
        <w:tc>
          <w:tcPr>
            <w:tcW w:w="7070" w:type="dxa"/>
          </w:tcPr>
          <w:p w14:paraId="769FDB98" w14:textId="77777777" w:rsidR="003B7027" w:rsidRPr="0028514E" w:rsidRDefault="00296A74" w:rsidP="003C43CF">
            <w:pPr>
              <w:pStyle w:val="TableParagraph"/>
              <w:suppressAutoHyphens/>
            </w:pPr>
            <w:r w:rsidRPr="0028514E">
              <w:t>Jatka samalla annoksella.</w:t>
            </w:r>
          </w:p>
        </w:tc>
      </w:tr>
      <w:tr w:rsidR="003B7027" w:rsidRPr="00BB5A61" w14:paraId="7BFF946A" w14:textId="77777777" w:rsidTr="00C96C2E">
        <w:trPr>
          <w:cantSplit/>
        </w:trPr>
        <w:tc>
          <w:tcPr>
            <w:tcW w:w="1997" w:type="dxa"/>
          </w:tcPr>
          <w:p w14:paraId="539621E1" w14:textId="77777777" w:rsidR="003B7027" w:rsidRPr="0028514E" w:rsidRDefault="00296A74" w:rsidP="003C43CF">
            <w:pPr>
              <w:pStyle w:val="TableParagraph"/>
              <w:suppressAutoHyphens/>
            </w:pPr>
            <w:r w:rsidRPr="0028514E">
              <w:t>ANC 0.5–1</w:t>
            </w:r>
          </w:p>
        </w:tc>
        <w:tc>
          <w:tcPr>
            <w:tcW w:w="7070" w:type="dxa"/>
          </w:tcPr>
          <w:p w14:paraId="419EA043" w14:textId="541ABFCB" w:rsidR="003B7027" w:rsidRPr="0028514E" w:rsidRDefault="00296A74" w:rsidP="003C43CF">
            <w:pPr>
              <w:pStyle w:val="TableParagraph"/>
              <w:suppressAutoHyphens/>
            </w:pPr>
            <w:r w:rsidRPr="0028514E">
              <w:t xml:space="preserve">Keskeytä </w:t>
            </w:r>
            <w:r w:rsidR="00CE70D0">
              <w:t>Avtozma</w:t>
            </w:r>
            <w:r w:rsidRPr="0028514E">
              <w:t>-hoito.</w:t>
            </w:r>
          </w:p>
          <w:p w14:paraId="7D76F6EA" w14:textId="77777777" w:rsidR="00B55ACF" w:rsidRPr="0028514E" w:rsidRDefault="00B55ACF" w:rsidP="003C43CF">
            <w:pPr>
              <w:pStyle w:val="TableParagraph"/>
              <w:suppressAutoHyphens/>
            </w:pPr>
          </w:p>
          <w:p w14:paraId="57EB6146" w14:textId="213CA2C8" w:rsidR="003B7027" w:rsidRPr="0028514E" w:rsidRDefault="00296A74" w:rsidP="003C43CF">
            <w:pPr>
              <w:pStyle w:val="TableParagraph"/>
              <w:suppressAutoHyphens/>
            </w:pPr>
            <w:r w:rsidRPr="0028514E">
              <w:t>Kun ANC nousee &gt; 1 x 10</w:t>
            </w:r>
            <w:r w:rsidRPr="0028514E">
              <w:rPr>
                <w:vertAlign w:val="superscript"/>
              </w:rPr>
              <w:t>9</w:t>
            </w:r>
            <w:r w:rsidRPr="0028514E">
              <w:t xml:space="preserve">/l, aloita </w:t>
            </w:r>
            <w:r w:rsidR="00CE70D0">
              <w:t>Avtozma</w:t>
            </w:r>
            <w:r w:rsidRPr="0028514E">
              <w:t>-hoito uudelleen annoksella 4 mg/kg ja nosta annokseen 8 mg/kg kliinisen tilan mukaan.</w:t>
            </w:r>
          </w:p>
        </w:tc>
      </w:tr>
      <w:tr w:rsidR="003B7027" w:rsidRPr="00777B93" w14:paraId="6578A95A" w14:textId="77777777" w:rsidTr="00C96C2E">
        <w:trPr>
          <w:cantSplit/>
        </w:trPr>
        <w:tc>
          <w:tcPr>
            <w:tcW w:w="1997" w:type="dxa"/>
          </w:tcPr>
          <w:p w14:paraId="16EDAC7C" w14:textId="77777777" w:rsidR="003B7027" w:rsidRPr="0028514E" w:rsidRDefault="00296A74" w:rsidP="003C43CF">
            <w:pPr>
              <w:pStyle w:val="TableParagraph"/>
              <w:suppressAutoHyphens/>
            </w:pPr>
            <w:r w:rsidRPr="0028514E">
              <w:t>ANC &lt; 0.5</w:t>
            </w:r>
          </w:p>
        </w:tc>
        <w:tc>
          <w:tcPr>
            <w:tcW w:w="7070" w:type="dxa"/>
          </w:tcPr>
          <w:p w14:paraId="36FEBBD5" w14:textId="2E3D8E27" w:rsidR="003B7027" w:rsidRPr="0028514E" w:rsidRDefault="00296A74" w:rsidP="003C43CF">
            <w:pPr>
              <w:pStyle w:val="TableParagraph"/>
              <w:suppressAutoHyphens/>
            </w:pPr>
            <w:r w:rsidRPr="0028514E">
              <w:t xml:space="preserve">Lopeta </w:t>
            </w:r>
            <w:r w:rsidR="00CE70D0">
              <w:t>Avtozma</w:t>
            </w:r>
            <w:r w:rsidRPr="0028514E">
              <w:t>-hoito.</w:t>
            </w:r>
          </w:p>
        </w:tc>
      </w:tr>
    </w:tbl>
    <w:p w14:paraId="6105CCC4" w14:textId="77777777" w:rsidR="00B55ACF" w:rsidRPr="0028514E" w:rsidRDefault="00B55ACF" w:rsidP="006E5F9A">
      <w:pPr>
        <w:tabs>
          <w:tab w:val="left" w:pos="1604"/>
        </w:tabs>
        <w:rPr>
          <w:rFonts w:ascii="Symbol" w:eastAsia="Symbol" w:hAnsi="Symbol" w:cs="Symbol"/>
          <w:lang w:val="fi-FI" w:eastAsia="en-US"/>
        </w:rPr>
      </w:pPr>
    </w:p>
    <w:p w14:paraId="368D6AB3" w14:textId="77777777" w:rsidR="003B7027" w:rsidRPr="0028514E" w:rsidRDefault="00296A74" w:rsidP="00A327CF">
      <w:pPr>
        <w:pStyle w:val="a"/>
      </w:pPr>
      <w:r w:rsidRPr="0028514E">
        <w:t>Pieni trombosyyttien määrä</w:t>
      </w:r>
    </w:p>
    <w:p w14:paraId="6A43134A" w14:textId="77777777" w:rsidR="003B7027" w:rsidRPr="0028514E" w:rsidRDefault="003B7027" w:rsidP="006E5F9A">
      <w:pPr>
        <w:pStyle w:val="a4"/>
        <w:ind w:left="0"/>
        <w:rPr>
          <w:sz w:val="20"/>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52"/>
        <w:gridCol w:w="6894"/>
      </w:tblGrid>
      <w:tr w:rsidR="003B7027" w:rsidRPr="00777B93" w14:paraId="31614B52" w14:textId="77777777" w:rsidTr="00C96C2E">
        <w:trPr>
          <w:cantSplit/>
        </w:trPr>
        <w:tc>
          <w:tcPr>
            <w:tcW w:w="1997" w:type="dxa"/>
          </w:tcPr>
          <w:p w14:paraId="2A47FBEA" w14:textId="77777777" w:rsidR="003B7027" w:rsidRPr="0028514E" w:rsidRDefault="00296A74" w:rsidP="003C43CF">
            <w:pPr>
              <w:pStyle w:val="TableParagraph"/>
              <w:suppressAutoHyphens/>
              <w:jc w:val="center"/>
            </w:pPr>
            <w:r w:rsidRPr="0028514E">
              <w:t>Laboratorioarvo (solumäärä x 10</w:t>
            </w:r>
            <w:r w:rsidRPr="0028514E">
              <w:rPr>
                <w:vertAlign w:val="superscript"/>
              </w:rPr>
              <w:t>3</w:t>
            </w:r>
            <w:r w:rsidRPr="0028514E">
              <w:t>/μl)</w:t>
            </w:r>
          </w:p>
        </w:tc>
        <w:tc>
          <w:tcPr>
            <w:tcW w:w="7070" w:type="dxa"/>
          </w:tcPr>
          <w:p w14:paraId="2698076B" w14:textId="77777777" w:rsidR="003B7027" w:rsidRPr="0028514E" w:rsidRDefault="00296A74" w:rsidP="003C43CF">
            <w:pPr>
              <w:pStyle w:val="TableParagraph"/>
              <w:suppressAutoHyphens/>
              <w:jc w:val="center"/>
            </w:pPr>
            <w:r w:rsidRPr="0028514E">
              <w:t>Toimenpide</w:t>
            </w:r>
          </w:p>
        </w:tc>
      </w:tr>
      <w:tr w:rsidR="003B7027" w:rsidRPr="00BB5A61" w14:paraId="76070C5E" w14:textId="77777777" w:rsidTr="00C96C2E">
        <w:trPr>
          <w:cantSplit/>
        </w:trPr>
        <w:tc>
          <w:tcPr>
            <w:tcW w:w="1997" w:type="dxa"/>
          </w:tcPr>
          <w:p w14:paraId="7C934C25" w14:textId="77777777" w:rsidR="003B7027" w:rsidRPr="0028514E" w:rsidRDefault="00296A74" w:rsidP="003C43CF">
            <w:pPr>
              <w:pStyle w:val="TableParagraph"/>
              <w:suppressAutoHyphens/>
            </w:pPr>
            <w:r w:rsidRPr="0028514E">
              <w:t>50–100</w:t>
            </w:r>
          </w:p>
        </w:tc>
        <w:tc>
          <w:tcPr>
            <w:tcW w:w="7070" w:type="dxa"/>
          </w:tcPr>
          <w:p w14:paraId="39DD32F5" w14:textId="0A832A30" w:rsidR="003B7027" w:rsidRPr="0028514E" w:rsidRDefault="00296A74" w:rsidP="003C43CF">
            <w:pPr>
              <w:pStyle w:val="TableParagraph"/>
              <w:suppressAutoHyphens/>
            </w:pPr>
            <w:r w:rsidRPr="0028514E">
              <w:t xml:space="preserve">Keskeytä </w:t>
            </w:r>
            <w:r w:rsidR="00CE70D0">
              <w:t>Avtozma</w:t>
            </w:r>
            <w:r w:rsidRPr="0028514E">
              <w:t>-hoito.</w:t>
            </w:r>
          </w:p>
          <w:p w14:paraId="75F8C33B" w14:textId="77777777" w:rsidR="00B55ACF" w:rsidRPr="0028514E" w:rsidRDefault="00B55ACF" w:rsidP="003C43CF">
            <w:pPr>
              <w:pStyle w:val="TableParagraph"/>
              <w:suppressAutoHyphens/>
            </w:pPr>
          </w:p>
          <w:p w14:paraId="6366B3A7" w14:textId="64F639DE" w:rsidR="003B7027" w:rsidRPr="0028514E" w:rsidRDefault="00296A74" w:rsidP="003C43CF">
            <w:pPr>
              <w:pStyle w:val="TableParagraph"/>
              <w:suppressAutoHyphens/>
            </w:pPr>
            <w:r w:rsidRPr="0028514E">
              <w:t>Kun trombosyyttien määrä nousee &gt; 100 x 10</w:t>
            </w:r>
            <w:r w:rsidRPr="0028514E">
              <w:rPr>
                <w:vertAlign w:val="superscript"/>
              </w:rPr>
              <w:t>3</w:t>
            </w:r>
            <w:r w:rsidRPr="0028514E">
              <w:t xml:space="preserve">/μl, aloita </w:t>
            </w:r>
            <w:r w:rsidR="00CE70D0">
              <w:t>Avtozma</w:t>
            </w:r>
            <w:r w:rsidRPr="0028514E">
              <w:t>-hoito uudelleen annoksella 4 mg/kg ja nosta annokseen 8 mg/kg kliinisen tilan mukaan.</w:t>
            </w:r>
          </w:p>
        </w:tc>
      </w:tr>
      <w:tr w:rsidR="003B7027" w:rsidRPr="00777B93" w14:paraId="480334A4" w14:textId="77777777" w:rsidTr="00C96C2E">
        <w:trPr>
          <w:cantSplit/>
        </w:trPr>
        <w:tc>
          <w:tcPr>
            <w:tcW w:w="1997" w:type="dxa"/>
          </w:tcPr>
          <w:p w14:paraId="07727846" w14:textId="77777777" w:rsidR="003B7027" w:rsidRPr="0028514E" w:rsidRDefault="00296A74" w:rsidP="003C43CF">
            <w:pPr>
              <w:pStyle w:val="TableParagraph"/>
              <w:suppressAutoHyphens/>
            </w:pPr>
            <w:r w:rsidRPr="0028514E">
              <w:t>&lt; 50</w:t>
            </w:r>
          </w:p>
        </w:tc>
        <w:tc>
          <w:tcPr>
            <w:tcW w:w="7070" w:type="dxa"/>
          </w:tcPr>
          <w:p w14:paraId="4D7CCE4D" w14:textId="5516EFF6" w:rsidR="003B7027" w:rsidRPr="0028514E" w:rsidRDefault="00296A74" w:rsidP="003C43CF">
            <w:pPr>
              <w:pStyle w:val="TableParagraph"/>
              <w:suppressAutoHyphens/>
            </w:pPr>
            <w:r w:rsidRPr="0028514E">
              <w:t xml:space="preserve">Lopeta </w:t>
            </w:r>
            <w:r w:rsidR="00CE70D0">
              <w:t>Avtozma</w:t>
            </w:r>
            <w:r w:rsidRPr="0028514E">
              <w:t>-hoito.</w:t>
            </w:r>
          </w:p>
        </w:tc>
      </w:tr>
    </w:tbl>
    <w:p w14:paraId="3E075B29" w14:textId="77777777" w:rsidR="00B55ACF" w:rsidRPr="0028514E" w:rsidRDefault="00B55ACF" w:rsidP="006E5F9A">
      <w:pPr>
        <w:pStyle w:val="a4"/>
        <w:ind w:left="0"/>
        <w:rPr>
          <w:u w:val="single"/>
        </w:rPr>
      </w:pPr>
    </w:p>
    <w:p w14:paraId="3B40F6BB" w14:textId="77777777" w:rsidR="003B7027" w:rsidRPr="0028514E" w:rsidRDefault="00296A74" w:rsidP="006E5F9A">
      <w:pPr>
        <w:pStyle w:val="a4"/>
        <w:ind w:left="0"/>
      </w:pPr>
      <w:r w:rsidRPr="0028514E">
        <w:rPr>
          <w:u w:val="single"/>
        </w:rPr>
        <w:t>COVID-19-potilaat</w:t>
      </w:r>
    </w:p>
    <w:p w14:paraId="46463EAC" w14:textId="77777777" w:rsidR="00B55ACF" w:rsidRPr="0028514E" w:rsidRDefault="00B55ACF" w:rsidP="006E5F9A">
      <w:pPr>
        <w:pStyle w:val="a4"/>
        <w:ind w:left="0"/>
      </w:pPr>
    </w:p>
    <w:p w14:paraId="0FDF250E" w14:textId="6C0082F0" w:rsidR="003B7027" w:rsidRPr="0028514E" w:rsidRDefault="00296A74" w:rsidP="006E5F9A">
      <w:pPr>
        <w:pStyle w:val="a4"/>
        <w:ind w:left="0"/>
      </w:pPr>
      <w:r w:rsidRPr="0028514E">
        <w:t xml:space="preserve">COVID-19-taudin hoitoon suositeltu annostus potilaille, jotka saavat systeemistä kortikosteroidihoitoa ja tarvitsevat lisähappea tai hengityskonehoitoa, on 60 minuuttia kestävä 8 mg/kg kertainfuusio laskimoon, ks. kohta 5.1. Jos kliiniset oireet tai löydökset pahenevat tai eivät lievene ensimmäisen annoksen jälkeen, voidaan antaa yksi 8 mg/kg </w:t>
      </w:r>
      <w:r w:rsidR="00CE70D0">
        <w:t>Avtozma</w:t>
      </w:r>
      <w:r w:rsidRPr="0028514E">
        <w:t>-lisäinfuusio. Kahden infuusion välisen ajan pitää olla vähintään 8 tuntia.</w:t>
      </w:r>
    </w:p>
    <w:p w14:paraId="7E9D3205" w14:textId="77777777" w:rsidR="003B7027" w:rsidRPr="0028514E" w:rsidRDefault="003B7027" w:rsidP="006E5F9A">
      <w:pPr>
        <w:pStyle w:val="a4"/>
        <w:ind w:left="0"/>
      </w:pPr>
    </w:p>
    <w:p w14:paraId="6F94E2E6" w14:textId="77777777" w:rsidR="003B7027" w:rsidRPr="0028514E" w:rsidRDefault="00296A74" w:rsidP="006E5F9A">
      <w:pPr>
        <w:pStyle w:val="a4"/>
        <w:ind w:left="0"/>
      </w:pPr>
      <w:r w:rsidRPr="0028514E">
        <w:t>Yli 100 kg painaville potilaille ei suositella 800 mg:aa ylittäviä kerta-annoksia (ks. kohta 5.2).</w:t>
      </w:r>
    </w:p>
    <w:p w14:paraId="3DD17FC6" w14:textId="77777777" w:rsidR="003B7027" w:rsidRPr="0028514E" w:rsidRDefault="003B7027" w:rsidP="006E5F9A">
      <w:pPr>
        <w:pStyle w:val="a4"/>
        <w:ind w:left="0"/>
      </w:pPr>
    </w:p>
    <w:p w14:paraId="291FB043" w14:textId="6AAC1178" w:rsidR="003B7027" w:rsidRPr="0028514E" w:rsidRDefault="00CE70D0" w:rsidP="006E5F9A">
      <w:pPr>
        <w:pStyle w:val="a4"/>
        <w:ind w:left="0"/>
      </w:pPr>
      <w:r>
        <w:t>Avtozma</w:t>
      </w:r>
      <w:r w:rsidR="00296A74" w:rsidRPr="0028514E">
        <w:t>-valmisteen antoa ei suositella COVID-19-potilaille, joilla on jokin seuraavista poikkeavista laboratorioarvoista:</w:t>
      </w:r>
    </w:p>
    <w:p w14:paraId="3FB9D24E" w14:textId="77777777" w:rsidR="003B7027" w:rsidRPr="0028514E" w:rsidRDefault="003B7027" w:rsidP="006E5F9A">
      <w:pPr>
        <w:pStyle w:val="a4"/>
        <w:ind w:left="0"/>
        <w:rPr>
          <w:sz w:val="20"/>
        </w:rPr>
      </w:pPr>
    </w:p>
    <w:tbl>
      <w:tblPr>
        <w:tblW w:w="906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942"/>
        <w:gridCol w:w="3120"/>
        <w:gridCol w:w="3005"/>
      </w:tblGrid>
      <w:tr w:rsidR="003B7027" w:rsidRPr="00777B93" w14:paraId="3274021B" w14:textId="77777777" w:rsidTr="00C96C2E">
        <w:trPr>
          <w:cantSplit/>
        </w:trPr>
        <w:tc>
          <w:tcPr>
            <w:tcW w:w="2942" w:type="dxa"/>
          </w:tcPr>
          <w:p w14:paraId="56C5DD9D" w14:textId="77777777" w:rsidR="003B7027" w:rsidRPr="0028514E" w:rsidRDefault="00296A74" w:rsidP="003C43CF">
            <w:pPr>
              <w:pStyle w:val="TableParagraph"/>
              <w:suppressAutoHyphens/>
              <w:jc w:val="center"/>
              <w:rPr>
                <w:u w:val="single"/>
              </w:rPr>
            </w:pPr>
            <w:r w:rsidRPr="0028514E">
              <w:rPr>
                <w:u w:val="single"/>
              </w:rPr>
              <w:t>Laboratoriotestityyppi</w:t>
            </w:r>
          </w:p>
        </w:tc>
        <w:tc>
          <w:tcPr>
            <w:tcW w:w="3120" w:type="dxa"/>
          </w:tcPr>
          <w:p w14:paraId="7FD3C3B9" w14:textId="77777777" w:rsidR="003B7027" w:rsidRPr="0028514E" w:rsidRDefault="00296A74" w:rsidP="003C43CF">
            <w:pPr>
              <w:pStyle w:val="TableParagraph"/>
              <w:suppressAutoHyphens/>
              <w:jc w:val="center"/>
              <w:rPr>
                <w:u w:val="single"/>
              </w:rPr>
            </w:pPr>
            <w:r w:rsidRPr="0028514E">
              <w:rPr>
                <w:u w:val="single"/>
              </w:rPr>
              <w:t>Laboratorioarvo</w:t>
            </w:r>
          </w:p>
        </w:tc>
        <w:tc>
          <w:tcPr>
            <w:tcW w:w="3005" w:type="dxa"/>
          </w:tcPr>
          <w:p w14:paraId="7A087B6D" w14:textId="77777777" w:rsidR="003B7027" w:rsidRPr="0028514E" w:rsidRDefault="00296A74" w:rsidP="003C43CF">
            <w:pPr>
              <w:pStyle w:val="TableParagraph"/>
              <w:suppressAutoHyphens/>
              <w:jc w:val="center"/>
              <w:rPr>
                <w:u w:val="single"/>
              </w:rPr>
            </w:pPr>
            <w:r w:rsidRPr="0028514E">
              <w:rPr>
                <w:u w:val="single"/>
              </w:rPr>
              <w:t>Toimenpide</w:t>
            </w:r>
          </w:p>
        </w:tc>
      </w:tr>
      <w:tr w:rsidR="003B7027" w:rsidRPr="00ED6BAC" w14:paraId="4BC8BBFB" w14:textId="77777777" w:rsidTr="00C96C2E">
        <w:trPr>
          <w:cantSplit/>
        </w:trPr>
        <w:tc>
          <w:tcPr>
            <w:tcW w:w="2942" w:type="dxa"/>
          </w:tcPr>
          <w:p w14:paraId="278182E1" w14:textId="77777777" w:rsidR="003B7027" w:rsidRPr="0028514E" w:rsidRDefault="00296A74" w:rsidP="003C43CF">
            <w:pPr>
              <w:pStyle w:val="TableParagraph"/>
              <w:suppressAutoHyphens/>
            </w:pPr>
            <w:r w:rsidRPr="0028514E">
              <w:t>Maksaentsyymit</w:t>
            </w:r>
          </w:p>
        </w:tc>
        <w:tc>
          <w:tcPr>
            <w:tcW w:w="3120" w:type="dxa"/>
          </w:tcPr>
          <w:p w14:paraId="2E86A6A4" w14:textId="6627122A" w:rsidR="003B7027" w:rsidRPr="0028514E" w:rsidRDefault="0007419D" w:rsidP="00C96C2E">
            <w:pPr>
              <w:pStyle w:val="TableParagraph"/>
              <w:suppressAutoHyphens/>
              <w:jc w:val="center"/>
            </w:pPr>
            <w:r w:rsidRPr="00DD3AA5">
              <w:rPr>
                <w:lang w:val="pt-PT"/>
              </w:rPr>
              <w:t>≥</w:t>
            </w:r>
            <w:r w:rsidR="00296A74" w:rsidRPr="0028514E">
              <w:t xml:space="preserve"> 10 x viitevälin yläraja</w:t>
            </w:r>
          </w:p>
        </w:tc>
        <w:tc>
          <w:tcPr>
            <w:tcW w:w="3005" w:type="dxa"/>
            <w:vMerge w:val="restart"/>
          </w:tcPr>
          <w:p w14:paraId="7EB39E31" w14:textId="03F0D2D7" w:rsidR="003B7027" w:rsidRPr="0028514E" w:rsidRDefault="00CE70D0" w:rsidP="003C43CF">
            <w:pPr>
              <w:pStyle w:val="TableParagraph"/>
              <w:suppressAutoHyphens/>
            </w:pPr>
            <w:r>
              <w:t>Avtozma</w:t>
            </w:r>
            <w:r w:rsidR="00296A74" w:rsidRPr="0028514E">
              <w:t>-valmisteen antoa ei suositella</w:t>
            </w:r>
          </w:p>
        </w:tc>
      </w:tr>
      <w:tr w:rsidR="003B7027" w:rsidRPr="00777B93" w14:paraId="6958DD4A" w14:textId="77777777" w:rsidTr="00C96C2E">
        <w:trPr>
          <w:cantSplit/>
        </w:trPr>
        <w:tc>
          <w:tcPr>
            <w:tcW w:w="2942" w:type="dxa"/>
          </w:tcPr>
          <w:p w14:paraId="6EE06186" w14:textId="77777777" w:rsidR="003B7027" w:rsidRPr="0028514E" w:rsidRDefault="00296A74" w:rsidP="003C43CF">
            <w:pPr>
              <w:pStyle w:val="TableParagraph"/>
              <w:suppressAutoHyphens/>
            </w:pPr>
            <w:r w:rsidRPr="0028514E">
              <w:t>Absoluuttinen neutrofiilimäärä</w:t>
            </w:r>
          </w:p>
        </w:tc>
        <w:tc>
          <w:tcPr>
            <w:tcW w:w="3120" w:type="dxa"/>
          </w:tcPr>
          <w:p w14:paraId="310A4D9D" w14:textId="77777777" w:rsidR="003B7027" w:rsidRPr="0028514E" w:rsidRDefault="00296A74" w:rsidP="003C43CF">
            <w:pPr>
              <w:pStyle w:val="TableParagraph"/>
              <w:suppressAutoHyphens/>
              <w:jc w:val="center"/>
            </w:pPr>
            <w:r w:rsidRPr="0028514E">
              <w:t>&lt; 1 x 10</w:t>
            </w:r>
            <w:r w:rsidRPr="0028514E">
              <w:rPr>
                <w:vertAlign w:val="superscript"/>
              </w:rPr>
              <w:t>9</w:t>
            </w:r>
            <w:r w:rsidRPr="0028514E">
              <w:t>/l</w:t>
            </w:r>
          </w:p>
        </w:tc>
        <w:tc>
          <w:tcPr>
            <w:tcW w:w="3005" w:type="dxa"/>
            <w:vMerge/>
            <w:tcBorders>
              <w:top w:val="nil"/>
            </w:tcBorders>
          </w:tcPr>
          <w:p w14:paraId="7350444B" w14:textId="77777777" w:rsidR="003B7027" w:rsidRPr="00777B93" w:rsidRDefault="003B7027" w:rsidP="003C43CF">
            <w:pPr>
              <w:suppressAutoHyphens/>
              <w:rPr>
                <w:sz w:val="2"/>
                <w:szCs w:val="2"/>
              </w:rPr>
            </w:pPr>
          </w:p>
        </w:tc>
      </w:tr>
      <w:tr w:rsidR="003B7027" w:rsidRPr="00777B93" w14:paraId="2A8D04BB" w14:textId="77777777" w:rsidTr="00C96C2E">
        <w:trPr>
          <w:cantSplit/>
        </w:trPr>
        <w:tc>
          <w:tcPr>
            <w:tcW w:w="2942" w:type="dxa"/>
          </w:tcPr>
          <w:p w14:paraId="112E5D64" w14:textId="77777777" w:rsidR="003B7027" w:rsidRPr="0028514E" w:rsidRDefault="00296A74" w:rsidP="003C43CF">
            <w:pPr>
              <w:pStyle w:val="TableParagraph"/>
              <w:suppressAutoHyphens/>
            </w:pPr>
            <w:r w:rsidRPr="0028514E">
              <w:t>Trombosyyttien määrä</w:t>
            </w:r>
          </w:p>
        </w:tc>
        <w:tc>
          <w:tcPr>
            <w:tcW w:w="3120" w:type="dxa"/>
          </w:tcPr>
          <w:p w14:paraId="3AC18252" w14:textId="77777777" w:rsidR="003B7027" w:rsidRPr="0028514E" w:rsidRDefault="00296A74" w:rsidP="003C43CF">
            <w:pPr>
              <w:pStyle w:val="TableParagraph"/>
              <w:suppressAutoHyphens/>
              <w:jc w:val="center"/>
            </w:pPr>
            <w:r w:rsidRPr="0028514E">
              <w:t>&lt; 50 x 10</w:t>
            </w:r>
            <w:r w:rsidRPr="0028514E">
              <w:rPr>
                <w:vertAlign w:val="superscript"/>
              </w:rPr>
              <w:t>3</w:t>
            </w:r>
            <w:r w:rsidRPr="0028514E">
              <w:t>/μl</w:t>
            </w:r>
          </w:p>
        </w:tc>
        <w:tc>
          <w:tcPr>
            <w:tcW w:w="3005" w:type="dxa"/>
            <w:vMerge/>
            <w:tcBorders>
              <w:top w:val="nil"/>
            </w:tcBorders>
          </w:tcPr>
          <w:p w14:paraId="2CB15816" w14:textId="77777777" w:rsidR="003B7027" w:rsidRPr="00777B93" w:rsidRDefault="003B7027" w:rsidP="003C43CF">
            <w:pPr>
              <w:suppressAutoHyphens/>
              <w:rPr>
                <w:sz w:val="2"/>
                <w:szCs w:val="2"/>
              </w:rPr>
            </w:pPr>
          </w:p>
        </w:tc>
      </w:tr>
    </w:tbl>
    <w:p w14:paraId="7EFB515F" w14:textId="77777777" w:rsidR="00B55ACF" w:rsidRPr="0028514E" w:rsidRDefault="00B55ACF" w:rsidP="006E5F9A">
      <w:pPr>
        <w:pStyle w:val="a4"/>
        <w:ind w:left="0"/>
        <w:rPr>
          <w:u w:val="single"/>
        </w:rPr>
      </w:pPr>
    </w:p>
    <w:p w14:paraId="0A6DA8BE" w14:textId="77777777" w:rsidR="003B7027" w:rsidRPr="0028514E" w:rsidRDefault="00296A74" w:rsidP="006E5F9A">
      <w:pPr>
        <w:pStyle w:val="a4"/>
        <w:ind w:left="0"/>
      </w:pPr>
      <w:r w:rsidRPr="0028514E">
        <w:rPr>
          <w:u w:val="single"/>
        </w:rPr>
        <w:t>Sytokiinien vapautumisoireyhtymä (aikuiset ja pediatriset potilaat)</w:t>
      </w:r>
    </w:p>
    <w:p w14:paraId="2BEF44FC" w14:textId="48D54611" w:rsidR="003B7027" w:rsidRPr="0028514E" w:rsidRDefault="00296A74" w:rsidP="006E5F9A">
      <w:pPr>
        <w:pStyle w:val="a4"/>
        <w:ind w:left="0"/>
      </w:pPr>
      <w:r w:rsidRPr="0028514E">
        <w:t xml:space="preserve">Suositeltu annostus sytokiinien vapautumisoireyhtymän hoitoon on 8 mg/kg vähintään 30 kg:n painoisille potilaille ja 12 mg/kg alle 30 kg:n painoisille potilaille. Annos annetaan 60 minuutin kestoisena infuusiona laskimoon. </w:t>
      </w:r>
      <w:r w:rsidR="00CE70D0">
        <w:t xml:space="preserve">Avtozma </w:t>
      </w:r>
      <w:r w:rsidRPr="0028514E">
        <w:t>voidaan antaa yksinään tai yhdistelmänä kortikosteroidien kanssa.</w:t>
      </w:r>
    </w:p>
    <w:p w14:paraId="153647B9" w14:textId="77777777" w:rsidR="00BD1D86" w:rsidRPr="0028514E" w:rsidRDefault="00BD1D86" w:rsidP="006E5F9A">
      <w:pPr>
        <w:pStyle w:val="a4"/>
        <w:ind w:left="0"/>
      </w:pPr>
    </w:p>
    <w:p w14:paraId="5E6A4551" w14:textId="38EDCA5A" w:rsidR="003B7027" w:rsidRPr="0028514E" w:rsidRDefault="00296A74" w:rsidP="006E5F9A">
      <w:pPr>
        <w:pStyle w:val="a4"/>
        <w:ind w:left="0"/>
      </w:pPr>
      <w:r w:rsidRPr="0028514E">
        <w:t xml:space="preserve">Jos ensimmäisen annoksen jälkeen ei havaita sytokiinien vapautumisoireyhtymän oireiden ja löydösten kliinistä lievenemistä, </w:t>
      </w:r>
      <w:r w:rsidR="00CE70D0">
        <w:t xml:space="preserve">Avtozmaa </w:t>
      </w:r>
      <w:r w:rsidRPr="0028514E">
        <w:t>voidaan antaa enintään 3 lisäannosta. Seuraavien annosten välillä on oltava vähintään 8 tuntia. Potilaille, joilla on sytokiinien vapautumisoireyhtymä, ei suositella yli 800 mg:n annoksia infuusiota kohden.</w:t>
      </w:r>
    </w:p>
    <w:p w14:paraId="2DF22EB6" w14:textId="77777777" w:rsidR="003B7027" w:rsidRPr="0028514E" w:rsidRDefault="003B7027" w:rsidP="006E5F9A">
      <w:pPr>
        <w:pStyle w:val="a4"/>
        <w:ind w:left="0"/>
      </w:pPr>
    </w:p>
    <w:p w14:paraId="3EF6C061" w14:textId="77777777" w:rsidR="003B7027" w:rsidRPr="0028514E" w:rsidRDefault="00296A74" w:rsidP="006E5F9A">
      <w:pPr>
        <w:pStyle w:val="a4"/>
        <w:ind w:left="0"/>
      </w:pPr>
      <w:r w:rsidRPr="0028514E">
        <w:t>Potilailla, joilla on vaikea-asteinen tai hengenvaarallinen sytokiinien vapautumisoireyhtymä, on usein sytopenioita tai kohonnut ALAT- tai ASAT-arvo perussairautena sairastetun syövän, aiemman lymfosyyttivajetta aiheuttaneen solunsalpaajahoidon tai sytokiinien vapautumisoireyhtymän vuoksi.</w:t>
      </w:r>
    </w:p>
    <w:p w14:paraId="1B3F0EED" w14:textId="77777777" w:rsidR="00296A74" w:rsidRPr="0028514E" w:rsidRDefault="00296A74" w:rsidP="006E5F9A">
      <w:pPr>
        <w:pStyle w:val="a4"/>
        <w:ind w:left="0"/>
      </w:pPr>
    </w:p>
    <w:p w14:paraId="5D2C4ABA" w14:textId="77777777" w:rsidR="003B7027" w:rsidRPr="00A327CF" w:rsidRDefault="00296A74" w:rsidP="006E5F9A">
      <w:pPr>
        <w:pStyle w:val="a4"/>
        <w:keepNext/>
        <w:keepLines/>
        <w:pageBreakBefore/>
        <w:ind w:left="0"/>
      </w:pPr>
      <w:r w:rsidRPr="00A327CF">
        <w:rPr>
          <w:u w:val="single"/>
        </w:rPr>
        <w:lastRenderedPageBreak/>
        <w:t>Erityisryhmät</w:t>
      </w:r>
    </w:p>
    <w:p w14:paraId="073B96FE" w14:textId="77777777" w:rsidR="003B7027" w:rsidRPr="00A327CF" w:rsidRDefault="003B7027" w:rsidP="006E5F9A">
      <w:pPr>
        <w:pStyle w:val="a4"/>
        <w:ind w:left="0"/>
      </w:pPr>
    </w:p>
    <w:p w14:paraId="141C4473" w14:textId="77777777" w:rsidR="003B7027" w:rsidRPr="00CA43F5" w:rsidRDefault="00296A74" w:rsidP="006E5F9A">
      <w:pPr>
        <w:rPr>
          <w:i/>
          <w:lang w:val="fi-FI"/>
        </w:rPr>
      </w:pPr>
      <w:r w:rsidRPr="00CA43F5">
        <w:rPr>
          <w:i/>
          <w:lang w:val="fi-FI"/>
        </w:rPr>
        <w:t>Pediatriset potilaat</w:t>
      </w:r>
    </w:p>
    <w:p w14:paraId="1B7AAFC5" w14:textId="77777777" w:rsidR="003B7027" w:rsidRPr="00A327CF" w:rsidRDefault="003B7027" w:rsidP="006E5F9A">
      <w:pPr>
        <w:pStyle w:val="a4"/>
        <w:ind w:left="0"/>
        <w:rPr>
          <w:i/>
        </w:rPr>
      </w:pPr>
    </w:p>
    <w:p w14:paraId="4CB5D0B0" w14:textId="77777777" w:rsidR="003B7027" w:rsidRPr="00CA43F5" w:rsidRDefault="00296A74" w:rsidP="006E5F9A">
      <w:pPr>
        <w:rPr>
          <w:i/>
          <w:lang w:val="fi-FI"/>
        </w:rPr>
      </w:pPr>
      <w:r w:rsidRPr="00CA43F5">
        <w:rPr>
          <w:i/>
          <w:lang w:val="fi-FI"/>
        </w:rPr>
        <w:t>Yleisoireista lastenreumaa sairastavat potilaat</w:t>
      </w:r>
    </w:p>
    <w:p w14:paraId="7613CBA6" w14:textId="77777777" w:rsidR="003B7027" w:rsidRPr="00A327CF" w:rsidRDefault="003B7027" w:rsidP="006E5F9A">
      <w:pPr>
        <w:pStyle w:val="a4"/>
        <w:ind w:left="0"/>
        <w:rPr>
          <w:i/>
        </w:rPr>
      </w:pPr>
    </w:p>
    <w:p w14:paraId="707885BB" w14:textId="77777777" w:rsidR="000C022E" w:rsidRPr="00A327CF" w:rsidRDefault="00296A74" w:rsidP="006E5F9A">
      <w:pPr>
        <w:pStyle w:val="a4"/>
        <w:ind w:left="0"/>
      </w:pPr>
      <w:r w:rsidRPr="00A327CF">
        <w:t>Suositeltu annostus yli 2-vuotiaille potilaille on 8 mg/kg joka toinen viikko 30 kg tai sitä enemmän painaville potilaille, tai 12 mg/kg joka toinen viikko alle 30 kg painaville potilaille. Annos on laskettava potilaan painon mukaan joka antokerralla. Annosmuutoksia tehdään vain, jos potilaan paino ajan mittaan muuttuu pysyvästi.</w:t>
      </w:r>
      <w:r w:rsidR="007935C2" w:rsidRPr="00A327CF">
        <w:t xml:space="preserve"> </w:t>
      </w:r>
    </w:p>
    <w:p w14:paraId="5AAF3C76" w14:textId="77777777" w:rsidR="000C022E" w:rsidRPr="00A327CF" w:rsidRDefault="000C022E" w:rsidP="006E5F9A">
      <w:pPr>
        <w:pStyle w:val="a4"/>
        <w:ind w:left="0"/>
      </w:pPr>
    </w:p>
    <w:p w14:paraId="0FAF5981" w14:textId="15789FD0" w:rsidR="003B7027" w:rsidRPr="00A327CF" w:rsidRDefault="00296A74" w:rsidP="006E5F9A">
      <w:pPr>
        <w:pStyle w:val="a4"/>
        <w:ind w:left="0"/>
      </w:pPr>
      <w:r w:rsidRPr="00A327CF">
        <w:t xml:space="preserve">Laskimoon annosteltavan </w:t>
      </w:r>
      <w:r w:rsidR="00CE70D0">
        <w:t xml:space="preserve">Avtozman </w:t>
      </w:r>
      <w:r w:rsidRPr="00A327CF">
        <w:t>turvallisuutta ja tehoa alle 2 vuoden ikäisten lasten hoidossa ei ole varmistettu.</w:t>
      </w:r>
    </w:p>
    <w:p w14:paraId="55096D26" w14:textId="77777777" w:rsidR="003B7027" w:rsidRPr="00A327CF" w:rsidRDefault="003B7027" w:rsidP="006E5F9A">
      <w:pPr>
        <w:pStyle w:val="a4"/>
        <w:ind w:left="0"/>
      </w:pPr>
    </w:p>
    <w:p w14:paraId="65AD28FD" w14:textId="77777777" w:rsidR="003B7027" w:rsidRPr="00A327CF" w:rsidRDefault="00296A74" w:rsidP="006E5F9A">
      <w:pPr>
        <w:pStyle w:val="a4"/>
        <w:ind w:left="0"/>
      </w:pPr>
      <w:r w:rsidRPr="00A327CF">
        <w:t>Tosilitsumabihoidon keskeyttämistä suositellaan, jos yleisoireista lastenreumaa sairastavilla potilailla todetaan seuraavassa taulukossa esitettyjä poikkeavia laboratorioarvoja. Samanaikaisesti annetun MTX:n ja/tai muiden lääkkeiden annoksia on tarvittaessa muutettava tai annostus on lopetettava ja tosilitsumabin antaminen on keskeytettävä, kunnes potilaan kliininen tila on selvitetty. Koska monet samanaikaiset sairaudet voivat vaikuttaa yleisoireista lastenreumaa sairastavien potilaiden laboratorioarvoihin, päätöksen tosilitsumabihoidon lopettamisesta poikkeavien laboratorioarvojen vuoksi on perustuttava yksittäisen potilaan lääketieteelliseen arviointiin.</w:t>
      </w:r>
    </w:p>
    <w:p w14:paraId="3F0A581D" w14:textId="77777777" w:rsidR="00B55ACF" w:rsidRPr="00A327CF" w:rsidRDefault="00B55ACF" w:rsidP="006E5F9A">
      <w:pPr>
        <w:pStyle w:val="a4"/>
        <w:ind w:left="0"/>
      </w:pPr>
    </w:p>
    <w:p w14:paraId="0AE32116" w14:textId="77777777" w:rsidR="003B7027" w:rsidRPr="00A327CF" w:rsidRDefault="00296A74" w:rsidP="00A327CF">
      <w:pPr>
        <w:pStyle w:val="a"/>
      </w:pPr>
      <w:r w:rsidRPr="00A327CF">
        <w:t>Poikkeavat maksaentsyymit</w:t>
      </w:r>
    </w:p>
    <w:p w14:paraId="46790695" w14:textId="77777777" w:rsidR="003B7027" w:rsidRPr="00A327CF" w:rsidRDefault="003B7027" w:rsidP="006E5F9A">
      <w:pPr>
        <w:pStyle w:val="a4"/>
        <w:ind w:left="0"/>
      </w:pPr>
    </w:p>
    <w:tbl>
      <w:tblPr>
        <w:tblW w:w="906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92"/>
        <w:gridCol w:w="7075"/>
      </w:tblGrid>
      <w:tr w:rsidR="003B7027" w:rsidRPr="00777B93" w14:paraId="2FEE3552" w14:textId="77777777" w:rsidTr="00C96C2E">
        <w:trPr>
          <w:cantSplit/>
        </w:trPr>
        <w:tc>
          <w:tcPr>
            <w:tcW w:w="1992" w:type="dxa"/>
          </w:tcPr>
          <w:p w14:paraId="2BFE67CF" w14:textId="77777777" w:rsidR="003B7027" w:rsidRPr="00A327CF" w:rsidRDefault="00296A74" w:rsidP="00BF3213">
            <w:pPr>
              <w:pStyle w:val="TableParagraph"/>
              <w:suppressAutoHyphens/>
              <w:jc w:val="center"/>
              <w:rPr>
                <w:bCs/>
              </w:rPr>
            </w:pPr>
            <w:r w:rsidRPr="00A327CF">
              <w:rPr>
                <w:bCs/>
              </w:rPr>
              <w:t>Laboratorioarvo</w:t>
            </w:r>
          </w:p>
        </w:tc>
        <w:tc>
          <w:tcPr>
            <w:tcW w:w="7075" w:type="dxa"/>
          </w:tcPr>
          <w:p w14:paraId="59E13655" w14:textId="77777777" w:rsidR="003B7027" w:rsidRPr="00A327CF" w:rsidRDefault="00296A74" w:rsidP="00BF3213">
            <w:pPr>
              <w:pStyle w:val="TableParagraph"/>
              <w:suppressAutoHyphens/>
              <w:jc w:val="center"/>
              <w:rPr>
                <w:bCs/>
              </w:rPr>
            </w:pPr>
            <w:r w:rsidRPr="00A327CF">
              <w:rPr>
                <w:bCs/>
              </w:rPr>
              <w:t>Toimenpide</w:t>
            </w:r>
          </w:p>
        </w:tc>
      </w:tr>
      <w:tr w:rsidR="003B7027" w:rsidRPr="00ED6BAC" w14:paraId="7BDBFA99" w14:textId="77777777" w:rsidTr="00C96C2E">
        <w:trPr>
          <w:cantSplit/>
        </w:trPr>
        <w:tc>
          <w:tcPr>
            <w:tcW w:w="1992" w:type="dxa"/>
          </w:tcPr>
          <w:p w14:paraId="6080477B" w14:textId="77777777" w:rsidR="003B7027" w:rsidRPr="00A327CF" w:rsidRDefault="00296A74" w:rsidP="00BF3213">
            <w:pPr>
              <w:pStyle w:val="TableParagraph"/>
              <w:suppressAutoHyphens/>
            </w:pPr>
            <w:r w:rsidRPr="00A327CF">
              <w:t>&gt; 1–3 x viitevälin yläraja</w:t>
            </w:r>
          </w:p>
        </w:tc>
        <w:tc>
          <w:tcPr>
            <w:tcW w:w="7075" w:type="dxa"/>
          </w:tcPr>
          <w:p w14:paraId="34431878" w14:textId="77777777" w:rsidR="003B7027" w:rsidRPr="00A327CF" w:rsidRDefault="00296A74" w:rsidP="00BF3213">
            <w:pPr>
              <w:pStyle w:val="TableParagraph"/>
              <w:suppressAutoHyphens/>
            </w:pPr>
            <w:r w:rsidRPr="00A327CF">
              <w:t>Muuta samanaikaisesti annettu MTX-annos, jos tarkoituksenmukaista.</w:t>
            </w:r>
          </w:p>
          <w:p w14:paraId="0D0E84D2" w14:textId="77777777" w:rsidR="00B55ACF" w:rsidRPr="00A327CF" w:rsidRDefault="00B55ACF" w:rsidP="00BF3213">
            <w:pPr>
              <w:pStyle w:val="TableParagraph"/>
              <w:suppressAutoHyphens/>
            </w:pPr>
          </w:p>
          <w:p w14:paraId="010A1BDF" w14:textId="4F979C1E" w:rsidR="003B7027" w:rsidRPr="00A327CF" w:rsidRDefault="00296A74" w:rsidP="00BF3213">
            <w:pPr>
              <w:pStyle w:val="TableParagraph"/>
              <w:suppressAutoHyphens/>
            </w:pPr>
            <w:r w:rsidRPr="00A327CF">
              <w:t xml:space="preserve">Jos arvon nousu on pitkäaikaista, keskeytä </w:t>
            </w:r>
            <w:r w:rsidR="00CE70D0">
              <w:t>Avtozma</w:t>
            </w:r>
            <w:r w:rsidRPr="00A327CF">
              <w:t>-hoito, kunnes ALAT- (alaniiniaminotransferaasi) ja ASAT (aspartaattiaminotransferaasi)-arvot ovat normalisoituneet.</w:t>
            </w:r>
          </w:p>
        </w:tc>
      </w:tr>
      <w:tr w:rsidR="003B7027" w:rsidRPr="00BB5A61" w14:paraId="2F76A99A" w14:textId="77777777" w:rsidTr="00D440EB">
        <w:trPr>
          <w:cantSplit/>
        </w:trPr>
        <w:tc>
          <w:tcPr>
            <w:tcW w:w="1992" w:type="dxa"/>
            <w:tcBorders>
              <w:bottom w:val="single" w:sz="4" w:space="0" w:color="000000"/>
            </w:tcBorders>
          </w:tcPr>
          <w:p w14:paraId="4129AF74" w14:textId="77777777" w:rsidR="003B7027" w:rsidRPr="00A327CF" w:rsidRDefault="00296A74" w:rsidP="00BF3213">
            <w:pPr>
              <w:pStyle w:val="TableParagraph"/>
              <w:suppressAutoHyphens/>
            </w:pPr>
            <w:r w:rsidRPr="00A327CF">
              <w:t>&gt; 3–5 x viitevälin yläraja</w:t>
            </w:r>
          </w:p>
        </w:tc>
        <w:tc>
          <w:tcPr>
            <w:tcW w:w="7075" w:type="dxa"/>
            <w:tcBorders>
              <w:bottom w:val="single" w:sz="4" w:space="0" w:color="000000"/>
            </w:tcBorders>
          </w:tcPr>
          <w:p w14:paraId="773CBB7F" w14:textId="77777777" w:rsidR="003B7027" w:rsidRPr="00A327CF" w:rsidRDefault="00296A74" w:rsidP="00BF3213">
            <w:pPr>
              <w:pStyle w:val="TableParagraph"/>
              <w:suppressAutoHyphens/>
            </w:pPr>
            <w:r w:rsidRPr="00A327CF">
              <w:t>Muuta samanaikaisesti annettu MTX-annos, jos tarkoituksenmukaista.</w:t>
            </w:r>
          </w:p>
          <w:p w14:paraId="6FF1E67A" w14:textId="77777777" w:rsidR="00B55ACF" w:rsidRPr="00A327CF" w:rsidRDefault="00B55ACF" w:rsidP="00BF3213">
            <w:pPr>
              <w:pStyle w:val="TableParagraph"/>
              <w:suppressAutoHyphens/>
            </w:pPr>
          </w:p>
          <w:p w14:paraId="2E23D387" w14:textId="064D1586" w:rsidR="003B7027" w:rsidRPr="00A327CF" w:rsidRDefault="00296A74" w:rsidP="00BF3213">
            <w:pPr>
              <w:pStyle w:val="TableParagraph"/>
              <w:suppressAutoHyphens/>
            </w:pPr>
            <w:r w:rsidRPr="00A327CF">
              <w:t xml:space="preserve">Keskeytä </w:t>
            </w:r>
            <w:r w:rsidR="00CE70D0">
              <w:t>Avtozma</w:t>
            </w:r>
            <w:r w:rsidRPr="00A327CF">
              <w:t>-hoito, kunnes arvo on &lt; 3 x viitevälin yläraja ja noudata yllä annettuja suosituksia arvolle &gt; 1–3 x viitevälin yläraja.</w:t>
            </w:r>
          </w:p>
        </w:tc>
      </w:tr>
      <w:tr w:rsidR="003B7027" w:rsidRPr="00BB5A61" w14:paraId="02AC81F4" w14:textId="77777777" w:rsidTr="00D440EB">
        <w:trPr>
          <w:cantSplit/>
        </w:trPr>
        <w:tc>
          <w:tcPr>
            <w:tcW w:w="1992" w:type="dxa"/>
            <w:tcBorders>
              <w:bottom w:val="single" w:sz="4" w:space="0" w:color="auto"/>
            </w:tcBorders>
          </w:tcPr>
          <w:p w14:paraId="76553E53" w14:textId="77777777" w:rsidR="003B7027" w:rsidRPr="00A327CF" w:rsidRDefault="00296A74" w:rsidP="00BF3213">
            <w:pPr>
              <w:pStyle w:val="TableParagraph"/>
              <w:suppressAutoHyphens/>
            </w:pPr>
            <w:r w:rsidRPr="00A327CF">
              <w:t>&gt; 5 x viitevälin yläraja</w:t>
            </w:r>
          </w:p>
        </w:tc>
        <w:tc>
          <w:tcPr>
            <w:tcW w:w="7075" w:type="dxa"/>
            <w:tcBorders>
              <w:bottom w:val="single" w:sz="4" w:space="0" w:color="auto"/>
            </w:tcBorders>
          </w:tcPr>
          <w:p w14:paraId="3F44FDFF" w14:textId="563F7B5D" w:rsidR="003B7027" w:rsidRPr="00A327CF" w:rsidRDefault="00296A74" w:rsidP="00BF3213">
            <w:pPr>
              <w:pStyle w:val="TableParagraph"/>
              <w:suppressAutoHyphens/>
            </w:pPr>
            <w:r w:rsidRPr="00A327CF">
              <w:t xml:space="preserve">Lopeta </w:t>
            </w:r>
            <w:r w:rsidR="00CE70D0">
              <w:t>Avtozma</w:t>
            </w:r>
            <w:r w:rsidRPr="00A327CF">
              <w:t>-hoito.</w:t>
            </w:r>
          </w:p>
          <w:p w14:paraId="54D1059D" w14:textId="77777777" w:rsidR="00B55ACF" w:rsidRPr="00A327CF" w:rsidRDefault="00B55ACF" w:rsidP="00BF3213">
            <w:pPr>
              <w:pStyle w:val="TableParagraph"/>
              <w:suppressAutoHyphens/>
            </w:pPr>
          </w:p>
          <w:p w14:paraId="71D13A0A" w14:textId="5C6C75C7" w:rsidR="003B7027" w:rsidRPr="00A327CF" w:rsidRDefault="00296A74" w:rsidP="00BF3213">
            <w:pPr>
              <w:pStyle w:val="TableParagraph"/>
              <w:suppressAutoHyphens/>
            </w:pPr>
            <w:r w:rsidRPr="00A327CF">
              <w:t xml:space="preserve">Päätöksen </w:t>
            </w:r>
            <w:r w:rsidR="00CE70D0">
              <w:t>Avtozma-</w:t>
            </w:r>
            <w:r w:rsidRPr="00A327CF">
              <w:t>hoidon lopettamisesta yleisoireista lastenreumaa sairastavilla potilailla poikkeavien laboratorioarvojen vuoksi on perustuttava yksittäisen potilaan lääketieteelliseen arviointiin.</w:t>
            </w:r>
          </w:p>
        </w:tc>
      </w:tr>
    </w:tbl>
    <w:p w14:paraId="2F022BE8" w14:textId="77777777" w:rsidR="00BD1D86" w:rsidRPr="00A327CF" w:rsidRDefault="00BD1D86" w:rsidP="00BF3213">
      <w:pPr>
        <w:tabs>
          <w:tab w:val="left" w:pos="540"/>
          <w:tab w:val="left" w:pos="1604"/>
        </w:tabs>
        <w:rPr>
          <w:rFonts w:eastAsia="Symbol"/>
          <w:lang w:val="fi-FI" w:eastAsia="en-US"/>
        </w:rPr>
      </w:pPr>
    </w:p>
    <w:p w14:paraId="015B3AF4" w14:textId="77777777" w:rsidR="003B7027" w:rsidRPr="00A327CF" w:rsidRDefault="00296A74" w:rsidP="00BF3213">
      <w:pPr>
        <w:pStyle w:val="a"/>
      </w:pPr>
      <w:r w:rsidRPr="00A327CF">
        <w:t>Matala absoluuttinen neutrofiilien määrä (ANC)</w:t>
      </w:r>
    </w:p>
    <w:p w14:paraId="23F15AB0" w14:textId="77777777" w:rsidR="003B7027" w:rsidRPr="00A327CF" w:rsidRDefault="003B7027" w:rsidP="00BF3213">
      <w:pPr>
        <w:pStyle w:val="a4"/>
        <w:ind w:left="0"/>
      </w:pPr>
    </w:p>
    <w:tbl>
      <w:tblPr>
        <w:tblW w:w="906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97"/>
        <w:gridCol w:w="7070"/>
      </w:tblGrid>
      <w:tr w:rsidR="003B7027" w:rsidRPr="00777B93" w14:paraId="42CDB2BE" w14:textId="77777777" w:rsidTr="00C96C2E">
        <w:trPr>
          <w:trHeight w:val="20"/>
        </w:trPr>
        <w:tc>
          <w:tcPr>
            <w:tcW w:w="1997" w:type="dxa"/>
          </w:tcPr>
          <w:p w14:paraId="7D30E6AE" w14:textId="77777777" w:rsidR="003B7027" w:rsidRPr="00A327CF" w:rsidRDefault="00296A74" w:rsidP="006E5F9A">
            <w:pPr>
              <w:pStyle w:val="TableParagraph"/>
              <w:jc w:val="center"/>
              <w:rPr>
                <w:bCs/>
              </w:rPr>
            </w:pPr>
            <w:r w:rsidRPr="00A327CF">
              <w:rPr>
                <w:bCs/>
              </w:rPr>
              <w:t>Laboratorioarvo (solumäärä x 10</w:t>
            </w:r>
            <w:r w:rsidRPr="00A327CF">
              <w:rPr>
                <w:bCs/>
                <w:vertAlign w:val="superscript"/>
              </w:rPr>
              <w:t>9</w:t>
            </w:r>
            <w:r w:rsidRPr="00A327CF">
              <w:rPr>
                <w:bCs/>
              </w:rPr>
              <w:t>/l)</w:t>
            </w:r>
          </w:p>
        </w:tc>
        <w:tc>
          <w:tcPr>
            <w:tcW w:w="7070" w:type="dxa"/>
          </w:tcPr>
          <w:p w14:paraId="580E9742" w14:textId="77777777" w:rsidR="003B7027" w:rsidRPr="00A327CF" w:rsidRDefault="00296A74" w:rsidP="006E5F9A">
            <w:pPr>
              <w:pStyle w:val="TableParagraph"/>
              <w:jc w:val="center"/>
              <w:rPr>
                <w:bCs/>
              </w:rPr>
            </w:pPr>
            <w:r w:rsidRPr="00A327CF">
              <w:rPr>
                <w:bCs/>
              </w:rPr>
              <w:t>Toimenpide</w:t>
            </w:r>
          </w:p>
        </w:tc>
      </w:tr>
      <w:tr w:rsidR="003B7027" w:rsidRPr="00777B93" w14:paraId="78FBE5D6" w14:textId="77777777" w:rsidTr="00C96C2E">
        <w:trPr>
          <w:trHeight w:val="20"/>
        </w:trPr>
        <w:tc>
          <w:tcPr>
            <w:tcW w:w="1997" w:type="dxa"/>
          </w:tcPr>
          <w:p w14:paraId="684EEED9" w14:textId="77777777" w:rsidR="003B7027" w:rsidRPr="00A327CF" w:rsidRDefault="00296A74" w:rsidP="006E5F9A">
            <w:pPr>
              <w:pStyle w:val="TableParagraph"/>
            </w:pPr>
            <w:r w:rsidRPr="00A327CF">
              <w:t>ANC &gt; 1</w:t>
            </w:r>
          </w:p>
        </w:tc>
        <w:tc>
          <w:tcPr>
            <w:tcW w:w="7070" w:type="dxa"/>
          </w:tcPr>
          <w:p w14:paraId="372DF424" w14:textId="77777777" w:rsidR="003B7027" w:rsidRPr="00A327CF" w:rsidRDefault="00296A74" w:rsidP="006E5F9A">
            <w:pPr>
              <w:pStyle w:val="TableParagraph"/>
            </w:pPr>
            <w:r w:rsidRPr="00A327CF">
              <w:t>Jatka samalla annoksella.</w:t>
            </w:r>
          </w:p>
        </w:tc>
      </w:tr>
      <w:tr w:rsidR="003B7027" w:rsidRPr="00ED6BAC" w14:paraId="391567E1" w14:textId="77777777" w:rsidTr="00C96C2E">
        <w:trPr>
          <w:trHeight w:val="20"/>
        </w:trPr>
        <w:tc>
          <w:tcPr>
            <w:tcW w:w="1997" w:type="dxa"/>
          </w:tcPr>
          <w:p w14:paraId="72AD3DFF" w14:textId="77777777" w:rsidR="003B7027" w:rsidRPr="00A327CF" w:rsidRDefault="00296A74" w:rsidP="006E5F9A">
            <w:pPr>
              <w:pStyle w:val="TableParagraph"/>
            </w:pPr>
            <w:r w:rsidRPr="00A327CF">
              <w:t>ANC 0.5–1</w:t>
            </w:r>
          </w:p>
        </w:tc>
        <w:tc>
          <w:tcPr>
            <w:tcW w:w="7070" w:type="dxa"/>
          </w:tcPr>
          <w:p w14:paraId="7B305831" w14:textId="47EF28B6" w:rsidR="003B7027" w:rsidRPr="00A327CF" w:rsidRDefault="00296A74" w:rsidP="006E5F9A">
            <w:pPr>
              <w:pStyle w:val="TableParagraph"/>
            </w:pPr>
            <w:r w:rsidRPr="00A327CF">
              <w:t xml:space="preserve">Keskeytä </w:t>
            </w:r>
            <w:r w:rsidR="00CE70D0">
              <w:t>Avtozma</w:t>
            </w:r>
            <w:r w:rsidRPr="00A327CF">
              <w:t>-hoito.</w:t>
            </w:r>
          </w:p>
          <w:p w14:paraId="08B45A0C" w14:textId="77777777" w:rsidR="007935C2" w:rsidRPr="00A327CF" w:rsidRDefault="007935C2" w:rsidP="006E5F9A">
            <w:pPr>
              <w:pStyle w:val="TableParagraph"/>
            </w:pPr>
          </w:p>
          <w:p w14:paraId="09EF36C9" w14:textId="3CF9AAA7" w:rsidR="003B7027" w:rsidRPr="00A327CF" w:rsidRDefault="00296A74" w:rsidP="006E5F9A">
            <w:pPr>
              <w:pStyle w:val="TableParagraph"/>
            </w:pPr>
            <w:r w:rsidRPr="00A327CF">
              <w:t>Kun ANC nousee &gt; 1 x 10</w:t>
            </w:r>
            <w:r w:rsidRPr="00A327CF">
              <w:rPr>
                <w:vertAlign w:val="superscript"/>
              </w:rPr>
              <w:t>9</w:t>
            </w:r>
            <w:r w:rsidRPr="00A327CF">
              <w:t xml:space="preserve">/l, aloita </w:t>
            </w:r>
            <w:r w:rsidR="00CE70D0">
              <w:t>Avtozma</w:t>
            </w:r>
            <w:r w:rsidRPr="00A327CF">
              <w:t>-hoito uudelleen.</w:t>
            </w:r>
          </w:p>
        </w:tc>
      </w:tr>
      <w:tr w:rsidR="003B7027" w:rsidRPr="00BB5A61" w14:paraId="24345057" w14:textId="77777777" w:rsidTr="00C96C2E">
        <w:trPr>
          <w:trHeight w:val="20"/>
        </w:trPr>
        <w:tc>
          <w:tcPr>
            <w:tcW w:w="1997" w:type="dxa"/>
          </w:tcPr>
          <w:p w14:paraId="053EF8AF" w14:textId="77777777" w:rsidR="003B7027" w:rsidRPr="00A327CF" w:rsidRDefault="00296A74" w:rsidP="006E5F9A">
            <w:pPr>
              <w:pStyle w:val="TableParagraph"/>
            </w:pPr>
            <w:r w:rsidRPr="00A327CF">
              <w:t>ANC &lt; 0.5</w:t>
            </w:r>
          </w:p>
        </w:tc>
        <w:tc>
          <w:tcPr>
            <w:tcW w:w="7070" w:type="dxa"/>
          </w:tcPr>
          <w:p w14:paraId="5BD71229" w14:textId="5114AF05" w:rsidR="003B7027" w:rsidRPr="00A327CF" w:rsidRDefault="00296A74" w:rsidP="006E5F9A">
            <w:pPr>
              <w:pStyle w:val="TableParagraph"/>
            </w:pPr>
            <w:r w:rsidRPr="00A327CF">
              <w:t xml:space="preserve">Lopeta </w:t>
            </w:r>
            <w:r w:rsidR="00CE70D0">
              <w:t>Avtozma</w:t>
            </w:r>
            <w:r w:rsidRPr="00A327CF">
              <w:t>-hoito.</w:t>
            </w:r>
          </w:p>
          <w:p w14:paraId="64E09EC3" w14:textId="77777777" w:rsidR="007935C2" w:rsidRPr="00A327CF" w:rsidRDefault="007935C2" w:rsidP="006E5F9A">
            <w:pPr>
              <w:pStyle w:val="TableParagraph"/>
            </w:pPr>
          </w:p>
          <w:p w14:paraId="18377FF3" w14:textId="218B314E" w:rsidR="003B7027" w:rsidRPr="00A327CF" w:rsidRDefault="00296A74" w:rsidP="006E5F9A">
            <w:pPr>
              <w:pStyle w:val="TableParagraph"/>
            </w:pPr>
            <w:r w:rsidRPr="00A327CF">
              <w:t xml:space="preserve">Päätöksen </w:t>
            </w:r>
            <w:r w:rsidR="00CE70D0">
              <w:t>Avtozma-</w:t>
            </w:r>
            <w:r w:rsidRPr="00A327CF">
              <w:t>hoidon lopettamisesta yleisoireista lastenreumaa sairastavilla potilailla poikkeavien laboratorioarvojen vuoksi on perustuttava yksittäisen potilaan lääketieteelliseen arviointiin.</w:t>
            </w:r>
          </w:p>
        </w:tc>
      </w:tr>
    </w:tbl>
    <w:p w14:paraId="05FAE2E4" w14:textId="77777777" w:rsidR="0078643A" w:rsidRPr="0028514E" w:rsidRDefault="0078643A" w:rsidP="006E5F9A">
      <w:pPr>
        <w:tabs>
          <w:tab w:val="left" w:pos="540"/>
          <w:tab w:val="left" w:pos="1604"/>
        </w:tabs>
        <w:rPr>
          <w:rFonts w:ascii="Symbol" w:eastAsia="Symbol" w:hAnsi="Symbol" w:cs="Symbol"/>
          <w:lang w:val="fi-FI" w:eastAsia="en-US"/>
        </w:rPr>
      </w:pPr>
    </w:p>
    <w:p w14:paraId="04DEEAAC" w14:textId="77777777" w:rsidR="003B7027" w:rsidRPr="0028514E" w:rsidRDefault="00296A74" w:rsidP="003C43CF">
      <w:pPr>
        <w:pStyle w:val="a"/>
        <w:keepNext/>
      </w:pPr>
      <w:r w:rsidRPr="0028514E">
        <w:lastRenderedPageBreak/>
        <w:t>Pieni trombosyyttien määrä</w:t>
      </w:r>
    </w:p>
    <w:p w14:paraId="76DD718B" w14:textId="77777777" w:rsidR="003B7027" w:rsidRPr="0028514E" w:rsidRDefault="003B7027" w:rsidP="006E5F9A">
      <w:pPr>
        <w:pStyle w:val="a4"/>
        <w:ind w:left="0"/>
        <w:rPr>
          <w:sz w:val="20"/>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137"/>
        <w:gridCol w:w="6709"/>
      </w:tblGrid>
      <w:tr w:rsidR="003B7027" w:rsidRPr="00777B93" w14:paraId="1AAE2B18" w14:textId="77777777" w:rsidTr="00C96C2E">
        <w:trPr>
          <w:trHeight w:val="20"/>
        </w:trPr>
        <w:tc>
          <w:tcPr>
            <w:tcW w:w="2187" w:type="dxa"/>
          </w:tcPr>
          <w:p w14:paraId="2859D004" w14:textId="77777777" w:rsidR="003B7027" w:rsidRPr="0028514E" w:rsidRDefault="00296A74" w:rsidP="006E5F9A">
            <w:pPr>
              <w:pStyle w:val="TableParagraph"/>
              <w:jc w:val="center"/>
              <w:rPr>
                <w:b/>
              </w:rPr>
            </w:pPr>
            <w:r w:rsidRPr="0028514E">
              <w:rPr>
                <w:b/>
              </w:rPr>
              <w:t>Laboratorioarvo (solumäärä x 10</w:t>
            </w:r>
            <w:r w:rsidRPr="0028514E">
              <w:rPr>
                <w:b/>
                <w:vertAlign w:val="superscript"/>
              </w:rPr>
              <w:t>3</w:t>
            </w:r>
            <w:r w:rsidRPr="0028514E">
              <w:rPr>
                <w:b/>
              </w:rPr>
              <w:t>/μl)</w:t>
            </w:r>
          </w:p>
        </w:tc>
        <w:tc>
          <w:tcPr>
            <w:tcW w:w="6880" w:type="dxa"/>
          </w:tcPr>
          <w:p w14:paraId="188E004C" w14:textId="77777777" w:rsidR="003B7027" w:rsidRPr="0028514E" w:rsidRDefault="00296A74" w:rsidP="006E5F9A">
            <w:pPr>
              <w:pStyle w:val="TableParagraph"/>
              <w:jc w:val="center"/>
              <w:rPr>
                <w:b/>
              </w:rPr>
            </w:pPr>
            <w:r w:rsidRPr="0028514E">
              <w:rPr>
                <w:b/>
              </w:rPr>
              <w:t>Toimenpide</w:t>
            </w:r>
          </w:p>
        </w:tc>
      </w:tr>
      <w:tr w:rsidR="003B7027" w:rsidRPr="00BB5A61" w14:paraId="20FD86E2" w14:textId="77777777" w:rsidTr="00C96C2E">
        <w:trPr>
          <w:trHeight w:val="20"/>
        </w:trPr>
        <w:tc>
          <w:tcPr>
            <w:tcW w:w="2187" w:type="dxa"/>
          </w:tcPr>
          <w:p w14:paraId="26B7F623" w14:textId="77777777" w:rsidR="003B7027" w:rsidRPr="0028514E" w:rsidRDefault="00296A74" w:rsidP="006E5F9A">
            <w:pPr>
              <w:pStyle w:val="TableParagraph"/>
            </w:pPr>
            <w:r w:rsidRPr="0028514E">
              <w:t>50–100</w:t>
            </w:r>
          </w:p>
        </w:tc>
        <w:tc>
          <w:tcPr>
            <w:tcW w:w="6880" w:type="dxa"/>
          </w:tcPr>
          <w:p w14:paraId="7A6A5BF3" w14:textId="77777777" w:rsidR="007935C2" w:rsidRPr="0028514E" w:rsidRDefault="00296A74" w:rsidP="006E5F9A">
            <w:pPr>
              <w:pStyle w:val="TableParagraph"/>
            </w:pPr>
            <w:r w:rsidRPr="0028514E">
              <w:t>Muuta samanaikaisesti annettu MTX-annos, jos tarkoituksenmukaista.</w:t>
            </w:r>
          </w:p>
          <w:p w14:paraId="5D56852B" w14:textId="77777777" w:rsidR="007935C2" w:rsidRPr="0028514E" w:rsidRDefault="007935C2" w:rsidP="006E5F9A">
            <w:pPr>
              <w:pStyle w:val="TableParagraph"/>
            </w:pPr>
          </w:p>
          <w:p w14:paraId="5B3FA141" w14:textId="73EF32AF" w:rsidR="003B7027" w:rsidRPr="0028514E" w:rsidRDefault="00296A74" w:rsidP="006E5F9A">
            <w:pPr>
              <w:pStyle w:val="TableParagraph"/>
            </w:pPr>
            <w:r w:rsidRPr="0028514E">
              <w:t xml:space="preserve">Keskeytä </w:t>
            </w:r>
            <w:r w:rsidR="006443E2">
              <w:t>Avtozma</w:t>
            </w:r>
            <w:r w:rsidRPr="0028514E">
              <w:t>-hoito.</w:t>
            </w:r>
          </w:p>
          <w:p w14:paraId="331A2443" w14:textId="77777777" w:rsidR="007935C2" w:rsidRPr="0028514E" w:rsidRDefault="007935C2" w:rsidP="006E5F9A">
            <w:pPr>
              <w:pStyle w:val="TableParagraph"/>
            </w:pPr>
          </w:p>
          <w:p w14:paraId="0CEDFC87" w14:textId="3A784A00" w:rsidR="003B7027" w:rsidRPr="0028514E" w:rsidRDefault="00296A74" w:rsidP="006E5F9A">
            <w:pPr>
              <w:pStyle w:val="TableParagraph"/>
            </w:pPr>
            <w:r w:rsidRPr="0028514E">
              <w:t>Kun trombosyyttien määrä nousee &gt; 100 x 10</w:t>
            </w:r>
            <w:r w:rsidRPr="0028514E">
              <w:rPr>
                <w:vertAlign w:val="superscript"/>
              </w:rPr>
              <w:t>3</w:t>
            </w:r>
            <w:r w:rsidRPr="0028514E">
              <w:t xml:space="preserve">/μl, aloita </w:t>
            </w:r>
            <w:r w:rsidR="006443E2">
              <w:t>Avtozma</w:t>
            </w:r>
            <w:r w:rsidRPr="0028514E">
              <w:t>-hoito uudelleen.</w:t>
            </w:r>
          </w:p>
        </w:tc>
      </w:tr>
      <w:tr w:rsidR="003B7027" w:rsidRPr="00BB5A61" w14:paraId="43520D91" w14:textId="77777777" w:rsidTr="00C96C2E">
        <w:trPr>
          <w:trHeight w:val="20"/>
        </w:trPr>
        <w:tc>
          <w:tcPr>
            <w:tcW w:w="2187" w:type="dxa"/>
          </w:tcPr>
          <w:p w14:paraId="392C5CA6" w14:textId="77777777" w:rsidR="003B7027" w:rsidRPr="0028514E" w:rsidRDefault="00296A74" w:rsidP="006E5F9A">
            <w:pPr>
              <w:pStyle w:val="TableParagraph"/>
            </w:pPr>
            <w:r w:rsidRPr="0028514E">
              <w:t>&lt; 50</w:t>
            </w:r>
          </w:p>
        </w:tc>
        <w:tc>
          <w:tcPr>
            <w:tcW w:w="6880" w:type="dxa"/>
          </w:tcPr>
          <w:p w14:paraId="75EB3042" w14:textId="33BBC787" w:rsidR="003B7027" w:rsidRPr="0028514E" w:rsidRDefault="00296A74" w:rsidP="006E5F9A">
            <w:pPr>
              <w:pStyle w:val="TableParagraph"/>
            </w:pPr>
            <w:r w:rsidRPr="0028514E">
              <w:t xml:space="preserve">Lopeta </w:t>
            </w:r>
            <w:r w:rsidR="006443E2">
              <w:t>Avtozma</w:t>
            </w:r>
            <w:r w:rsidRPr="0028514E">
              <w:t>-hoito.</w:t>
            </w:r>
          </w:p>
          <w:p w14:paraId="5AA739A7" w14:textId="77777777" w:rsidR="007935C2" w:rsidRPr="0028514E" w:rsidRDefault="007935C2" w:rsidP="006E5F9A">
            <w:pPr>
              <w:pStyle w:val="TableParagraph"/>
            </w:pPr>
          </w:p>
          <w:p w14:paraId="5C5BA83D" w14:textId="77777777" w:rsidR="003B7027" w:rsidRPr="0028514E" w:rsidRDefault="00296A74" w:rsidP="006E5F9A">
            <w:pPr>
              <w:pStyle w:val="TableParagraph"/>
            </w:pPr>
            <w:r w:rsidRPr="0028514E">
              <w:t>Päätöksen tosilitsumabihoidon lopettamisesta yleisoireista lastenreumaa sairastavilla potilailla poikkeavien laboratorioarvojen vuoksi on perustuttava yksittäisen potilaan lääketieteelliseen arviointiin.</w:t>
            </w:r>
          </w:p>
        </w:tc>
      </w:tr>
    </w:tbl>
    <w:p w14:paraId="3DDF529C" w14:textId="77777777" w:rsidR="0078643A" w:rsidRPr="0028514E" w:rsidRDefault="0078643A" w:rsidP="006E5F9A">
      <w:pPr>
        <w:pStyle w:val="a4"/>
        <w:ind w:left="0"/>
      </w:pPr>
    </w:p>
    <w:p w14:paraId="3B7109D5" w14:textId="77777777" w:rsidR="003B7027" w:rsidRPr="0028514E" w:rsidRDefault="00296A74" w:rsidP="006E5F9A">
      <w:pPr>
        <w:pStyle w:val="a4"/>
        <w:ind w:left="0"/>
      </w:pPr>
      <w:r w:rsidRPr="0028514E">
        <w:t>Ei ole riittävästi kliinisiä tietoja, jotta voitaisiin arvioida tosilitsumabiannoksen pienentämisen vaikutukset yleisoireista lastenreumaa sairastavilla potilailla, joiden laboratorioarvot ovat olleet poikkeavia.</w:t>
      </w:r>
    </w:p>
    <w:p w14:paraId="7A92FE14" w14:textId="77777777" w:rsidR="007935C2" w:rsidRPr="0028514E" w:rsidRDefault="007935C2" w:rsidP="006E5F9A">
      <w:pPr>
        <w:pStyle w:val="a4"/>
        <w:ind w:left="0"/>
      </w:pPr>
    </w:p>
    <w:p w14:paraId="742A2CF7" w14:textId="45E2649A" w:rsidR="003B7027" w:rsidRPr="0028514E" w:rsidRDefault="00296A74" w:rsidP="006E5F9A">
      <w:pPr>
        <w:pStyle w:val="a4"/>
        <w:ind w:left="0"/>
      </w:pPr>
      <w:r w:rsidRPr="0028514E">
        <w:t xml:space="preserve">Saatavilla olevat tiedot viittaavat siihen, että kliininen vaste on havaittavissa 6 viikon kuluessa </w:t>
      </w:r>
      <w:r w:rsidR="00CE70D0">
        <w:t>tosilitsumabi</w:t>
      </w:r>
      <w:r w:rsidRPr="0028514E">
        <w:t>hoidon aloittamisesta. Ellei potilaan tilassa tapahdu paranemista tänä aikana, hoidon jatkamista pitää arvioida huolellisesti uudelleen.</w:t>
      </w:r>
    </w:p>
    <w:p w14:paraId="110BE88F" w14:textId="77777777" w:rsidR="003B7027" w:rsidRPr="0028514E" w:rsidRDefault="003B7027" w:rsidP="006E5F9A">
      <w:pPr>
        <w:pStyle w:val="a4"/>
        <w:ind w:left="0"/>
      </w:pPr>
    </w:p>
    <w:p w14:paraId="10E56DED" w14:textId="77777777" w:rsidR="003B7027" w:rsidRPr="00CA43F5" w:rsidRDefault="00296A74" w:rsidP="006E5F9A">
      <w:pPr>
        <w:rPr>
          <w:i/>
          <w:lang w:val="fi-FI"/>
        </w:rPr>
      </w:pPr>
      <w:r w:rsidRPr="00CA43F5">
        <w:rPr>
          <w:i/>
          <w:lang w:val="fi-FI"/>
        </w:rPr>
        <w:t>Polyartriittia sairastavat potilaat</w:t>
      </w:r>
    </w:p>
    <w:p w14:paraId="4CB6C482" w14:textId="77777777" w:rsidR="003B7027" w:rsidRPr="0028514E" w:rsidRDefault="003B7027" w:rsidP="006E5F9A">
      <w:pPr>
        <w:pStyle w:val="a4"/>
        <w:ind w:left="0"/>
        <w:rPr>
          <w:i/>
        </w:rPr>
      </w:pPr>
    </w:p>
    <w:p w14:paraId="1A9D9DE6" w14:textId="77777777" w:rsidR="003B7027" w:rsidRPr="0028514E" w:rsidRDefault="00296A74" w:rsidP="006E5F9A">
      <w:pPr>
        <w:pStyle w:val="a4"/>
        <w:ind w:left="0"/>
      </w:pPr>
      <w:r w:rsidRPr="0028514E">
        <w:t>Suositeltu annostus yli 2-vuotiaille potilaille on 8 mg/kg kerran joka 4. viikko 30 kg tai sitä enemmän painaville potilaille, tai 10 mg/kg kerran joka 4. viikko alle 30 kg painaville potilaille. Annos on laskettava potilaan painon mukaan joka antokerralla. Annosmuutoksia tehdään vain, jos potilaan paino ajan mittaan muuttuu pysyvästi.</w:t>
      </w:r>
    </w:p>
    <w:p w14:paraId="2BBF3EE6" w14:textId="77777777" w:rsidR="003B7027" w:rsidRPr="0028514E" w:rsidRDefault="003B7027" w:rsidP="006E5F9A">
      <w:pPr>
        <w:pStyle w:val="a4"/>
        <w:ind w:left="0"/>
      </w:pPr>
    </w:p>
    <w:p w14:paraId="62DCB5D3" w14:textId="193A4AA1" w:rsidR="003B7027" w:rsidRPr="0028514E" w:rsidRDefault="00296A74" w:rsidP="006E5F9A">
      <w:pPr>
        <w:pStyle w:val="a4"/>
        <w:ind w:left="0"/>
      </w:pPr>
      <w:r w:rsidRPr="0028514E">
        <w:t xml:space="preserve">Laskimoon annosteltavan </w:t>
      </w:r>
      <w:r w:rsidR="00CE70D0">
        <w:t xml:space="preserve">Avtozman </w:t>
      </w:r>
      <w:r w:rsidRPr="0028514E">
        <w:t>turvallisuutta ja tehoa alle 2 vuoden ikäisten lasten hoidossa ei ole varmistettu.</w:t>
      </w:r>
    </w:p>
    <w:p w14:paraId="4838494D" w14:textId="77777777" w:rsidR="007935C2" w:rsidRPr="0028514E" w:rsidRDefault="007935C2" w:rsidP="006E5F9A">
      <w:pPr>
        <w:pStyle w:val="a4"/>
        <w:ind w:left="0"/>
      </w:pPr>
    </w:p>
    <w:p w14:paraId="3260ED29" w14:textId="77777777" w:rsidR="003B7027" w:rsidRPr="0028514E" w:rsidRDefault="00296A74" w:rsidP="006E5F9A">
      <w:pPr>
        <w:pStyle w:val="a4"/>
        <w:ind w:left="0"/>
      </w:pPr>
      <w:r w:rsidRPr="0028514E">
        <w:t>Tosilitsumabihoidon keskeyttämistä suositellaan, jos polyartriittia sairastavilla potilailla todetaan seuraavassa taulukossa esitettyjä poikkeavia laboratorioarvoja. Samanaikaisesti annetun MTX:n ja/tai</w:t>
      </w:r>
      <w:r w:rsidR="007935C2" w:rsidRPr="0028514E">
        <w:t xml:space="preserve"> </w:t>
      </w:r>
      <w:r w:rsidRPr="0028514E">
        <w:t>muiden lääkkeiden annoksia on tarvittaessa muutettava tai annostus on lopetettava ja tosilitsumabin antaminen on keskeytettävä, kunnes potilaan kliininen tila on selvitetty. Koska monet samanaikaiset sairaudet voivat vaikuttaa polyartriittia sairastavien potilaiden laboratorioarvoihin, päätöksen tosilitsumabihoidon lopettamisesta poikkeavien laboratorioarvojen vuoksi on perustuttava yksittäisen potilaan lääketieteelliseen arviointiin.</w:t>
      </w:r>
    </w:p>
    <w:p w14:paraId="4B76FDBC" w14:textId="77777777" w:rsidR="003B7027" w:rsidRPr="00777B93" w:rsidRDefault="003B7027" w:rsidP="006E5F9A">
      <w:pPr>
        <w:pStyle w:val="a4"/>
        <w:ind w:left="0"/>
      </w:pPr>
    </w:p>
    <w:p w14:paraId="2EF0E5D9" w14:textId="77777777" w:rsidR="003B7027" w:rsidRPr="00A327CF" w:rsidRDefault="00296A74" w:rsidP="00A327CF">
      <w:pPr>
        <w:pStyle w:val="a"/>
      </w:pPr>
      <w:r w:rsidRPr="00A327CF">
        <w:t>Poikkeavat maksaentsyymit</w:t>
      </w:r>
    </w:p>
    <w:p w14:paraId="6AAE736C" w14:textId="77777777" w:rsidR="003B7027" w:rsidRPr="00777B93" w:rsidRDefault="003B7027" w:rsidP="006E5F9A">
      <w:pPr>
        <w:pStyle w:val="a4"/>
        <w:ind w:left="0"/>
        <w:rPr>
          <w:sz w:val="20"/>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003"/>
        <w:gridCol w:w="6843"/>
      </w:tblGrid>
      <w:tr w:rsidR="003B7027" w:rsidRPr="00777B93" w14:paraId="6B364D84" w14:textId="77777777" w:rsidTr="00C96C2E">
        <w:trPr>
          <w:cantSplit/>
          <w:tblHeader/>
        </w:trPr>
        <w:tc>
          <w:tcPr>
            <w:tcW w:w="2050" w:type="dxa"/>
          </w:tcPr>
          <w:p w14:paraId="418EDBEA" w14:textId="77777777" w:rsidR="003B7027" w:rsidRPr="00777B93" w:rsidRDefault="00296A74" w:rsidP="003C43CF">
            <w:pPr>
              <w:pStyle w:val="TableParagraph"/>
              <w:suppressAutoHyphens/>
              <w:jc w:val="center"/>
              <w:rPr>
                <w:bCs/>
              </w:rPr>
            </w:pPr>
            <w:r w:rsidRPr="00777B93">
              <w:rPr>
                <w:bCs/>
              </w:rPr>
              <w:t>Laboratorioarvo</w:t>
            </w:r>
          </w:p>
        </w:tc>
        <w:tc>
          <w:tcPr>
            <w:tcW w:w="7017" w:type="dxa"/>
          </w:tcPr>
          <w:p w14:paraId="20976625" w14:textId="77777777" w:rsidR="003B7027" w:rsidRPr="00777B93" w:rsidRDefault="00296A74" w:rsidP="003C43CF">
            <w:pPr>
              <w:pStyle w:val="TableParagraph"/>
              <w:suppressAutoHyphens/>
              <w:jc w:val="center"/>
              <w:rPr>
                <w:bCs/>
              </w:rPr>
            </w:pPr>
            <w:r w:rsidRPr="00777B93">
              <w:rPr>
                <w:bCs/>
              </w:rPr>
              <w:t>Toimenpide</w:t>
            </w:r>
          </w:p>
        </w:tc>
      </w:tr>
      <w:tr w:rsidR="003B7027" w:rsidRPr="00ED6BAC" w14:paraId="3BA27639" w14:textId="77777777" w:rsidTr="00C96C2E">
        <w:trPr>
          <w:cantSplit/>
        </w:trPr>
        <w:tc>
          <w:tcPr>
            <w:tcW w:w="2050" w:type="dxa"/>
          </w:tcPr>
          <w:p w14:paraId="1D48A403" w14:textId="77777777" w:rsidR="003B7027" w:rsidRPr="00777B93" w:rsidRDefault="00296A74" w:rsidP="003C43CF">
            <w:pPr>
              <w:pStyle w:val="TableParagraph"/>
              <w:suppressAutoHyphens/>
            </w:pPr>
            <w:r w:rsidRPr="00777B93">
              <w:t>&gt; 1–3 x viitevälin yläraja</w:t>
            </w:r>
          </w:p>
        </w:tc>
        <w:tc>
          <w:tcPr>
            <w:tcW w:w="7017" w:type="dxa"/>
          </w:tcPr>
          <w:p w14:paraId="06C8BFAA" w14:textId="77777777" w:rsidR="003B7027" w:rsidRPr="00777B93" w:rsidRDefault="00296A74" w:rsidP="003C43CF">
            <w:pPr>
              <w:pStyle w:val="TableParagraph"/>
              <w:suppressAutoHyphens/>
            </w:pPr>
            <w:r w:rsidRPr="00777B93">
              <w:t>Muuta samanaikaisesti annettu MTX-annos, jos tarkoituksenmukaista</w:t>
            </w:r>
          </w:p>
          <w:p w14:paraId="5E6D958D" w14:textId="77777777" w:rsidR="007935C2" w:rsidRPr="00777B93" w:rsidRDefault="007935C2" w:rsidP="003C43CF">
            <w:pPr>
              <w:pStyle w:val="TableParagraph"/>
              <w:suppressAutoHyphens/>
            </w:pPr>
          </w:p>
          <w:p w14:paraId="2D0F364A" w14:textId="6C4DBE6E" w:rsidR="003B7027" w:rsidRPr="00777B93" w:rsidRDefault="00296A74" w:rsidP="003C43CF">
            <w:pPr>
              <w:pStyle w:val="TableParagraph"/>
              <w:suppressAutoHyphens/>
            </w:pPr>
            <w:r w:rsidRPr="00777B93">
              <w:t xml:space="preserve">Jos arvon nousu on pitkäaikaista, keskeytä </w:t>
            </w:r>
            <w:r w:rsidR="00CE70D0">
              <w:t>Avtozma</w:t>
            </w:r>
            <w:r w:rsidRPr="00777B93">
              <w:t>-hoito, kunnes ALAT- (alaniiniaminotransferaasi) ja ASAT (aspartaattiaminotransferaasi)-arvot ovat normalisoituneet.</w:t>
            </w:r>
          </w:p>
        </w:tc>
      </w:tr>
      <w:tr w:rsidR="003B7027" w:rsidRPr="00BB5A61" w14:paraId="73C87BDD" w14:textId="77777777" w:rsidTr="00C96C2E">
        <w:trPr>
          <w:cantSplit/>
        </w:trPr>
        <w:tc>
          <w:tcPr>
            <w:tcW w:w="2050" w:type="dxa"/>
            <w:tcBorders>
              <w:bottom w:val="single" w:sz="4" w:space="0" w:color="000000"/>
            </w:tcBorders>
          </w:tcPr>
          <w:p w14:paraId="629E2B2B" w14:textId="77777777" w:rsidR="003B7027" w:rsidRPr="00777B93" w:rsidRDefault="00296A74" w:rsidP="003C43CF">
            <w:pPr>
              <w:pStyle w:val="TableParagraph"/>
              <w:suppressAutoHyphens/>
            </w:pPr>
            <w:r w:rsidRPr="00777B93">
              <w:t>&gt; 3–5 x viitevälin yläraja</w:t>
            </w:r>
          </w:p>
        </w:tc>
        <w:tc>
          <w:tcPr>
            <w:tcW w:w="7017" w:type="dxa"/>
            <w:tcBorders>
              <w:bottom w:val="single" w:sz="4" w:space="0" w:color="000000"/>
            </w:tcBorders>
          </w:tcPr>
          <w:p w14:paraId="68EAEEE1" w14:textId="77777777" w:rsidR="003B7027" w:rsidRPr="00777B93" w:rsidRDefault="00296A74" w:rsidP="003C43CF">
            <w:pPr>
              <w:pStyle w:val="TableParagraph"/>
              <w:suppressAutoHyphens/>
            </w:pPr>
            <w:r w:rsidRPr="00777B93">
              <w:t>Muuta samanaikaisesti annettu MTX-annos, jos tarkoituksenmukaista</w:t>
            </w:r>
          </w:p>
          <w:p w14:paraId="17DB1AE9" w14:textId="77777777" w:rsidR="007935C2" w:rsidRPr="00777B93" w:rsidRDefault="007935C2" w:rsidP="003C43CF">
            <w:pPr>
              <w:pStyle w:val="TableParagraph"/>
              <w:suppressAutoHyphens/>
            </w:pPr>
          </w:p>
          <w:p w14:paraId="4BA42912" w14:textId="7D8F67C9" w:rsidR="003B7027" w:rsidRPr="00777B93" w:rsidRDefault="00296A74" w:rsidP="003C43CF">
            <w:pPr>
              <w:pStyle w:val="TableParagraph"/>
              <w:suppressAutoHyphens/>
            </w:pPr>
            <w:r w:rsidRPr="00777B93">
              <w:t xml:space="preserve">Keskeytä </w:t>
            </w:r>
            <w:r w:rsidR="00CE70D0">
              <w:t>Avtozma</w:t>
            </w:r>
            <w:r w:rsidRPr="00777B93">
              <w:t>-hoito, kunnes arvo on &lt; 3 x viitevälin yläraja ja noudata yllä annettuja suosituksia arvolle &gt; 1–3 x viitevälin yläraja</w:t>
            </w:r>
          </w:p>
        </w:tc>
      </w:tr>
      <w:tr w:rsidR="003B7027" w:rsidRPr="00BB5A61" w14:paraId="7EE9C926" w14:textId="77777777" w:rsidTr="00C96C2E">
        <w:trPr>
          <w:cantSplit/>
        </w:trPr>
        <w:tc>
          <w:tcPr>
            <w:tcW w:w="2050" w:type="dxa"/>
          </w:tcPr>
          <w:p w14:paraId="6D44D5CD" w14:textId="77777777" w:rsidR="003B7027" w:rsidRPr="00777B93" w:rsidRDefault="00296A74" w:rsidP="003C43CF">
            <w:pPr>
              <w:pStyle w:val="TableParagraph"/>
              <w:suppressAutoHyphens/>
            </w:pPr>
            <w:r w:rsidRPr="00777B93">
              <w:lastRenderedPageBreak/>
              <w:t>&gt; 5 x viitevälin yläraja</w:t>
            </w:r>
          </w:p>
        </w:tc>
        <w:tc>
          <w:tcPr>
            <w:tcW w:w="7017" w:type="dxa"/>
          </w:tcPr>
          <w:p w14:paraId="04CB17E1" w14:textId="018D8488" w:rsidR="003B7027" w:rsidRPr="00777B93" w:rsidRDefault="00296A74" w:rsidP="003C43CF">
            <w:pPr>
              <w:pStyle w:val="TableParagraph"/>
              <w:suppressAutoHyphens/>
            </w:pPr>
            <w:r w:rsidRPr="00777B93">
              <w:t xml:space="preserve">Lopeta </w:t>
            </w:r>
            <w:r w:rsidR="00CE70D0">
              <w:t>Avtozma</w:t>
            </w:r>
            <w:r w:rsidRPr="00777B93">
              <w:t>-hoito.</w:t>
            </w:r>
          </w:p>
          <w:p w14:paraId="7E5FD6B2" w14:textId="77777777" w:rsidR="007935C2" w:rsidRPr="00777B93" w:rsidRDefault="007935C2" w:rsidP="003C43CF">
            <w:pPr>
              <w:pStyle w:val="TableParagraph"/>
              <w:suppressAutoHyphens/>
            </w:pPr>
          </w:p>
          <w:p w14:paraId="3DBC6133" w14:textId="2D220849" w:rsidR="003B7027" w:rsidRPr="00777B93" w:rsidRDefault="00296A74" w:rsidP="003C43CF">
            <w:pPr>
              <w:pStyle w:val="TableParagraph"/>
              <w:suppressAutoHyphens/>
            </w:pPr>
            <w:r w:rsidRPr="00777B93">
              <w:t xml:space="preserve">Päätöksen </w:t>
            </w:r>
            <w:r w:rsidR="00CE70D0">
              <w:t>Avtozma</w:t>
            </w:r>
            <w:r w:rsidRPr="00777B93">
              <w:t>-hoidon lopettamisesta polyartriittia sairastavilla potilailla poikkeavien laboratorioarvojen vuoksi on perustuttava yksittäisen potilaan lääketieteelliseen arviointiin.</w:t>
            </w:r>
          </w:p>
        </w:tc>
      </w:tr>
    </w:tbl>
    <w:p w14:paraId="69D6BF06" w14:textId="77777777" w:rsidR="007935C2" w:rsidRPr="00777B93" w:rsidRDefault="007935C2" w:rsidP="006E5F9A">
      <w:pPr>
        <w:tabs>
          <w:tab w:val="left" w:pos="1751"/>
        </w:tabs>
        <w:rPr>
          <w:rFonts w:eastAsia="Symbol"/>
          <w:lang w:val="fi-FI" w:eastAsia="en-US"/>
        </w:rPr>
      </w:pPr>
    </w:p>
    <w:p w14:paraId="6E6B2BB5" w14:textId="77777777" w:rsidR="003B7027" w:rsidRPr="00A327CF" w:rsidRDefault="00296A74" w:rsidP="00A327CF">
      <w:pPr>
        <w:pStyle w:val="a"/>
      </w:pPr>
      <w:r w:rsidRPr="00A327CF">
        <w:t>Matala absoluuttinen neutrofiilien määrä (ANC)</w:t>
      </w:r>
    </w:p>
    <w:p w14:paraId="2078B97D" w14:textId="77777777" w:rsidR="003B7027" w:rsidRPr="00A327CF" w:rsidRDefault="003B7027" w:rsidP="006E5F9A">
      <w:pPr>
        <w:pStyle w:val="a4"/>
        <w:ind w:left="0"/>
        <w:rPr>
          <w:sz w:val="20"/>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109"/>
        <w:gridCol w:w="6737"/>
      </w:tblGrid>
      <w:tr w:rsidR="003B7027" w:rsidRPr="00777B93" w14:paraId="1971535E" w14:textId="77777777" w:rsidTr="00C96C2E">
        <w:trPr>
          <w:cantSplit/>
        </w:trPr>
        <w:tc>
          <w:tcPr>
            <w:tcW w:w="2158" w:type="dxa"/>
          </w:tcPr>
          <w:p w14:paraId="5270B844" w14:textId="77777777" w:rsidR="003B7027" w:rsidRPr="00A327CF" w:rsidRDefault="00296A74" w:rsidP="003C43CF">
            <w:pPr>
              <w:pStyle w:val="TableParagraph"/>
              <w:suppressAutoHyphens/>
              <w:jc w:val="center"/>
              <w:rPr>
                <w:bCs/>
              </w:rPr>
            </w:pPr>
            <w:r w:rsidRPr="00A327CF">
              <w:rPr>
                <w:bCs/>
              </w:rPr>
              <w:t>Laboratorioarvo (solumäärä x 10</w:t>
            </w:r>
            <w:r w:rsidRPr="00A327CF">
              <w:rPr>
                <w:bCs/>
                <w:vertAlign w:val="superscript"/>
              </w:rPr>
              <w:t>9</w:t>
            </w:r>
            <w:r w:rsidRPr="00A327CF">
              <w:rPr>
                <w:bCs/>
              </w:rPr>
              <w:t>/ l)</w:t>
            </w:r>
          </w:p>
        </w:tc>
        <w:tc>
          <w:tcPr>
            <w:tcW w:w="6909" w:type="dxa"/>
          </w:tcPr>
          <w:p w14:paraId="4959E9F6" w14:textId="77777777" w:rsidR="003B7027" w:rsidRPr="00A327CF" w:rsidRDefault="00296A74" w:rsidP="003C43CF">
            <w:pPr>
              <w:pStyle w:val="TableParagraph"/>
              <w:suppressAutoHyphens/>
              <w:jc w:val="center"/>
              <w:rPr>
                <w:bCs/>
              </w:rPr>
            </w:pPr>
            <w:r w:rsidRPr="00A327CF">
              <w:rPr>
                <w:bCs/>
              </w:rPr>
              <w:t>Toimenpide</w:t>
            </w:r>
          </w:p>
        </w:tc>
      </w:tr>
      <w:tr w:rsidR="003B7027" w:rsidRPr="00777B93" w14:paraId="5BEF78B5" w14:textId="77777777" w:rsidTr="00C96C2E">
        <w:trPr>
          <w:cantSplit/>
        </w:trPr>
        <w:tc>
          <w:tcPr>
            <w:tcW w:w="2158" w:type="dxa"/>
          </w:tcPr>
          <w:p w14:paraId="2B97FE30" w14:textId="77777777" w:rsidR="003B7027" w:rsidRPr="00A327CF" w:rsidRDefault="00296A74" w:rsidP="003C43CF">
            <w:pPr>
              <w:pStyle w:val="TableParagraph"/>
              <w:suppressAutoHyphens/>
            </w:pPr>
            <w:r w:rsidRPr="00A327CF">
              <w:t>ANC &gt; 1</w:t>
            </w:r>
          </w:p>
        </w:tc>
        <w:tc>
          <w:tcPr>
            <w:tcW w:w="6909" w:type="dxa"/>
          </w:tcPr>
          <w:p w14:paraId="00FF4465" w14:textId="77777777" w:rsidR="003B7027" w:rsidRPr="00A327CF" w:rsidRDefault="00296A74" w:rsidP="003C43CF">
            <w:pPr>
              <w:pStyle w:val="TableParagraph"/>
              <w:suppressAutoHyphens/>
            </w:pPr>
            <w:r w:rsidRPr="00A327CF">
              <w:t>Jatka samalla annoksella</w:t>
            </w:r>
          </w:p>
        </w:tc>
      </w:tr>
      <w:tr w:rsidR="003B7027" w:rsidRPr="00ED6BAC" w14:paraId="4B597CA3" w14:textId="77777777" w:rsidTr="00C96C2E">
        <w:trPr>
          <w:cantSplit/>
        </w:trPr>
        <w:tc>
          <w:tcPr>
            <w:tcW w:w="2158" w:type="dxa"/>
            <w:tcBorders>
              <w:bottom w:val="single" w:sz="4" w:space="0" w:color="000000"/>
            </w:tcBorders>
          </w:tcPr>
          <w:p w14:paraId="0CF6A36E" w14:textId="77777777" w:rsidR="003B7027" w:rsidRPr="00A327CF" w:rsidRDefault="00296A74" w:rsidP="003C43CF">
            <w:pPr>
              <w:pStyle w:val="TableParagraph"/>
              <w:suppressAutoHyphens/>
            </w:pPr>
            <w:r w:rsidRPr="00A327CF">
              <w:t>ANC 0,5–1</w:t>
            </w:r>
          </w:p>
        </w:tc>
        <w:tc>
          <w:tcPr>
            <w:tcW w:w="6909" w:type="dxa"/>
            <w:tcBorders>
              <w:bottom w:val="single" w:sz="4" w:space="0" w:color="000000"/>
            </w:tcBorders>
          </w:tcPr>
          <w:p w14:paraId="6CE87293" w14:textId="0DA498D0" w:rsidR="003B7027" w:rsidRPr="00A327CF" w:rsidRDefault="00296A74" w:rsidP="003C43CF">
            <w:pPr>
              <w:pStyle w:val="TableParagraph"/>
              <w:suppressAutoHyphens/>
            </w:pPr>
            <w:r w:rsidRPr="00A327CF">
              <w:t xml:space="preserve">Keskeytä </w:t>
            </w:r>
            <w:r w:rsidR="00CE70D0">
              <w:t>Avtozma</w:t>
            </w:r>
            <w:r w:rsidRPr="00A327CF">
              <w:t>-hoito</w:t>
            </w:r>
          </w:p>
          <w:p w14:paraId="2C805369" w14:textId="77777777" w:rsidR="007935C2" w:rsidRPr="00A327CF" w:rsidRDefault="007935C2" w:rsidP="003C43CF">
            <w:pPr>
              <w:pStyle w:val="TableParagraph"/>
              <w:suppressAutoHyphens/>
            </w:pPr>
          </w:p>
          <w:p w14:paraId="520CAD19" w14:textId="7E871CB1" w:rsidR="003B7027" w:rsidRPr="00A327CF" w:rsidRDefault="00296A74" w:rsidP="003C43CF">
            <w:pPr>
              <w:pStyle w:val="TableParagraph"/>
              <w:suppressAutoHyphens/>
            </w:pPr>
            <w:r w:rsidRPr="00A327CF">
              <w:t>Kun ANC nousee &gt; 1 x 10</w:t>
            </w:r>
            <w:r w:rsidRPr="00A327CF">
              <w:rPr>
                <w:vertAlign w:val="superscript"/>
              </w:rPr>
              <w:t>9</w:t>
            </w:r>
            <w:r w:rsidRPr="00A327CF">
              <w:t xml:space="preserve">/l, aloita </w:t>
            </w:r>
            <w:r w:rsidR="00CE70D0">
              <w:t>Avtozma</w:t>
            </w:r>
            <w:r w:rsidRPr="00A327CF">
              <w:t>-hoito uudelleen</w:t>
            </w:r>
          </w:p>
        </w:tc>
      </w:tr>
      <w:tr w:rsidR="003B7027" w:rsidRPr="00BB5A61" w14:paraId="1A5B1C43" w14:textId="77777777" w:rsidTr="00C96C2E">
        <w:trPr>
          <w:cantSplit/>
        </w:trPr>
        <w:tc>
          <w:tcPr>
            <w:tcW w:w="2158" w:type="dxa"/>
          </w:tcPr>
          <w:p w14:paraId="430F49EA" w14:textId="77777777" w:rsidR="003B7027" w:rsidRPr="00A327CF" w:rsidRDefault="00296A74" w:rsidP="003C43CF">
            <w:pPr>
              <w:pStyle w:val="TableParagraph"/>
              <w:suppressAutoHyphens/>
            </w:pPr>
            <w:r w:rsidRPr="00A327CF">
              <w:t>ANC &lt; 0,5</w:t>
            </w:r>
          </w:p>
        </w:tc>
        <w:tc>
          <w:tcPr>
            <w:tcW w:w="6909" w:type="dxa"/>
          </w:tcPr>
          <w:p w14:paraId="3C936189" w14:textId="2064B28B" w:rsidR="003B7027" w:rsidRPr="00A327CF" w:rsidRDefault="00296A74" w:rsidP="003C43CF">
            <w:pPr>
              <w:pStyle w:val="TableParagraph"/>
              <w:suppressAutoHyphens/>
            </w:pPr>
            <w:r w:rsidRPr="00A327CF">
              <w:t xml:space="preserve">Lopeta </w:t>
            </w:r>
            <w:r w:rsidR="00CE70D0">
              <w:t>Avtozma</w:t>
            </w:r>
            <w:r w:rsidRPr="00A327CF">
              <w:t>-hoito</w:t>
            </w:r>
          </w:p>
          <w:p w14:paraId="7D11A234" w14:textId="77777777" w:rsidR="007935C2" w:rsidRPr="00A327CF" w:rsidRDefault="007935C2" w:rsidP="003C43CF">
            <w:pPr>
              <w:pStyle w:val="TableParagraph"/>
              <w:suppressAutoHyphens/>
            </w:pPr>
          </w:p>
          <w:p w14:paraId="28889223" w14:textId="52224082" w:rsidR="003B7027" w:rsidRPr="00A327CF" w:rsidRDefault="00296A74" w:rsidP="003C43CF">
            <w:pPr>
              <w:pStyle w:val="TableParagraph"/>
              <w:suppressAutoHyphens/>
            </w:pPr>
            <w:r w:rsidRPr="00A327CF">
              <w:t xml:space="preserve">Päätöksen </w:t>
            </w:r>
            <w:r w:rsidR="00CE70D0">
              <w:t>Avtozma</w:t>
            </w:r>
            <w:r w:rsidRPr="00A327CF">
              <w:t>-hoidon lopettamisesta polyartriittia sairastavilla potilailla poikkeavien laboratorioarvojen vuoksi on perustuttava yksittäisen potilaan lääketieteelliseen arviointiin.</w:t>
            </w:r>
          </w:p>
        </w:tc>
      </w:tr>
    </w:tbl>
    <w:p w14:paraId="3457FE1F" w14:textId="77777777" w:rsidR="007935C2" w:rsidRPr="00A327CF" w:rsidRDefault="007935C2" w:rsidP="006E5F9A">
      <w:pPr>
        <w:tabs>
          <w:tab w:val="left" w:pos="1751"/>
        </w:tabs>
        <w:rPr>
          <w:rFonts w:eastAsia="Symbol"/>
          <w:lang w:val="fi-FI" w:eastAsia="en-US"/>
        </w:rPr>
      </w:pPr>
    </w:p>
    <w:p w14:paraId="2EBCC58D" w14:textId="77777777" w:rsidR="003B7027" w:rsidRPr="00A327CF" w:rsidRDefault="00296A74" w:rsidP="00A327CF">
      <w:pPr>
        <w:pStyle w:val="a"/>
      </w:pPr>
      <w:r w:rsidRPr="00A327CF">
        <w:t>Pieni trombosyyttien määrä</w:t>
      </w:r>
    </w:p>
    <w:p w14:paraId="1AF38758" w14:textId="77777777" w:rsidR="003B7027" w:rsidRPr="00A327CF" w:rsidRDefault="003B7027" w:rsidP="006E5F9A">
      <w:pPr>
        <w:pStyle w:val="a4"/>
        <w:ind w:left="0"/>
        <w:rPr>
          <w:sz w:val="20"/>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114"/>
        <w:gridCol w:w="6732"/>
      </w:tblGrid>
      <w:tr w:rsidR="003B7027" w:rsidRPr="00777B93" w14:paraId="03C3BB24" w14:textId="77777777" w:rsidTr="00C96C2E">
        <w:trPr>
          <w:cantSplit/>
        </w:trPr>
        <w:tc>
          <w:tcPr>
            <w:tcW w:w="2164" w:type="dxa"/>
          </w:tcPr>
          <w:p w14:paraId="0B9BFBA3" w14:textId="77777777" w:rsidR="003B7027" w:rsidRPr="00A327CF" w:rsidRDefault="00296A74" w:rsidP="003C43CF">
            <w:pPr>
              <w:pStyle w:val="TableParagraph"/>
              <w:suppressAutoHyphens/>
              <w:jc w:val="center"/>
              <w:rPr>
                <w:bCs/>
              </w:rPr>
            </w:pPr>
            <w:r w:rsidRPr="00A327CF">
              <w:rPr>
                <w:bCs/>
              </w:rPr>
              <w:t>Laboratorioarvo (solumäärä x 10</w:t>
            </w:r>
            <w:r w:rsidRPr="00A327CF">
              <w:rPr>
                <w:bCs/>
                <w:vertAlign w:val="superscript"/>
              </w:rPr>
              <w:t>3</w:t>
            </w:r>
            <w:r w:rsidRPr="00A327CF">
              <w:rPr>
                <w:bCs/>
              </w:rPr>
              <w:t>/</w:t>
            </w:r>
            <w:r w:rsidR="000C022E" w:rsidRPr="00A327CF">
              <w:t>µ</w:t>
            </w:r>
            <w:r w:rsidRPr="00A327CF">
              <w:rPr>
                <w:bCs/>
              </w:rPr>
              <w:t>l)</w:t>
            </w:r>
          </w:p>
        </w:tc>
        <w:tc>
          <w:tcPr>
            <w:tcW w:w="6903" w:type="dxa"/>
          </w:tcPr>
          <w:p w14:paraId="7A114652" w14:textId="77777777" w:rsidR="003B7027" w:rsidRPr="00A327CF" w:rsidRDefault="00296A74" w:rsidP="003C43CF">
            <w:pPr>
              <w:pStyle w:val="TableParagraph"/>
              <w:suppressAutoHyphens/>
              <w:jc w:val="center"/>
              <w:rPr>
                <w:bCs/>
              </w:rPr>
            </w:pPr>
            <w:r w:rsidRPr="00A327CF">
              <w:rPr>
                <w:bCs/>
              </w:rPr>
              <w:t>Toimenpide</w:t>
            </w:r>
          </w:p>
        </w:tc>
      </w:tr>
      <w:tr w:rsidR="003B7027" w:rsidRPr="00BB5A61" w14:paraId="076CC62C" w14:textId="77777777" w:rsidTr="00C96C2E">
        <w:trPr>
          <w:cantSplit/>
        </w:trPr>
        <w:tc>
          <w:tcPr>
            <w:tcW w:w="2164" w:type="dxa"/>
          </w:tcPr>
          <w:p w14:paraId="06EF1798" w14:textId="77777777" w:rsidR="003B7027" w:rsidRPr="00A327CF" w:rsidRDefault="00296A74" w:rsidP="003C43CF">
            <w:pPr>
              <w:pStyle w:val="TableParagraph"/>
              <w:suppressAutoHyphens/>
            </w:pPr>
            <w:r w:rsidRPr="00A327CF">
              <w:t>50–100</w:t>
            </w:r>
          </w:p>
        </w:tc>
        <w:tc>
          <w:tcPr>
            <w:tcW w:w="6903" w:type="dxa"/>
          </w:tcPr>
          <w:p w14:paraId="1D68C896" w14:textId="77777777" w:rsidR="003B7027" w:rsidRPr="00A327CF" w:rsidRDefault="00296A74" w:rsidP="003C43CF">
            <w:pPr>
              <w:pStyle w:val="TableParagraph"/>
              <w:suppressAutoHyphens/>
            </w:pPr>
            <w:r w:rsidRPr="00A327CF">
              <w:t>Muuta samanaikaisesti annettu MTX-annos, jos tarkoituksenmukaista</w:t>
            </w:r>
          </w:p>
          <w:p w14:paraId="57E3D5F7" w14:textId="77777777" w:rsidR="007935C2" w:rsidRPr="00A327CF" w:rsidRDefault="007935C2" w:rsidP="003C43CF">
            <w:pPr>
              <w:pStyle w:val="TableParagraph"/>
              <w:suppressAutoHyphens/>
            </w:pPr>
          </w:p>
          <w:p w14:paraId="5A945CC4" w14:textId="0711960B" w:rsidR="003B7027" w:rsidRPr="00A327CF" w:rsidRDefault="00296A74" w:rsidP="003C43CF">
            <w:pPr>
              <w:pStyle w:val="TableParagraph"/>
              <w:suppressAutoHyphens/>
            </w:pPr>
            <w:r w:rsidRPr="00A327CF">
              <w:t xml:space="preserve">Keskeytä </w:t>
            </w:r>
            <w:r w:rsidR="00CE70D0">
              <w:t>Avtozma</w:t>
            </w:r>
            <w:r w:rsidRPr="00A327CF">
              <w:t>-hoito</w:t>
            </w:r>
          </w:p>
          <w:p w14:paraId="08B7A499" w14:textId="77777777" w:rsidR="007935C2" w:rsidRPr="00A327CF" w:rsidRDefault="007935C2" w:rsidP="003C43CF">
            <w:pPr>
              <w:pStyle w:val="TableParagraph"/>
              <w:suppressAutoHyphens/>
            </w:pPr>
          </w:p>
          <w:p w14:paraId="08322973" w14:textId="48B5DD2B" w:rsidR="003B7027" w:rsidRPr="00A327CF" w:rsidRDefault="00296A74" w:rsidP="003C43CF">
            <w:pPr>
              <w:pStyle w:val="TableParagraph"/>
              <w:suppressAutoHyphens/>
            </w:pPr>
            <w:r w:rsidRPr="00A327CF">
              <w:t>Kun trombosyyttien määrä nousee &gt; 100 x 10</w:t>
            </w:r>
            <w:r w:rsidRPr="00A327CF">
              <w:rPr>
                <w:vertAlign w:val="superscript"/>
              </w:rPr>
              <w:t>3</w:t>
            </w:r>
            <w:r w:rsidRPr="00A327CF">
              <w:t>/μl, aloita</w:t>
            </w:r>
            <w:r w:rsidR="0020054B" w:rsidRPr="00A327CF">
              <w:t xml:space="preserve"> </w:t>
            </w:r>
            <w:r w:rsidR="00CE70D0">
              <w:t>Avtozma</w:t>
            </w:r>
            <w:r w:rsidRPr="00A327CF">
              <w:t>-hoito uudelleen</w:t>
            </w:r>
          </w:p>
        </w:tc>
      </w:tr>
      <w:tr w:rsidR="003B7027" w:rsidRPr="00BB5A61" w14:paraId="315778A9" w14:textId="77777777" w:rsidTr="00C96C2E">
        <w:trPr>
          <w:cantSplit/>
        </w:trPr>
        <w:tc>
          <w:tcPr>
            <w:tcW w:w="2164" w:type="dxa"/>
          </w:tcPr>
          <w:p w14:paraId="72FB2B98" w14:textId="77777777" w:rsidR="003B7027" w:rsidRPr="00A327CF" w:rsidRDefault="00296A74" w:rsidP="003C43CF">
            <w:pPr>
              <w:pStyle w:val="TableParagraph"/>
              <w:suppressAutoHyphens/>
            </w:pPr>
            <w:r w:rsidRPr="00A327CF">
              <w:t>&lt; 50</w:t>
            </w:r>
          </w:p>
        </w:tc>
        <w:tc>
          <w:tcPr>
            <w:tcW w:w="6903" w:type="dxa"/>
          </w:tcPr>
          <w:p w14:paraId="28C46D77" w14:textId="03F284CE" w:rsidR="003B7027" w:rsidRPr="00A327CF" w:rsidRDefault="00296A74" w:rsidP="003C43CF">
            <w:pPr>
              <w:pStyle w:val="TableParagraph"/>
              <w:suppressAutoHyphens/>
            </w:pPr>
            <w:r w:rsidRPr="00A327CF">
              <w:t xml:space="preserve">Lopeta </w:t>
            </w:r>
            <w:r w:rsidR="00CE70D0">
              <w:t>Avtozma</w:t>
            </w:r>
            <w:r w:rsidRPr="00A327CF">
              <w:t>-hoito.</w:t>
            </w:r>
          </w:p>
          <w:p w14:paraId="12A842D4" w14:textId="77777777" w:rsidR="007935C2" w:rsidRPr="00A327CF" w:rsidRDefault="007935C2" w:rsidP="003C43CF">
            <w:pPr>
              <w:pStyle w:val="TableParagraph"/>
              <w:suppressAutoHyphens/>
            </w:pPr>
          </w:p>
          <w:p w14:paraId="5C187543" w14:textId="09DD7F92" w:rsidR="003B7027" w:rsidRPr="00A327CF" w:rsidRDefault="00296A74" w:rsidP="003C43CF">
            <w:pPr>
              <w:pStyle w:val="TableParagraph"/>
              <w:suppressAutoHyphens/>
            </w:pPr>
            <w:r w:rsidRPr="00A327CF">
              <w:t xml:space="preserve">Päätöksen </w:t>
            </w:r>
            <w:r w:rsidR="00CE70D0">
              <w:t>Avtozma</w:t>
            </w:r>
            <w:r w:rsidRPr="00A327CF">
              <w:t>-hoidon lopettamisesta polyartriittia sairastavilla potilailla poikkeavien laboratorioarvojen vuoksi on perustuttava yksittäisen potilaan lääketieteelliseen arviointiin.</w:t>
            </w:r>
          </w:p>
        </w:tc>
      </w:tr>
    </w:tbl>
    <w:p w14:paraId="03BCC5C3" w14:textId="77777777" w:rsidR="0020054B" w:rsidRPr="00A327CF" w:rsidRDefault="0020054B" w:rsidP="006E5F9A">
      <w:pPr>
        <w:pStyle w:val="a4"/>
        <w:ind w:left="0"/>
      </w:pPr>
    </w:p>
    <w:p w14:paraId="7BFB7F8F" w14:textId="77777777" w:rsidR="003B7027" w:rsidRPr="00A327CF" w:rsidRDefault="00296A74" w:rsidP="006E5F9A">
      <w:pPr>
        <w:pStyle w:val="a4"/>
        <w:ind w:left="0"/>
      </w:pPr>
      <w:r w:rsidRPr="00A327CF">
        <w:t>Tosilitsumabiannoksen pienentämistä poikkeavien laboratorioarvojen vuoksi ei ole tutkittu polyartriittia sairastavilla potilailla.</w:t>
      </w:r>
    </w:p>
    <w:p w14:paraId="7A599A37" w14:textId="77777777" w:rsidR="003B7027" w:rsidRPr="00A327CF" w:rsidRDefault="003B7027" w:rsidP="006E5F9A">
      <w:pPr>
        <w:pStyle w:val="a4"/>
        <w:ind w:left="0"/>
      </w:pPr>
    </w:p>
    <w:p w14:paraId="5A7E2731" w14:textId="1173C860" w:rsidR="003B7027" w:rsidRPr="0028514E" w:rsidRDefault="00296A74" w:rsidP="006E5F9A">
      <w:pPr>
        <w:pStyle w:val="a4"/>
        <w:ind w:left="0"/>
      </w:pPr>
      <w:r w:rsidRPr="00A327CF">
        <w:t>Saatavilla olevat tiedot viittaavat siihen, että kliininen v</w:t>
      </w:r>
      <w:r w:rsidRPr="0028514E">
        <w:t xml:space="preserve">aste on havaittavissa 12 viikon kuluessa </w:t>
      </w:r>
      <w:r w:rsidR="00CE70D0">
        <w:t>tosilitsumabi</w:t>
      </w:r>
      <w:r w:rsidRPr="0028514E">
        <w:t>hoidon aloittamisesta. Ellei potilaan tilassa tapahdu paranemista tänä aikana, hoidon jatkamista pitää arvioida huolellisesti uudelleen.</w:t>
      </w:r>
    </w:p>
    <w:p w14:paraId="34B25C57" w14:textId="77777777" w:rsidR="003B7027" w:rsidRPr="0028514E" w:rsidRDefault="003B7027" w:rsidP="006E5F9A">
      <w:pPr>
        <w:pStyle w:val="a4"/>
        <w:ind w:left="0"/>
      </w:pPr>
    </w:p>
    <w:p w14:paraId="398D51C5" w14:textId="77777777" w:rsidR="003B7027" w:rsidRPr="00CA43F5" w:rsidRDefault="00296A74" w:rsidP="006E5F9A">
      <w:pPr>
        <w:rPr>
          <w:i/>
          <w:lang w:val="fi-FI"/>
        </w:rPr>
      </w:pPr>
      <w:r w:rsidRPr="00CA43F5">
        <w:rPr>
          <w:i/>
          <w:lang w:val="fi-FI"/>
        </w:rPr>
        <w:t>Iäkkäät</w:t>
      </w:r>
    </w:p>
    <w:p w14:paraId="7D86B613" w14:textId="77777777" w:rsidR="003B7027" w:rsidRPr="0028514E" w:rsidRDefault="00296A74" w:rsidP="006E5F9A">
      <w:pPr>
        <w:pStyle w:val="a4"/>
        <w:ind w:left="0"/>
      </w:pPr>
      <w:r w:rsidRPr="0028514E">
        <w:t>Annoksen muuttaminen ei ole tarpeen yli 65-vuotiaille potilaille.</w:t>
      </w:r>
    </w:p>
    <w:p w14:paraId="3403E9FE" w14:textId="77777777" w:rsidR="003B7027" w:rsidRPr="0028514E" w:rsidRDefault="003B7027" w:rsidP="006E5F9A">
      <w:pPr>
        <w:pStyle w:val="a4"/>
        <w:ind w:left="0"/>
      </w:pPr>
    </w:p>
    <w:p w14:paraId="15348F1E" w14:textId="77777777" w:rsidR="003B7027" w:rsidRPr="00CA43F5" w:rsidRDefault="00296A74" w:rsidP="006E5F9A">
      <w:pPr>
        <w:rPr>
          <w:i/>
          <w:lang w:val="fi-FI"/>
        </w:rPr>
      </w:pPr>
      <w:r w:rsidRPr="00CA43F5">
        <w:rPr>
          <w:i/>
          <w:lang w:val="fi-FI"/>
        </w:rPr>
        <w:t>Munuaisten vajaatoiminta</w:t>
      </w:r>
    </w:p>
    <w:p w14:paraId="1C631D36" w14:textId="21DAD787" w:rsidR="003B7027" w:rsidRPr="0028514E" w:rsidRDefault="00296A74" w:rsidP="006E5F9A">
      <w:pPr>
        <w:pStyle w:val="a4"/>
        <w:ind w:left="0"/>
      </w:pPr>
      <w:r w:rsidRPr="0028514E">
        <w:t xml:space="preserve">Annoksen muuttaminen ei ole tarpeen lievää munuaisten vajaatoimintaa sairastaville potilaille. </w:t>
      </w:r>
      <w:r w:rsidR="00CE70D0">
        <w:t xml:space="preserve">Avtozman </w:t>
      </w:r>
      <w:r w:rsidRPr="0028514E">
        <w:t>käyttöä ei ole tutkittu kohtalaista tai vaikeaa munuaisten vajaatoimintaa sairastavilla potilailla (ks. kohta 5.2). Munuaisten toimintaa tulisi seurata tarkasti näillä potilailla.</w:t>
      </w:r>
    </w:p>
    <w:p w14:paraId="216453A5" w14:textId="77777777" w:rsidR="003B7027" w:rsidRPr="0028514E" w:rsidRDefault="003B7027" w:rsidP="006E5F9A">
      <w:pPr>
        <w:pStyle w:val="a4"/>
        <w:ind w:left="0"/>
      </w:pPr>
    </w:p>
    <w:p w14:paraId="20E9AF2B" w14:textId="77777777" w:rsidR="003B7027" w:rsidRPr="00CA43F5" w:rsidRDefault="00296A74" w:rsidP="006E5F9A">
      <w:pPr>
        <w:keepNext/>
        <w:keepLines/>
        <w:rPr>
          <w:i/>
          <w:lang w:val="fi-FI"/>
        </w:rPr>
      </w:pPr>
      <w:r w:rsidRPr="00CA43F5">
        <w:rPr>
          <w:i/>
          <w:lang w:val="fi-FI"/>
        </w:rPr>
        <w:t>Maksan vajaatoiminta</w:t>
      </w:r>
    </w:p>
    <w:p w14:paraId="3FF1D060" w14:textId="638B28E9" w:rsidR="003B7027" w:rsidRPr="0028514E" w:rsidRDefault="00CE70D0" w:rsidP="006E5F9A">
      <w:pPr>
        <w:pStyle w:val="a4"/>
        <w:ind w:left="0"/>
      </w:pPr>
      <w:r>
        <w:t xml:space="preserve">Avtozman </w:t>
      </w:r>
      <w:r w:rsidR="00296A74" w:rsidRPr="0028514E">
        <w:t>käyttöä ei ole tutkittu maksan vajaatoimintaa sairastavilla potilailla. Siksi annossuosituksia ei voida antaa.</w:t>
      </w:r>
    </w:p>
    <w:p w14:paraId="3AD3BEDA" w14:textId="77777777" w:rsidR="003B7027" w:rsidRPr="0028514E" w:rsidRDefault="003B7027" w:rsidP="006E5F9A">
      <w:pPr>
        <w:pStyle w:val="a4"/>
        <w:ind w:left="0"/>
      </w:pPr>
    </w:p>
    <w:p w14:paraId="684D9213" w14:textId="77777777" w:rsidR="003B7027" w:rsidRPr="0028514E" w:rsidRDefault="00296A74" w:rsidP="006E5F9A">
      <w:pPr>
        <w:pStyle w:val="a4"/>
        <w:ind w:left="0"/>
        <w:rPr>
          <w:u w:val="single"/>
        </w:rPr>
      </w:pPr>
      <w:r w:rsidRPr="0028514E">
        <w:rPr>
          <w:u w:val="single"/>
        </w:rPr>
        <w:t>Antotapa</w:t>
      </w:r>
    </w:p>
    <w:p w14:paraId="02E9DDCA" w14:textId="77777777" w:rsidR="0020054B" w:rsidRPr="0028514E" w:rsidRDefault="0020054B" w:rsidP="006E5F9A">
      <w:pPr>
        <w:pStyle w:val="a4"/>
        <w:ind w:left="0"/>
      </w:pPr>
    </w:p>
    <w:p w14:paraId="60EE3DA9" w14:textId="6CAD6ECC" w:rsidR="003B7027" w:rsidRPr="0028514E" w:rsidRDefault="00296A74" w:rsidP="006E5F9A">
      <w:pPr>
        <w:pStyle w:val="a4"/>
        <w:ind w:left="0"/>
      </w:pPr>
      <w:r w:rsidRPr="0028514E">
        <w:t xml:space="preserve">Laimentamisen jälkeen </w:t>
      </w:r>
      <w:r w:rsidR="00CE70D0">
        <w:t xml:space="preserve">Avtozma </w:t>
      </w:r>
      <w:r w:rsidRPr="0028514E">
        <w:t>annetaan nivelreumaa, yleisoireista lastenreumaa, polyartriittia ja COVID-19-tautia sairastaville potilaille sekä potilaille, joilla on sytokiinien vapautumisoireyhtymä, laskimoon tunnin kestävänä infuusiona.</w:t>
      </w:r>
    </w:p>
    <w:p w14:paraId="2EC06DD7" w14:textId="77777777" w:rsidR="003B7027" w:rsidRPr="0028514E" w:rsidRDefault="003B7027" w:rsidP="006E5F9A">
      <w:pPr>
        <w:pStyle w:val="a4"/>
        <w:ind w:left="0"/>
      </w:pPr>
    </w:p>
    <w:p w14:paraId="27429BBC" w14:textId="77777777" w:rsidR="003B7027" w:rsidRPr="0028514E" w:rsidRDefault="00296A74" w:rsidP="006E5F9A">
      <w:pPr>
        <w:pStyle w:val="a4"/>
        <w:ind w:left="0"/>
      </w:pPr>
      <w:r w:rsidRPr="0028514E">
        <w:t>Nivelreumaa, yleisoireista lastenreumaa, polyartriittia ja COVID-19-tautia sairastavat potilaat sekä potilaat, joilla on sytokiinien vapautumisoireyhtymä (≥ 30 kg)</w:t>
      </w:r>
    </w:p>
    <w:p w14:paraId="415D51D7" w14:textId="5480877D" w:rsidR="003B7027" w:rsidRPr="0028514E" w:rsidRDefault="00CE70D0" w:rsidP="006E5F9A">
      <w:pPr>
        <w:pStyle w:val="a4"/>
        <w:ind w:left="0"/>
      </w:pPr>
      <w:r>
        <w:t xml:space="preserve">Avtozma </w:t>
      </w:r>
      <w:r w:rsidR="00296A74" w:rsidRPr="0028514E">
        <w:t>on laimennettava steriilillä, pyrogeenittomalla 0,9-prosenttisella (9 mg/ml)</w:t>
      </w:r>
      <w:r>
        <w:t xml:space="preserve"> tai 0,45‑prosenttisella (4,5 mg/ml)</w:t>
      </w:r>
      <w:r w:rsidR="00296A74" w:rsidRPr="0028514E">
        <w:t xml:space="preserve"> natriumkloridiliuoksella 100 ml:n tilavuuteen aseptista tekniikkaa käyttäen.</w:t>
      </w:r>
    </w:p>
    <w:p w14:paraId="34197714" w14:textId="77777777" w:rsidR="0020054B" w:rsidRPr="0028514E" w:rsidRDefault="0020054B" w:rsidP="006E5F9A">
      <w:pPr>
        <w:pStyle w:val="a4"/>
        <w:ind w:left="0"/>
      </w:pPr>
    </w:p>
    <w:p w14:paraId="4FFA092A" w14:textId="77777777" w:rsidR="003B7027" w:rsidRPr="0028514E" w:rsidRDefault="00296A74" w:rsidP="006E5F9A">
      <w:pPr>
        <w:pStyle w:val="a4"/>
        <w:ind w:left="0"/>
      </w:pPr>
      <w:r w:rsidRPr="0028514E">
        <w:t>Ks. kohdasta 6.6 ohjeet lääkevalmisteen laimentamisesta ennen lääkkeen antoa.</w:t>
      </w:r>
    </w:p>
    <w:p w14:paraId="463E745D" w14:textId="77777777" w:rsidR="003B7027" w:rsidRPr="0028514E" w:rsidRDefault="003B7027" w:rsidP="006E5F9A">
      <w:pPr>
        <w:pStyle w:val="a4"/>
        <w:ind w:left="0"/>
      </w:pPr>
    </w:p>
    <w:p w14:paraId="6502E109" w14:textId="77777777" w:rsidR="003B7027" w:rsidRPr="0028514E" w:rsidRDefault="00296A74" w:rsidP="006E5F9A">
      <w:pPr>
        <w:pStyle w:val="a4"/>
        <w:ind w:left="0"/>
      </w:pPr>
      <w:r w:rsidRPr="0028514E">
        <w:t>Yleisoireista lastenreumaa ja polyartriittia sairastavat potilaat sekä potilaat, joilla on sytokiinien vapautumisoireyhtymä (&lt; 30 kg)</w:t>
      </w:r>
    </w:p>
    <w:p w14:paraId="3A7FFA86" w14:textId="41E6B083" w:rsidR="003B7027" w:rsidRPr="0028514E" w:rsidRDefault="00CE70D0" w:rsidP="006E5F9A">
      <w:pPr>
        <w:pStyle w:val="a4"/>
        <w:ind w:left="0"/>
      </w:pPr>
      <w:r>
        <w:t xml:space="preserve">Avtozma </w:t>
      </w:r>
      <w:r w:rsidR="00296A74" w:rsidRPr="0028514E">
        <w:t xml:space="preserve">on laimennettava steriilillä, pyrogeenittomalla 0,9-prosenttisella (9 mg/ml) </w:t>
      </w:r>
      <w:r w:rsidR="000411EA">
        <w:t>tai 0,45-prosenttisella (4,5 mg</w:t>
      </w:r>
      <w:r w:rsidR="00F87888">
        <w:t>/ml</w:t>
      </w:r>
      <w:r w:rsidR="000411EA">
        <w:t xml:space="preserve">) </w:t>
      </w:r>
      <w:r w:rsidR="00296A74" w:rsidRPr="0028514E">
        <w:t>natriumkloridiliuoksella 50 ml:n tilavuuteen aseptista tekniikkaa käyttäen.</w:t>
      </w:r>
    </w:p>
    <w:p w14:paraId="5ABAC1DE" w14:textId="77777777" w:rsidR="003B7027" w:rsidRPr="0028514E" w:rsidRDefault="003B7027" w:rsidP="006E5F9A">
      <w:pPr>
        <w:pStyle w:val="a4"/>
        <w:ind w:left="0"/>
      </w:pPr>
    </w:p>
    <w:p w14:paraId="49AC3DA9" w14:textId="77777777" w:rsidR="003B7027" w:rsidRPr="0028514E" w:rsidRDefault="00296A74" w:rsidP="006E5F9A">
      <w:pPr>
        <w:pStyle w:val="a4"/>
        <w:ind w:left="0"/>
      </w:pPr>
      <w:r w:rsidRPr="0028514E">
        <w:t>Ks. kohdasta 6.6 ohjeet lääkevalmisteen laimentamisesta ennen lääkkeen antoa.</w:t>
      </w:r>
    </w:p>
    <w:p w14:paraId="6FC65854" w14:textId="77777777" w:rsidR="003B7027" w:rsidRPr="0028514E" w:rsidRDefault="003B7027" w:rsidP="006E5F9A">
      <w:pPr>
        <w:pStyle w:val="a4"/>
        <w:ind w:left="0"/>
      </w:pPr>
    </w:p>
    <w:p w14:paraId="273789D9" w14:textId="77777777" w:rsidR="003B7027" w:rsidRPr="0028514E" w:rsidRDefault="00296A74" w:rsidP="006E5F9A">
      <w:pPr>
        <w:pStyle w:val="a4"/>
        <w:ind w:left="0"/>
      </w:pPr>
      <w:r w:rsidRPr="0028514E">
        <w:t>Jos infuusioon liittyviä oireita ja löydöksiä ilmaantuu, hidasta infuusiota tai lopeta sen anto ja anna välittömästi sopivaa lääkitystä/tukihoitoa, ks. kohta 4.4.</w:t>
      </w:r>
    </w:p>
    <w:p w14:paraId="18B02313" w14:textId="77777777" w:rsidR="003B7027" w:rsidRPr="0028514E" w:rsidRDefault="003B7027" w:rsidP="006E5F9A">
      <w:pPr>
        <w:pStyle w:val="a4"/>
        <w:ind w:left="0"/>
      </w:pPr>
    </w:p>
    <w:p w14:paraId="383E5031" w14:textId="77777777" w:rsidR="003B7027" w:rsidRPr="0028514E" w:rsidRDefault="00296A74" w:rsidP="006E5F9A">
      <w:pPr>
        <w:pStyle w:val="2"/>
        <w:tabs>
          <w:tab w:val="clear" w:pos="603"/>
        </w:tabs>
      </w:pPr>
      <w:r w:rsidRPr="0028514E">
        <w:t>4.3</w:t>
      </w:r>
      <w:r w:rsidRPr="0028514E">
        <w:tab/>
        <w:t>Vasta-aiheet</w:t>
      </w:r>
    </w:p>
    <w:p w14:paraId="49973BCC" w14:textId="77777777" w:rsidR="0020054B" w:rsidRPr="0028514E" w:rsidRDefault="0020054B" w:rsidP="00FF1202"/>
    <w:p w14:paraId="49DDCC56" w14:textId="77777777" w:rsidR="0020054B" w:rsidRPr="0028514E" w:rsidRDefault="00296A74" w:rsidP="006E5F9A">
      <w:pPr>
        <w:pStyle w:val="a4"/>
        <w:ind w:left="0"/>
      </w:pPr>
      <w:r w:rsidRPr="0028514E">
        <w:t>Yliherkkyys vaikuttavalle aineelle tai kohdassa 6.1 mainituille apuaineille.</w:t>
      </w:r>
    </w:p>
    <w:p w14:paraId="5CF4E72B" w14:textId="77777777" w:rsidR="0020054B" w:rsidRPr="0028514E" w:rsidRDefault="0020054B" w:rsidP="006E5F9A">
      <w:pPr>
        <w:pStyle w:val="a4"/>
        <w:ind w:left="0"/>
      </w:pPr>
    </w:p>
    <w:p w14:paraId="3A5533FD" w14:textId="77777777" w:rsidR="003B7027" w:rsidRPr="0028514E" w:rsidRDefault="00296A74" w:rsidP="006E5F9A">
      <w:pPr>
        <w:pStyle w:val="a4"/>
        <w:ind w:left="0"/>
      </w:pPr>
      <w:r w:rsidRPr="0028514E">
        <w:t>Aktiiviset vaikeat infektiot, COVID-19-infektiota lukuun ottamatta (ks. kohta 4.4).</w:t>
      </w:r>
    </w:p>
    <w:p w14:paraId="71B842CE" w14:textId="77777777" w:rsidR="0020054B" w:rsidRPr="0028514E" w:rsidRDefault="0020054B" w:rsidP="00FF1202"/>
    <w:p w14:paraId="44E7C721" w14:textId="77777777" w:rsidR="003B7027" w:rsidRPr="0028514E" w:rsidRDefault="00296A74" w:rsidP="006E5F9A">
      <w:pPr>
        <w:pStyle w:val="2"/>
      </w:pPr>
      <w:r w:rsidRPr="0028514E">
        <w:t>4.4</w:t>
      </w:r>
      <w:r w:rsidRPr="0028514E">
        <w:tab/>
        <w:t>Varoitukset ja käyttöön liittyvät varotoimet</w:t>
      </w:r>
    </w:p>
    <w:p w14:paraId="0ACF2538" w14:textId="77777777" w:rsidR="0020054B" w:rsidRPr="0028514E" w:rsidRDefault="0020054B" w:rsidP="00FF1202"/>
    <w:p w14:paraId="47D37BDB" w14:textId="77777777" w:rsidR="003B7027" w:rsidRPr="00CA43F5" w:rsidRDefault="00296A74" w:rsidP="006E5F9A">
      <w:pPr>
        <w:rPr>
          <w:i/>
          <w:lang w:val="fi-FI"/>
        </w:rPr>
      </w:pPr>
      <w:r w:rsidRPr="00CA43F5">
        <w:rPr>
          <w:i/>
          <w:lang w:val="fi-FI"/>
        </w:rPr>
        <w:t>Jäljitettävyys</w:t>
      </w:r>
    </w:p>
    <w:p w14:paraId="17436856" w14:textId="77777777" w:rsidR="003B7027" w:rsidRPr="0028514E" w:rsidRDefault="00296A74" w:rsidP="006E5F9A">
      <w:pPr>
        <w:pStyle w:val="a4"/>
        <w:ind w:left="0"/>
      </w:pPr>
      <w:r w:rsidRPr="0028514E">
        <w:t>Biologisten lääkevalmisteiden jäljitettävyyden parantamiseksi on annetun valmisteen nimi ja eränumero dokumentoitava selkeästi.</w:t>
      </w:r>
    </w:p>
    <w:p w14:paraId="100674AD" w14:textId="77777777" w:rsidR="003B7027" w:rsidRPr="0028514E" w:rsidRDefault="003B7027" w:rsidP="006E5F9A">
      <w:pPr>
        <w:pStyle w:val="a4"/>
        <w:ind w:left="0"/>
      </w:pPr>
    </w:p>
    <w:p w14:paraId="62B6C49F" w14:textId="77777777" w:rsidR="003B7027" w:rsidRPr="0028514E" w:rsidRDefault="00296A74" w:rsidP="006E5F9A">
      <w:pPr>
        <w:pStyle w:val="a4"/>
        <w:ind w:left="0"/>
      </w:pPr>
      <w:r w:rsidRPr="0028514E">
        <w:t>Nivelreumaa, polyartriittia ja yleisoireista lastenreumaa sairastavat potilaat</w:t>
      </w:r>
    </w:p>
    <w:p w14:paraId="18A1F54F" w14:textId="77777777" w:rsidR="0020054B" w:rsidRPr="0028514E" w:rsidRDefault="0020054B" w:rsidP="006E5F9A">
      <w:pPr>
        <w:pStyle w:val="a4"/>
        <w:ind w:left="0"/>
      </w:pPr>
    </w:p>
    <w:p w14:paraId="184CA09B" w14:textId="77777777" w:rsidR="003B7027" w:rsidRPr="00CA43F5" w:rsidRDefault="00296A74" w:rsidP="006E5F9A">
      <w:pPr>
        <w:rPr>
          <w:i/>
          <w:lang w:val="fi-FI"/>
        </w:rPr>
      </w:pPr>
      <w:r w:rsidRPr="00CA43F5">
        <w:rPr>
          <w:i/>
          <w:lang w:val="fi-FI"/>
        </w:rPr>
        <w:t>Infektiot</w:t>
      </w:r>
    </w:p>
    <w:p w14:paraId="4EBA2A08" w14:textId="56700718" w:rsidR="003B7027" w:rsidRPr="0028514E" w:rsidRDefault="00296A74" w:rsidP="006E5F9A">
      <w:pPr>
        <w:pStyle w:val="a4"/>
        <w:ind w:left="0"/>
      </w:pPr>
      <w:r w:rsidRPr="0028514E">
        <w:t xml:space="preserve">Vakavia ja joskus kuolemaan johtaneita infektioita on raportoitu potilailla, jotka ovat saaneet immunosuppressiivisia lääkkeitä mukaan lukien </w:t>
      </w:r>
      <w:r w:rsidR="00CE70D0">
        <w:t>tosilitsumabia</w:t>
      </w:r>
      <w:r w:rsidR="00CE70D0" w:rsidRPr="0028514E">
        <w:t xml:space="preserve"> </w:t>
      </w:r>
      <w:r w:rsidRPr="0028514E">
        <w:t xml:space="preserve">(ks. kohta 4.8 Haittavaikutukset). </w:t>
      </w:r>
      <w:r w:rsidR="00CE70D0">
        <w:t>Avtozma</w:t>
      </w:r>
      <w:r w:rsidRPr="0028514E">
        <w:t xml:space="preserve">-hoitoa ei saa aloittaa, jos potilaalla on aktiivinen infektio (ks. kohta 4.3). Jos potilaalle kehittyy vakava infektio, </w:t>
      </w:r>
      <w:r w:rsidR="00CE70D0">
        <w:t>tosilitsumabi</w:t>
      </w:r>
      <w:r w:rsidRPr="0028514E">
        <w:t xml:space="preserve">hoito on keskeytettävä, kunnes infektio on saatu hallintaan (ks. kohta 4.8). </w:t>
      </w:r>
      <w:r w:rsidR="00CE70D0">
        <w:t>Avtozma-v</w:t>
      </w:r>
      <w:r w:rsidRPr="0028514E">
        <w:t>almisteen käyttöä harkitessaan lääkärin on noudatettava varovaisuutta, jos potilaalla on aikaisemmin esiintynyt uusiutuvia tai kroonisia infektioita tai jos hänellä on infektioalttiutta lisäävä perussairaus (esim. divertikuliitti, diabetes ja interstitiaalinen keuhkosairaus).</w:t>
      </w:r>
    </w:p>
    <w:p w14:paraId="56EB58EF" w14:textId="77777777" w:rsidR="0020054B" w:rsidRPr="0028514E" w:rsidRDefault="0020054B" w:rsidP="006E5F9A">
      <w:pPr>
        <w:pStyle w:val="a4"/>
        <w:ind w:left="0"/>
      </w:pPr>
    </w:p>
    <w:p w14:paraId="1DBFB579" w14:textId="77777777" w:rsidR="003B7027" w:rsidRPr="0028514E" w:rsidRDefault="00296A74" w:rsidP="006E5F9A">
      <w:pPr>
        <w:pStyle w:val="a4"/>
        <w:ind w:left="0"/>
      </w:pPr>
      <w:r w:rsidRPr="0028514E">
        <w:t>Biologisia lääkkeitä saavien potilaiden tilaa on seurattava tarkoin, jotta mahdolliset vakavat infektiot havaitaan ajoissa, sillä akuutin vaiheen reaktion estyminen voi heikentää akuutin tulehduksen oireita. Potilaan mahdollista infektiota arvioitaessa tulisi huomioida tosilitsumabin vaikutukset C-reaktiiviseen proteiiniin (CRP), neutrofiileihin ja infektion oireisiin. Potilaita (myös yleisoireista lastenreumaa tai polyartriittia sairastavia pienempiä lapsia, jotka eivät ehkä itse kykene kertomaan oireistaan) ja yleisoireista lastenreumaa tai polyartriittia sairastavien potilaiden vanhempia/hoitajia pitää ohjeistaa ottamaan heti yhteyttä terveydenhoitohenkilöstöön, jos he havaitsevat mitä tahansa infektioon viittaavia oireita, jotta tutkimukset ja hoito voidaan aloittaa mahdollisimman nopeasti.</w:t>
      </w:r>
    </w:p>
    <w:p w14:paraId="5EA1A4F8" w14:textId="77777777" w:rsidR="003B7027" w:rsidRPr="0028514E" w:rsidRDefault="003B7027" w:rsidP="006E5F9A">
      <w:pPr>
        <w:pStyle w:val="a4"/>
        <w:ind w:left="0"/>
      </w:pPr>
    </w:p>
    <w:p w14:paraId="7A4298E7" w14:textId="77777777" w:rsidR="003B7027" w:rsidRPr="00CA43F5" w:rsidRDefault="00296A74" w:rsidP="006E5F9A">
      <w:pPr>
        <w:keepNext/>
        <w:keepLines/>
        <w:rPr>
          <w:i/>
          <w:lang w:val="fi-FI"/>
        </w:rPr>
      </w:pPr>
      <w:r w:rsidRPr="00CA43F5">
        <w:rPr>
          <w:i/>
          <w:lang w:val="fi-FI"/>
        </w:rPr>
        <w:lastRenderedPageBreak/>
        <w:t>Tuberkuloosi</w:t>
      </w:r>
    </w:p>
    <w:p w14:paraId="67F0DBD0" w14:textId="30DF9DD1" w:rsidR="003B7027" w:rsidRPr="0028514E" w:rsidRDefault="00296A74" w:rsidP="006E5F9A">
      <w:pPr>
        <w:pStyle w:val="a4"/>
        <w:ind w:left="0"/>
      </w:pPr>
      <w:r w:rsidRPr="0028514E">
        <w:t xml:space="preserve">Kuten muitakin biologisia nivelreumalääkkeitä käytettäessä latentin tuberkuloosin poissulkemista seulontatutkimusten avulla suositellaan nivelreumaa-, yleisoireista lastenreumaa ja polyartriittia sairastavilla potilailla ennen </w:t>
      </w:r>
      <w:r w:rsidR="00CE70D0">
        <w:t>Avtozma</w:t>
      </w:r>
      <w:r w:rsidRPr="0028514E">
        <w:t xml:space="preserve">-hoidon aloittamista. Jos latentti tuberkuloosi todetaan, se on hoidettava tavanomaisilla mykobakteerilääkkeillä ennen kuin </w:t>
      </w:r>
      <w:r w:rsidR="00CE70D0">
        <w:t>Avtozma</w:t>
      </w:r>
      <w:r w:rsidRPr="0028514E">
        <w:t>-hoito aloitetaan. Lääkettä määrääviä lääkäreitä muistutetaan tuberkuliinikokeen ja verinäytteestä määritettävän IGRA-testin väärän negatiivisen tuloksen riskistä, varsinkin vaikeasti sairailla tai immuunipuutteisilla potilailla.</w:t>
      </w:r>
    </w:p>
    <w:p w14:paraId="1E2DAB2F" w14:textId="77777777" w:rsidR="003B7027" w:rsidRPr="0028514E" w:rsidRDefault="003B7027" w:rsidP="006E5F9A">
      <w:pPr>
        <w:pStyle w:val="a4"/>
        <w:ind w:left="0"/>
      </w:pPr>
    </w:p>
    <w:p w14:paraId="590CDDC6" w14:textId="0DB61EF7" w:rsidR="003B7027" w:rsidRPr="0028514E" w:rsidRDefault="00296A74" w:rsidP="006E5F9A">
      <w:pPr>
        <w:pStyle w:val="a4"/>
        <w:ind w:left="0"/>
      </w:pPr>
      <w:r w:rsidRPr="0028514E">
        <w:t xml:space="preserve">Potilaita tulisi kehottaa ottamaan yhteyttä lääkäriin, jos </w:t>
      </w:r>
      <w:r w:rsidR="00CE70D0">
        <w:t>Avtozma</w:t>
      </w:r>
      <w:r w:rsidRPr="0028514E">
        <w:t>-hoidon aikana tai sen jälkeen ilmenee tuberkuloosi-infektioon viittaavia merkkejä tai oireita (esim. itsepintainen yskä, kuihtuminen/painon lasku, lievä lämmönnousu).</w:t>
      </w:r>
    </w:p>
    <w:p w14:paraId="5DA4DB81" w14:textId="77777777" w:rsidR="003B7027" w:rsidRPr="0028514E" w:rsidRDefault="003B7027" w:rsidP="006E5F9A">
      <w:pPr>
        <w:pStyle w:val="a4"/>
        <w:ind w:left="0"/>
      </w:pPr>
    </w:p>
    <w:p w14:paraId="1885D741" w14:textId="77777777" w:rsidR="003B7027" w:rsidRPr="00CA43F5" w:rsidRDefault="00296A74" w:rsidP="006E5F9A">
      <w:pPr>
        <w:rPr>
          <w:i/>
          <w:lang w:val="fi-FI"/>
        </w:rPr>
      </w:pPr>
      <w:r w:rsidRPr="00CA43F5">
        <w:rPr>
          <w:i/>
          <w:lang w:val="fi-FI"/>
        </w:rPr>
        <w:t>Virustautien uudelleen aktivoituminen</w:t>
      </w:r>
    </w:p>
    <w:p w14:paraId="619FA7F6" w14:textId="77777777" w:rsidR="003B7027" w:rsidRPr="0028514E" w:rsidRDefault="00296A74" w:rsidP="006E5F9A">
      <w:pPr>
        <w:pStyle w:val="a4"/>
        <w:ind w:left="0"/>
      </w:pPr>
      <w:r w:rsidRPr="0028514E">
        <w:t>Virusten uudelleen aktivoitumista (esim. hepatiitti B -virus) on raportoitu biologisilla nivelreumalääkkeillä hoidetuilla potilailla. Tosilitsumabin kliinisiin tutkimuksiin ei ole hyväksytty hepatiittipositiivisia potilaita.</w:t>
      </w:r>
    </w:p>
    <w:p w14:paraId="44FB6FEB" w14:textId="77777777" w:rsidR="0020054B" w:rsidRPr="0028514E" w:rsidRDefault="0020054B" w:rsidP="006E5F9A">
      <w:pPr>
        <w:pStyle w:val="a4"/>
        <w:ind w:left="0"/>
      </w:pPr>
    </w:p>
    <w:p w14:paraId="7D016541" w14:textId="77777777" w:rsidR="003B7027" w:rsidRPr="00CA43F5" w:rsidRDefault="00296A74" w:rsidP="006E5F9A">
      <w:pPr>
        <w:rPr>
          <w:i/>
          <w:lang w:val="fi-FI"/>
        </w:rPr>
      </w:pPr>
      <w:r w:rsidRPr="00CA43F5">
        <w:rPr>
          <w:i/>
          <w:lang w:val="fi-FI"/>
        </w:rPr>
        <w:t>Divertikuliitin komplikaatiot</w:t>
      </w:r>
    </w:p>
    <w:p w14:paraId="39967B7B" w14:textId="770A5094" w:rsidR="003B7027" w:rsidRPr="0028514E" w:rsidRDefault="00296A74" w:rsidP="006E5F9A">
      <w:pPr>
        <w:pStyle w:val="a4"/>
        <w:ind w:left="0"/>
      </w:pPr>
      <w:r w:rsidRPr="0028514E">
        <w:t xml:space="preserve">Melko harvinaisena divertikuliitin komplikaationa on raportoitu divertikkelien perforaatioita </w:t>
      </w:r>
      <w:r w:rsidR="00CE70D0">
        <w:t>tosilitsumabi</w:t>
      </w:r>
      <w:r w:rsidRPr="0028514E">
        <w:t xml:space="preserve">hoidon yhteydessä nivelreumapotilailla (ks. kohta 4.8). </w:t>
      </w:r>
      <w:r w:rsidR="00CE70D0">
        <w:t xml:space="preserve">Avtozmaa </w:t>
      </w:r>
      <w:r w:rsidRPr="0028514E">
        <w:t>tulisi antaa varoen potilaille, joilla on aikaisemmin esiintynyt suoliston haavaumia tai divertikuliittia. Jos potilaalle ilmaantuu komplisoituneeseen divertikuliittiin viittaavia oireita, kuten vatsakipua, verenvuotoa ja/tai selittämättömiä muutoksia suolen toiminnassa ja kuumetta, potilas on tutkittava heti, jotta divertikuliitti ja siihen mahdollisesti liittyvä suolen puhkeaminen havaitaan mahdollisimman varhaisessa vaiheessa.</w:t>
      </w:r>
    </w:p>
    <w:p w14:paraId="5D0BE3BD" w14:textId="77777777" w:rsidR="0020054B" w:rsidRPr="0028514E" w:rsidRDefault="0020054B" w:rsidP="006E5F9A">
      <w:pPr>
        <w:pStyle w:val="a4"/>
        <w:ind w:left="0"/>
      </w:pPr>
    </w:p>
    <w:p w14:paraId="2C2CC37F" w14:textId="77777777" w:rsidR="003B7027" w:rsidRPr="00CA43F5" w:rsidRDefault="00296A74" w:rsidP="006E5F9A">
      <w:pPr>
        <w:rPr>
          <w:i/>
          <w:lang w:val="fi-FI"/>
        </w:rPr>
      </w:pPr>
      <w:r w:rsidRPr="00CA43F5">
        <w:rPr>
          <w:i/>
          <w:lang w:val="fi-FI"/>
        </w:rPr>
        <w:t>Yliherkkyysreaktiot</w:t>
      </w:r>
    </w:p>
    <w:p w14:paraId="4C549FF3" w14:textId="2D016C55" w:rsidR="003B7027" w:rsidRPr="0028514E" w:rsidRDefault="00296A74" w:rsidP="006E5F9A">
      <w:pPr>
        <w:pStyle w:val="a4"/>
        <w:ind w:left="0"/>
      </w:pPr>
      <w:r w:rsidRPr="0028514E">
        <w:t xml:space="preserve">Vakavia yliherkkyysreaktioita on raportoitu </w:t>
      </w:r>
      <w:r w:rsidR="00CE70D0">
        <w:t>tosilitsumabi</w:t>
      </w:r>
      <w:r w:rsidRPr="0028514E">
        <w:t xml:space="preserve">-infuusion yhteydessä (ks. kohta 4.8). Reaktiot voivat olla vaikeampia ja mahdollisesti fataaleja niillä potilailla, jotka ovat kokeneet yliherkkyysreaktioita aikaisempien infuusioiden yhteydessä, vaikka heille annetaan esilääkityksenä steroideja ja antihistamiineja. Anafylaktisen reaktion hoidossa tarvittavien välineiden on oltava välittömästi saatavilla </w:t>
      </w:r>
      <w:r w:rsidR="00CE70D0">
        <w:t>Avtozma</w:t>
      </w:r>
      <w:r w:rsidRPr="0028514E">
        <w:t xml:space="preserve">-hoidon aikana. Anafylaktisen tai muun vakavan yliherkkyys-/infuusioreaktion ilmaantuessa, </w:t>
      </w:r>
      <w:r w:rsidR="00CE70D0">
        <w:t xml:space="preserve">Avtozman </w:t>
      </w:r>
      <w:r w:rsidRPr="0028514E">
        <w:t xml:space="preserve">anto on heti keskeytettävä ja </w:t>
      </w:r>
      <w:r w:rsidR="00CE70D0">
        <w:t>Avtozma</w:t>
      </w:r>
      <w:r w:rsidRPr="0028514E">
        <w:t>-hoito lopetettava pysyvästi.</w:t>
      </w:r>
    </w:p>
    <w:p w14:paraId="65890BAF" w14:textId="77777777" w:rsidR="0020054B" w:rsidRPr="0028514E" w:rsidRDefault="0020054B" w:rsidP="006E5F9A">
      <w:pPr>
        <w:pStyle w:val="a4"/>
        <w:ind w:left="0"/>
      </w:pPr>
    </w:p>
    <w:p w14:paraId="559233AE" w14:textId="77777777" w:rsidR="003B7027" w:rsidRPr="00CA43F5" w:rsidRDefault="00296A74" w:rsidP="006E5F9A">
      <w:pPr>
        <w:rPr>
          <w:i/>
          <w:lang w:val="fi-FI"/>
        </w:rPr>
      </w:pPr>
      <w:r w:rsidRPr="00CA43F5">
        <w:rPr>
          <w:i/>
          <w:lang w:val="fi-FI"/>
        </w:rPr>
        <w:t>Aktiivinen maksasairaus ja maksan vajaatoiminta</w:t>
      </w:r>
    </w:p>
    <w:p w14:paraId="64D584C2" w14:textId="3352F3E4" w:rsidR="003B7027" w:rsidRPr="0028514E" w:rsidRDefault="00CE70D0" w:rsidP="006E5F9A">
      <w:pPr>
        <w:pStyle w:val="a4"/>
        <w:ind w:left="0"/>
      </w:pPr>
      <w:r>
        <w:t>Tosilitsumabi</w:t>
      </w:r>
      <w:r w:rsidR="00296A74" w:rsidRPr="0028514E">
        <w:t>hoitoon voi liittyä kohonneita aminotransferaasiarvoja, varsinkin jos sitä annetaan yhdessä MTX:n kanssa. Siksi on noudatettava varovaisuutta, jos harkitaan hoidon aloittamista potilaille, joilla on aktiivinen maksasairaus tai maksan vajaatoiminta (ks. kohdat 4.2 ja 4.8).</w:t>
      </w:r>
    </w:p>
    <w:p w14:paraId="6E52EB8D" w14:textId="77777777" w:rsidR="003B7027" w:rsidRPr="0028514E" w:rsidRDefault="003B7027" w:rsidP="006E5F9A">
      <w:pPr>
        <w:pStyle w:val="a4"/>
        <w:ind w:left="0"/>
      </w:pPr>
    </w:p>
    <w:p w14:paraId="7E2381B2" w14:textId="77777777" w:rsidR="003B7027" w:rsidRPr="00CA43F5" w:rsidRDefault="00296A74" w:rsidP="006E5F9A">
      <w:pPr>
        <w:rPr>
          <w:i/>
          <w:lang w:val="fi-FI"/>
        </w:rPr>
      </w:pPr>
      <w:r w:rsidRPr="00CA43F5">
        <w:rPr>
          <w:i/>
          <w:lang w:val="fi-FI"/>
        </w:rPr>
        <w:t>Maksatoksisuus</w:t>
      </w:r>
    </w:p>
    <w:p w14:paraId="33338512" w14:textId="4C8B8E98" w:rsidR="003B7027" w:rsidRPr="0028514E" w:rsidRDefault="00296A74" w:rsidP="006E5F9A">
      <w:pPr>
        <w:pStyle w:val="a4"/>
        <w:ind w:left="0"/>
      </w:pPr>
      <w:r w:rsidRPr="0028514E">
        <w:t xml:space="preserve">Ohimenevää tai jaksottaista lievää tai kohtalaista maksan aminotransferaasiarvojen nousua on raportoitu yleisesti </w:t>
      </w:r>
      <w:r w:rsidR="001C0D69">
        <w:t>tosilitsumabi</w:t>
      </w:r>
      <w:r w:rsidRPr="0028514E">
        <w:t xml:space="preserve">hoidon yhteydessä (ks. kohta 4.8). Kohonneita arvoja havaittiin enemmän, kun </w:t>
      </w:r>
      <w:r w:rsidR="001C0D69">
        <w:t>tosilitsumabi</w:t>
      </w:r>
      <w:r w:rsidRPr="0028514E">
        <w:t>hoitoon yhdistettiin jokin mahdollisesti maksatoksinen lääke (esim. MTX). Muita maksantoimintakokeissa ilmenevien yhdisteiden määritystä, kuten bilirubiini, on harkittava kliinisen tarpeen mukaan.</w:t>
      </w:r>
    </w:p>
    <w:p w14:paraId="5A84E3AC" w14:textId="77777777" w:rsidR="003B7027" w:rsidRPr="0028514E" w:rsidRDefault="003B7027" w:rsidP="006E5F9A">
      <w:pPr>
        <w:pStyle w:val="a4"/>
        <w:ind w:left="0"/>
      </w:pPr>
    </w:p>
    <w:p w14:paraId="371F190C" w14:textId="553DA163" w:rsidR="003B7027" w:rsidRPr="0028514E" w:rsidRDefault="001C0D69" w:rsidP="006E5F9A">
      <w:pPr>
        <w:pStyle w:val="a4"/>
        <w:ind w:left="0"/>
      </w:pPr>
      <w:r>
        <w:t>Tosilitsumabi</w:t>
      </w:r>
      <w:r w:rsidR="00296A74" w:rsidRPr="0028514E">
        <w:t xml:space="preserve">hoitoa saaneilla potilailla on havaittu vakavia lääkkeestä aiheutuneita maksavaurioita, mukaan lukien akuutti maksan vajaatoiminta, hepatiitti ja ikterus (ks. kohta 4.8). Vakava maksavaurio ilmeni kahdesta viikosta yli viiteen vuoteen </w:t>
      </w:r>
      <w:r>
        <w:t>tosilitsumabin</w:t>
      </w:r>
      <w:r w:rsidRPr="0028514E">
        <w:t xml:space="preserve"> </w:t>
      </w:r>
      <w:r w:rsidR="00296A74" w:rsidRPr="0028514E">
        <w:t>käytön aloittamisesta. Maksansiirron vaativia maksan vajaatoimintatapauksia on raportoitu. Potilaita tulee neuvoa ottamaan yhteyttä lääkäriin heti, jos maksavaurion oireita ilmaantuu.</w:t>
      </w:r>
    </w:p>
    <w:p w14:paraId="3F10B9DA" w14:textId="77777777" w:rsidR="007935C2" w:rsidRPr="0028514E" w:rsidRDefault="007935C2" w:rsidP="006E5F9A">
      <w:pPr>
        <w:pStyle w:val="a4"/>
        <w:ind w:left="0"/>
      </w:pPr>
    </w:p>
    <w:p w14:paraId="7FB6A786" w14:textId="38652F94" w:rsidR="003B7027" w:rsidRPr="0028514E" w:rsidRDefault="00296A74" w:rsidP="006E5F9A">
      <w:pPr>
        <w:pStyle w:val="a4"/>
        <w:ind w:left="0"/>
      </w:pPr>
      <w:r w:rsidRPr="0028514E">
        <w:t xml:space="preserve">Varovaisuutta on noudatettava harkittaessa </w:t>
      </w:r>
      <w:r w:rsidR="001C0D69">
        <w:t>Avtozma</w:t>
      </w:r>
      <w:r w:rsidRPr="0028514E">
        <w:t>-hoidon aloittamista potilaille, joiden kohonneet ALAT- tai ASAT-arvot ovat &gt; 1,5 x viitevälin yläraja. Hoitoa ei suositella nivelreumaa, polyartriittia ja yleisoireista lastenreumaa sairastaville potilaille, joiden ALAT- tai ASAT-arvot hoidon alussa ovat &gt; 5 x viitevälin yläraja.</w:t>
      </w:r>
    </w:p>
    <w:p w14:paraId="1D45BCE3" w14:textId="77777777" w:rsidR="003B7027" w:rsidRPr="0028514E" w:rsidRDefault="003B7027" w:rsidP="006E5F9A">
      <w:pPr>
        <w:pStyle w:val="a4"/>
        <w:ind w:left="0"/>
      </w:pPr>
    </w:p>
    <w:p w14:paraId="176C1806" w14:textId="33381E92" w:rsidR="003B7027" w:rsidRPr="0028514E" w:rsidRDefault="00296A74" w:rsidP="006E5F9A">
      <w:pPr>
        <w:pStyle w:val="a4"/>
        <w:ind w:left="0"/>
      </w:pPr>
      <w:r w:rsidRPr="0028514E">
        <w:t xml:space="preserve">Nivelreumapotilaiden sekä yleisoireista lastenreumaa ja polyartriittia sairastavien potilaiden ALAT- ja ASAT-arvoja on seurattava joka 4.–8. viikko hoidon kuuden ensimmäisen kuukauden aikana ja sen jälkeen joka 12. viikko. Suositukset annoksen muuttamisesta aminotransferaasiarvojen perusteella, mukaan lukien </w:t>
      </w:r>
      <w:r w:rsidR="001C0D69">
        <w:t>Avtozma</w:t>
      </w:r>
      <w:r w:rsidRPr="0028514E">
        <w:t>-hoidon lopettamista, ks. kohta 4.2. Jos ASAT- tai ALAT-arvojen nousu on</w:t>
      </w:r>
      <w:r w:rsidR="007935C2" w:rsidRPr="0028514E">
        <w:t xml:space="preserve"> </w:t>
      </w:r>
      <w:r w:rsidRPr="0028514E">
        <w:t xml:space="preserve">&gt; 3–5 x viitevälin yläraja, ja se on varmistettu toistetulla mittauksella, </w:t>
      </w:r>
      <w:r w:rsidR="001C0D69">
        <w:t>Avtozma</w:t>
      </w:r>
      <w:r w:rsidRPr="0028514E">
        <w:t>-hoito on keskeytettävä.</w:t>
      </w:r>
    </w:p>
    <w:p w14:paraId="28E26391" w14:textId="77777777" w:rsidR="007935C2" w:rsidRPr="0028514E" w:rsidRDefault="007935C2" w:rsidP="006E5F9A">
      <w:pPr>
        <w:pStyle w:val="a4"/>
        <w:ind w:left="0"/>
      </w:pPr>
    </w:p>
    <w:p w14:paraId="10126CCC" w14:textId="77777777" w:rsidR="003B7027" w:rsidRPr="00CA43F5" w:rsidRDefault="00296A74" w:rsidP="003C43CF">
      <w:pPr>
        <w:rPr>
          <w:i/>
          <w:lang w:val="fi-FI"/>
        </w:rPr>
      </w:pPr>
      <w:r w:rsidRPr="00CA43F5">
        <w:rPr>
          <w:i/>
          <w:lang w:val="fi-FI"/>
        </w:rPr>
        <w:t>Hematologiset poikkeamat</w:t>
      </w:r>
    </w:p>
    <w:p w14:paraId="2DE48DA6" w14:textId="0AF9A321" w:rsidR="003B7027" w:rsidRPr="0028514E" w:rsidRDefault="00296A74" w:rsidP="006E5F9A">
      <w:pPr>
        <w:pStyle w:val="a4"/>
        <w:ind w:left="0"/>
      </w:pPr>
      <w:r w:rsidRPr="0028514E">
        <w:t xml:space="preserve">Neutrofiili- ja trombosyyttiarvon laskua on esiintynyt, kun </w:t>
      </w:r>
      <w:r w:rsidR="001C0D69">
        <w:t>tosilitsumabia</w:t>
      </w:r>
      <w:r w:rsidR="001C0D69" w:rsidRPr="0028514E">
        <w:t xml:space="preserve"> </w:t>
      </w:r>
      <w:r w:rsidRPr="0028514E">
        <w:t>on annettu 8 mg/kg yhdessä MTX:n kanssa (ks. kohta 4.8). Neutropenian riski voi olla suurentunut, jos potilasta on aikaisemmin hoidettu TNF-estäjällä.</w:t>
      </w:r>
    </w:p>
    <w:p w14:paraId="341AF458" w14:textId="77777777" w:rsidR="003B7027" w:rsidRPr="0028514E" w:rsidRDefault="003B7027" w:rsidP="006E5F9A">
      <w:pPr>
        <w:pStyle w:val="a4"/>
        <w:ind w:left="0"/>
      </w:pPr>
    </w:p>
    <w:p w14:paraId="091CA20C" w14:textId="18B96342" w:rsidR="003B7027" w:rsidRPr="0028514E" w:rsidRDefault="00296A74" w:rsidP="006E5F9A">
      <w:pPr>
        <w:pStyle w:val="a4"/>
        <w:ind w:left="0"/>
      </w:pPr>
      <w:r w:rsidRPr="0028514E">
        <w:t xml:space="preserve">Aiemmin </w:t>
      </w:r>
      <w:r w:rsidR="001C0D69">
        <w:t>tosilitsumabilla</w:t>
      </w:r>
      <w:r w:rsidR="001C0D69" w:rsidRPr="0028514E">
        <w:t xml:space="preserve"> </w:t>
      </w:r>
      <w:r w:rsidRPr="0028514E">
        <w:t>hoitamattomille potilaille ei suositella hoidon aloitusta, jos absoluuttinen neutrofiilien määrä (ANC) on &lt; 2 x 10</w:t>
      </w:r>
      <w:r w:rsidRPr="0028514E">
        <w:rPr>
          <w:vertAlign w:val="superscript"/>
        </w:rPr>
        <w:t>9</w:t>
      </w:r>
      <w:r w:rsidRPr="0028514E">
        <w:t>/l. Varovaisuutta on noudatettava harkittaessa</w:t>
      </w:r>
      <w:r w:rsidR="007935C2" w:rsidRPr="0028514E">
        <w:t xml:space="preserve"> </w:t>
      </w:r>
      <w:r w:rsidR="001C0D69">
        <w:t>tosilitsumabi</w:t>
      </w:r>
      <w:r w:rsidRPr="0028514E">
        <w:t>hoidon aloittamista potilaille, joiden neutrofiili- tai trombosyyttiarvo on alentunut (ANC</w:t>
      </w:r>
      <w:r w:rsidR="007935C2" w:rsidRPr="0028514E">
        <w:t xml:space="preserve"> </w:t>
      </w:r>
      <w:r w:rsidRPr="0028514E">
        <w:t>&lt; 2 x 10</w:t>
      </w:r>
      <w:r w:rsidRPr="0028514E">
        <w:rPr>
          <w:vertAlign w:val="superscript"/>
        </w:rPr>
        <w:t>9</w:t>
      </w:r>
      <w:r w:rsidRPr="0028514E">
        <w:t>/l tai trombosyyttiarvo alle 100 x 10</w:t>
      </w:r>
      <w:r w:rsidRPr="0028514E">
        <w:rPr>
          <w:vertAlign w:val="superscript"/>
        </w:rPr>
        <w:t>3</w:t>
      </w:r>
      <w:r w:rsidRPr="0028514E">
        <w:t>/μl). Nivelreumaa, yleisoireista lastenreumaa ja</w:t>
      </w:r>
      <w:r w:rsidR="008A3DEA" w:rsidRPr="0028514E">
        <w:t xml:space="preserve"> </w:t>
      </w:r>
      <w:r w:rsidRPr="0028514E">
        <w:t>polyartriittia sairastavien potilaiden hoidon jatkamista ei suositella, jos potilaan ANC on &lt; 0,5 x 10</w:t>
      </w:r>
      <w:r w:rsidRPr="0028514E">
        <w:rPr>
          <w:vertAlign w:val="superscript"/>
        </w:rPr>
        <w:t>9</w:t>
      </w:r>
      <w:r w:rsidRPr="0028514E">
        <w:t>/l tai trombosyyttiarvo &lt; 50 x 10</w:t>
      </w:r>
      <w:r w:rsidRPr="0028514E">
        <w:rPr>
          <w:vertAlign w:val="superscript"/>
        </w:rPr>
        <w:t>3</w:t>
      </w:r>
      <w:r w:rsidRPr="0028514E">
        <w:t>/μl.</w:t>
      </w:r>
    </w:p>
    <w:p w14:paraId="2A81642D" w14:textId="77777777" w:rsidR="003B7027" w:rsidRPr="0028514E" w:rsidRDefault="003B7027" w:rsidP="006E5F9A">
      <w:pPr>
        <w:pStyle w:val="a4"/>
        <w:ind w:left="0"/>
      </w:pPr>
    </w:p>
    <w:p w14:paraId="40ECE691" w14:textId="1B218E15" w:rsidR="003B7027" w:rsidRPr="0028514E" w:rsidRDefault="00296A74" w:rsidP="006E5F9A">
      <w:pPr>
        <w:pStyle w:val="a4"/>
        <w:ind w:left="0"/>
      </w:pPr>
      <w:r w:rsidRPr="0028514E">
        <w:t xml:space="preserve">Vaikeaan neutropeniaan voi liittyä vakavien infektioiden kohonnut riski. </w:t>
      </w:r>
      <w:r w:rsidR="001C0D69">
        <w:t>Tosilitsumabin</w:t>
      </w:r>
      <w:r w:rsidR="001C0D69" w:rsidRPr="0028514E">
        <w:t xml:space="preserve"> </w:t>
      </w:r>
      <w:r w:rsidRPr="0028514E">
        <w:t>kliinisissä tutkimuksissa ei ole tähän mennessä ilmennyt selvää yhteyttä alentuneiden neutrofiiliarvojen ja vakavien infektiotapausten välillä.</w:t>
      </w:r>
    </w:p>
    <w:p w14:paraId="5B5628CF" w14:textId="77777777" w:rsidR="0020054B" w:rsidRPr="0028514E" w:rsidRDefault="0020054B" w:rsidP="006E5F9A">
      <w:pPr>
        <w:pStyle w:val="a4"/>
        <w:ind w:left="0"/>
      </w:pPr>
    </w:p>
    <w:p w14:paraId="136868C4" w14:textId="77777777" w:rsidR="003B7027" w:rsidRPr="0028514E" w:rsidRDefault="00296A74" w:rsidP="006E5F9A">
      <w:pPr>
        <w:pStyle w:val="a4"/>
        <w:ind w:left="0"/>
      </w:pPr>
      <w:r w:rsidRPr="0028514E">
        <w:t>Nivelreumapotilailla neutrofiili- ja trombosyyttiarvoja on seurattava 4–8 viikon ajan hoidon alkamisesta ja myöhemmin normaalin kliinisen käytännön mukaan. Suositukset annoksen muuttamisesta ANC- ja trombosyyttiarvojen mukaan, ks. kohta 4.2.</w:t>
      </w:r>
    </w:p>
    <w:p w14:paraId="2787D955" w14:textId="77777777" w:rsidR="003B7027" w:rsidRPr="0028514E" w:rsidRDefault="003B7027" w:rsidP="006E5F9A">
      <w:pPr>
        <w:pStyle w:val="a4"/>
        <w:ind w:left="0"/>
      </w:pPr>
    </w:p>
    <w:p w14:paraId="21A95936" w14:textId="77777777" w:rsidR="003B7027" w:rsidRPr="0028514E" w:rsidRDefault="00296A74" w:rsidP="006E5F9A">
      <w:pPr>
        <w:pStyle w:val="a4"/>
        <w:ind w:left="0"/>
      </w:pPr>
      <w:r w:rsidRPr="0028514E">
        <w:t>Yleisoireista lastenreumaa ja polyartriittia sairastavilla potilailla neutrofiili- ja trombosyyttiarvoja on seurattava toisen infuusion yhteydessä ja sen jälkeen hyvän hoitokäytännön mukaan, ks. kohta 4.2.</w:t>
      </w:r>
    </w:p>
    <w:p w14:paraId="78D04375" w14:textId="77777777" w:rsidR="0020054B" w:rsidRPr="0028514E" w:rsidRDefault="0020054B" w:rsidP="006E5F9A">
      <w:pPr>
        <w:pStyle w:val="a4"/>
        <w:ind w:left="0"/>
      </w:pPr>
    </w:p>
    <w:p w14:paraId="68B8CD59" w14:textId="77777777" w:rsidR="003B7027" w:rsidRPr="00CA43F5" w:rsidRDefault="00296A74" w:rsidP="006E5F9A">
      <w:pPr>
        <w:rPr>
          <w:i/>
          <w:lang w:val="fi-FI"/>
        </w:rPr>
      </w:pPr>
      <w:r w:rsidRPr="00CA43F5">
        <w:rPr>
          <w:i/>
          <w:lang w:val="fi-FI"/>
        </w:rPr>
        <w:t>Veren rasva-arvot</w:t>
      </w:r>
    </w:p>
    <w:p w14:paraId="14AAB443" w14:textId="77777777" w:rsidR="003B7027" w:rsidRPr="0028514E" w:rsidRDefault="00296A74" w:rsidP="006E5F9A">
      <w:pPr>
        <w:pStyle w:val="a4"/>
        <w:ind w:left="0"/>
      </w:pPr>
      <w:r w:rsidRPr="0028514E">
        <w:t>Veren rasva-arvojen, kuten kokonaiskolesterolin, LDL- ja HDL-kolesterolin sekä triglyseridien, nousua havaittiin tosilitsumabilla hoidetuilla potilailla (ks. kohta 4.8). Suurimmalla osalla potilaista ei havaittu aterogeenisen vaikutuksen lisääntymistä. Kohonneet kokonaiskolesteroliarvot saatiin yleensä hallintaan kolesterolia alentavilla lääkkeillä.</w:t>
      </w:r>
    </w:p>
    <w:p w14:paraId="73D23B83" w14:textId="77777777" w:rsidR="0020054B" w:rsidRPr="0028514E" w:rsidRDefault="0020054B" w:rsidP="006E5F9A">
      <w:pPr>
        <w:pStyle w:val="a4"/>
        <w:ind w:left="0"/>
      </w:pPr>
    </w:p>
    <w:p w14:paraId="6342143D" w14:textId="71546A75" w:rsidR="003B7027" w:rsidRPr="0028514E" w:rsidRDefault="00296A74" w:rsidP="006E5F9A">
      <w:pPr>
        <w:pStyle w:val="a4"/>
        <w:ind w:left="0"/>
      </w:pPr>
      <w:r w:rsidRPr="0028514E">
        <w:t xml:space="preserve">Yleisoireista lastenreumaa, polyartriittia ja nivelreumaa sairastavilla potilailla rasva-arvot on määritettävä 4–8 viikon kuluttua </w:t>
      </w:r>
      <w:r w:rsidR="001C0D69">
        <w:t>tosilitsumabi</w:t>
      </w:r>
      <w:r w:rsidRPr="0028514E">
        <w:t>hoidon aloittamisesta. Potilaita tulisi hoitaa hyperlipidemian paikallisten hoitosuositusten mukaisesti.</w:t>
      </w:r>
    </w:p>
    <w:p w14:paraId="790F478A" w14:textId="77777777" w:rsidR="0020054B" w:rsidRPr="0028514E" w:rsidRDefault="0020054B" w:rsidP="006E5F9A">
      <w:pPr>
        <w:pStyle w:val="a4"/>
        <w:ind w:left="0"/>
      </w:pPr>
    </w:p>
    <w:p w14:paraId="5A38821A" w14:textId="77777777" w:rsidR="003B7027" w:rsidRPr="00CA43F5" w:rsidRDefault="00296A74" w:rsidP="006E5F9A">
      <w:pPr>
        <w:rPr>
          <w:i/>
          <w:lang w:val="fi-FI"/>
        </w:rPr>
      </w:pPr>
      <w:r w:rsidRPr="00CA43F5">
        <w:rPr>
          <w:i/>
          <w:lang w:val="fi-FI"/>
        </w:rPr>
        <w:t>Neurologiset häiriöt</w:t>
      </w:r>
    </w:p>
    <w:p w14:paraId="44E3FAC8" w14:textId="4E84F880" w:rsidR="003B7027" w:rsidRPr="0028514E" w:rsidRDefault="00296A74" w:rsidP="006E5F9A">
      <w:pPr>
        <w:pStyle w:val="a4"/>
        <w:ind w:left="0"/>
      </w:pPr>
      <w:r w:rsidRPr="0028514E">
        <w:t xml:space="preserve">Lääkäreiden tulisi kiinnittää erityistä huomiota oireisiin, jotka voivat viitata keskushermoston myeliinikadon puhkeamiseen. Toistaiseksi ei tiedetä, liittyykö </w:t>
      </w:r>
      <w:r w:rsidR="001C0D69">
        <w:t>tosilitsumabi</w:t>
      </w:r>
      <w:r w:rsidRPr="0028514E">
        <w:t>hoitoon keskushermoston myeliinikatoa.</w:t>
      </w:r>
    </w:p>
    <w:p w14:paraId="7918B49A" w14:textId="77777777" w:rsidR="0020054B" w:rsidRPr="0028514E" w:rsidRDefault="0020054B" w:rsidP="006E5F9A">
      <w:pPr>
        <w:pStyle w:val="a4"/>
        <w:ind w:left="0"/>
      </w:pPr>
    </w:p>
    <w:p w14:paraId="43D57201" w14:textId="77777777" w:rsidR="003B7027" w:rsidRPr="00CA43F5" w:rsidRDefault="00296A74" w:rsidP="006E5F9A">
      <w:pPr>
        <w:rPr>
          <w:i/>
          <w:lang w:val="fi-FI"/>
        </w:rPr>
      </w:pPr>
      <w:r w:rsidRPr="00CA43F5">
        <w:rPr>
          <w:i/>
          <w:lang w:val="fi-FI"/>
        </w:rPr>
        <w:t>Maligniteetti</w:t>
      </w:r>
    </w:p>
    <w:p w14:paraId="6E836627" w14:textId="77777777" w:rsidR="003B7027" w:rsidRPr="0028514E" w:rsidRDefault="00296A74" w:rsidP="006E5F9A">
      <w:pPr>
        <w:pStyle w:val="a4"/>
        <w:ind w:left="0"/>
      </w:pPr>
      <w:r w:rsidRPr="0028514E">
        <w:t>Nivelreumapotilailla on lisääntynyt pahanlaatuisten kasvainten riski. Immunomodulatoriset lääkkeet voivat suurentaa tätä riskiä.</w:t>
      </w:r>
    </w:p>
    <w:p w14:paraId="41F2E58C" w14:textId="77777777" w:rsidR="0020054B" w:rsidRPr="0028514E" w:rsidRDefault="0020054B" w:rsidP="006E5F9A">
      <w:pPr>
        <w:pStyle w:val="a4"/>
        <w:ind w:left="0"/>
      </w:pPr>
    </w:p>
    <w:p w14:paraId="1E5CFD9C" w14:textId="77777777" w:rsidR="003B7027" w:rsidRPr="00CA43F5" w:rsidRDefault="00296A74" w:rsidP="006E5F9A">
      <w:pPr>
        <w:rPr>
          <w:i/>
          <w:lang w:val="fi-FI"/>
        </w:rPr>
      </w:pPr>
      <w:r w:rsidRPr="00CA43F5">
        <w:rPr>
          <w:i/>
          <w:lang w:val="fi-FI"/>
        </w:rPr>
        <w:t>Rokotukset</w:t>
      </w:r>
    </w:p>
    <w:p w14:paraId="707A03AA" w14:textId="20B470CE" w:rsidR="003B7027" w:rsidRPr="0028514E" w:rsidRDefault="00296A74" w:rsidP="006E5F9A">
      <w:pPr>
        <w:pStyle w:val="a4"/>
        <w:ind w:left="0"/>
      </w:pPr>
      <w:r w:rsidRPr="0028514E">
        <w:t xml:space="preserve">Eläviä tai eläviä heikennettyjä taudinaiheuttajia sisältäviä rokotteita ei tulisi antaa </w:t>
      </w:r>
      <w:r w:rsidR="001C0D69">
        <w:t>tosilitsumabi</w:t>
      </w:r>
      <w:r w:rsidRPr="0028514E">
        <w:t xml:space="preserve">hoidon aikana, sillä niiden kliinistä turvallisuutta ei ole osoitettu. Avoimessa satunnaistetussa tutkimuksessa </w:t>
      </w:r>
      <w:r w:rsidR="001C0D69">
        <w:t>tosilitsumabin</w:t>
      </w:r>
      <w:r w:rsidR="001C0D69" w:rsidRPr="0028514E">
        <w:t xml:space="preserve"> </w:t>
      </w:r>
      <w:r w:rsidRPr="0028514E">
        <w:t xml:space="preserve">ja MTX:n yhdistelmällä hoidetut aikuiset nivelreumapotilaat saavuttivat tehokkaan vasteen sekä 23-valenttiselle pneumokokkipolysakkaridi- että jäykkäkouristusrokotteelle. Vaste oli verrattavissa pelkkää MTX-hoitoa saaneiden potilaiden vasteeseen. Kaikille potilaille, erityisesti yleisoireista lastenreumaa ja polyartriittia sairastaville potilaille, suositellaan kaikkien ajantasaisten rokotusten antamista voimassa olevien rokotussuositusten mukaisesti ennen </w:t>
      </w:r>
      <w:r w:rsidR="001C0D69">
        <w:t>Avtozma</w:t>
      </w:r>
      <w:r w:rsidRPr="0028514E">
        <w:t xml:space="preserve">-hoidon </w:t>
      </w:r>
      <w:r w:rsidRPr="0028514E">
        <w:lastRenderedPageBreak/>
        <w:t xml:space="preserve">aloittamista. Eläviä taudinaiheuttajia sisältävien rokotteiden antamisen ja </w:t>
      </w:r>
      <w:r w:rsidR="001C0D69">
        <w:t>Avtozma</w:t>
      </w:r>
      <w:r w:rsidRPr="0028514E">
        <w:t>-hoidon aloittamisen välillä on pidettävä tauko, jonka kesto on nykyisten immunosuppressantteja koskevien rokotussuositusten mukainen.</w:t>
      </w:r>
    </w:p>
    <w:p w14:paraId="13EB813A" w14:textId="77777777" w:rsidR="003B7027" w:rsidRPr="0028514E" w:rsidRDefault="003B7027" w:rsidP="006E5F9A">
      <w:pPr>
        <w:pStyle w:val="a4"/>
        <w:ind w:left="0"/>
      </w:pPr>
    </w:p>
    <w:p w14:paraId="4CC95A46" w14:textId="77777777" w:rsidR="003B7027" w:rsidRPr="00CA43F5" w:rsidRDefault="00296A74" w:rsidP="006E5F9A">
      <w:pPr>
        <w:rPr>
          <w:i/>
          <w:lang w:val="fi-FI"/>
        </w:rPr>
      </w:pPr>
      <w:r w:rsidRPr="00CA43F5">
        <w:rPr>
          <w:i/>
          <w:lang w:val="fi-FI"/>
        </w:rPr>
        <w:t>Sydän- ja verisuonitautiriski</w:t>
      </w:r>
    </w:p>
    <w:p w14:paraId="6398FEDA" w14:textId="77777777" w:rsidR="003B7027" w:rsidRPr="0028514E" w:rsidRDefault="00296A74" w:rsidP="006E5F9A">
      <w:pPr>
        <w:pStyle w:val="a4"/>
        <w:ind w:left="0"/>
      </w:pPr>
      <w:r w:rsidRPr="0028514E">
        <w:t>Nivelreumapotilailla on suurentunut sydän- ja verisuonisairauksien riski, ja riskitekijöiden (esim. hypertensio, hyperlipidemia) hallinnan tulisi olla osa näiden potilaiden tavanomaista perushoitoa.</w:t>
      </w:r>
    </w:p>
    <w:p w14:paraId="7F75DFB6" w14:textId="77777777" w:rsidR="0020054B" w:rsidRPr="0028514E" w:rsidRDefault="0020054B" w:rsidP="006E5F9A">
      <w:pPr>
        <w:pStyle w:val="a4"/>
        <w:ind w:left="0"/>
      </w:pPr>
    </w:p>
    <w:p w14:paraId="6814463F" w14:textId="77777777" w:rsidR="003B7027" w:rsidRPr="00CA43F5" w:rsidRDefault="00296A74" w:rsidP="006E5F9A">
      <w:pPr>
        <w:rPr>
          <w:i/>
          <w:lang w:val="fi-FI"/>
        </w:rPr>
      </w:pPr>
      <w:r w:rsidRPr="00CA43F5">
        <w:rPr>
          <w:i/>
          <w:lang w:val="fi-FI"/>
        </w:rPr>
        <w:t>Yhteiskäyttö TNF-estäjien kanssa</w:t>
      </w:r>
    </w:p>
    <w:p w14:paraId="6CD7C5E9" w14:textId="4558484E" w:rsidR="003B7027" w:rsidRPr="0028514E" w:rsidRDefault="001C0D69" w:rsidP="006E5F9A">
      <w:pPr>
        <w:pStyle w:val="a4"/>
        <w:ind w:left="0"/>
      </w:pPr>
      <w:r>
        <w:t xml:space="preserve">Avtozman </w:t>
      </w:r>
      <w:r w:rsidR="00296A74" w:rsidRPr="0028514E">
        <w:t>käytöstä yhdessä TNF-estäjien tai muiden biologisten reumalääkkeiden kanssa ei ole kokemuksia nivelreumaa, yleisoireista lastenreumaa eikä polyartriittia sairastavilla potilailla.</w:t>
      </w:r>
    </w:p>
    <w:p w14:paraId="2CD0727B" w14:textId="66DABE63" w:rsidR="003B7027" w:rsidRPr="0028514E" w:rsidRDefault="001C0D69" w:rsidP="006E5F9A">
      <w:pPr>
        <w:pStyle w:val="a4"/>
        <w:ind w:left="0"/>
      </w:pPr>
      <w:r>
        <w:t xml:space="preserve">Avtozman </w:t>
      </w:r>
      <w:r w:rsidR="00296A74" w:rsidRPr="0028514E">
        <w:t>käyttöä yhdessä muiden biologisten reumalääkkeiden kanssa ei suositella.</w:t>
      </w:r>
    </w:p>
    <w:p w14:paraId="53C4B5D2" w14:textId="77777777" w:rsidR="0020054B" w:rsidRPr="0028514E" w:rsidRDefault="0020054B" w:rsidP="006E5F9A">
      <w:pPr>
        <w:pStyle w:val="a4"/>
        <w:ind w:left="0"/>
      </w:pPr>
    </w:p>
    <w:p w14:paraId="6F22FC54" w14:textId="77777777" w:rsidR="003B7027" w:rsidRPr="0028514E" w:rsidRDefault="00296A74" w:rsidP="006E5F9A">
      <w:pPr>
        <w:pStyle w:val="a4"/>
        <w:ind w:left="0"/>
      </w:pPr>
      <w:r w:rsidRPr="0028514E">
        <w:t>COVID-19-potilaat</w:t>
      </w:r>
    </w:p>
    <w:p w14:paraId="2C3722F2" w14:textId="77777777" w:rsidR="0020054B" w:rsidRPr="0028514E" w:rsidRDefault="0020054B" w:rsidP="006E5F9A">
      <w:pPr>
        <w:pStyle w:val="a4"/>
        <w:ind w:left="0"/>
      </w:pPr>
    </w:p>
    <w:p w14:paraId="5A445E47" w14:textId="63190195" w:rsidR="003B7027" w:rsidRPr="0028514E" w:rsidRDefault="001C0D69" w:rsidP="00A327CF">
      <w:pPr>
        <w:pStyle w:val="a"/>
      </w:pPr>
      <w:r>
        <w:t>Avtozma</w:t>
      </w:r>
      <w:r w:rsidR="00296A74" w:rsidRPr="0028514E">
        <w:t>-valmisteen tehoa ei ole varmistettu niiden COVID-19-potilaiden hoidossa, joiden CRP-arvo ei ole koholla, ks. kohta 5.1.</w:t>
      </w:r>
    </w:p>
    <w:p w14:paraId="0BE1A4C2" w14:textId="515E8E6A" w:rsidR="003B7027" w:rsidRPr="0028514E" w:rsidRDefault="001C0D69" w:rsidP="00A327CF">
      <w:pPr>
        <w:pStyle w:val="a"/>
      </w:pPr>
      <w:r>
        <w:t>Avtozma</w:t>
      </w:r>
      <w:r w:rsidR="00296A74" w:rsidRPr="0028514E">
        <w:t>-valmistetta ei pidä antaa COVID-19-potilaille, jotka eivät saa systeemistä kortikosteroidihoitoa, koska kuolleisuuden kasvua ei voida poissulkea tässä alaryhmässä, ks. kohta 5.1.</w:t>
      </w:r>
    </w:p>
    <w:p w14:paraId="6A7A6D95" w14:textId="77777777" w:rsidR="003B7027" w:rsidRPr="0028514E" w:rsidRDefault="003B7027" w:rsidP="006E5F9A">
      <w:pPr>
        <w:pStyle w:val="a4"/>
        <w:ind w:left="0"/>
      </w:pPr>
    </w:p>
    <w:p w14:paraId="75CAD56D" w14:textId="77777777" w:rsidR="003B7027" w:rsidRPr="00CA43F5" w:rsidRDefault="00296A74" w:rsidP="006E5F9A">
      <w:pPr>
        <w:rPr>
          <w:i/>
          <w:lang w:val="fi-FI"/>
        </w:rPr>
      </w:pPr>
      <w:r w:rsidRPr="00CA43F5">
        <w:rPr>
          <w:i/>
          <w:lang w:val="fi-FI"/>
        </w:rPr>
        <w:t>Infektiot</w:t>
      </w:r>
    </w:p>
    <w:p w14:paraId="016AB0CF" w14:textId="5D57C890" w:rsidR="003B7027" w:rsidRPr="0028514E" w:rsidRDefault="001C0D69" w:rsidP="006E5F9A">
      <w:pPr>
        <w:pStyle w:val="a4"/>
        <w:ind w:left="0"/>
      </w:pPr>
      <w:r>
        <w:t xml:space="preserve">Avtozmaa </w:t>
      </w:r>
      <w:r w:rsidR="00296A74" w:rsidRPr="0028514E">
        <w:t xml:space="preserve">ei pidä antaa COVID-19-potilaalle, jolla on jokin toinen samanaikainen vaikea-asteinen aktiivinen infektio. </w:t>
      </w:r>
      <w:r>
        <w:t>Avtozma-v</w:t>
      </w:r>
      <w:r w:rsidR="00296A74" w:rsidRPr="0028514E">
        <w:t>almisteen käyttöä harkitessaan lääkärin on noudatettava varovaisuutta, jos potilaalla on aikaisemmin esiintynyt uusiutuvia tai kroonisia infektioita tai jos hänellä on infektioalttiutta lisäävä perussairaus (esim. divertikuliitti, diabetes tai interstitiaalinen keuhkosairaus).</w:t>
      </w:r>
    </w:p>
    <w:p w14:paraId="750DB290" w14:textId="77777777" w:rsidR="0020054B" w:rsidRPr="0028514E" w:rsidRDefault="0020054B" w:rsidP="006E5F9A">
      <w:pPr>
        <w:pStyle w:val="a4"/>
        <w:ind w:left="0"/>
      </w:pPr>
    </w:p>
    <w:p w14:paraId="29883574" w14:textId="77777777" w:rsidR="003B7027" w:rsidRPr="00CA43F5" w:rsidRDefault="00296A74" w:rsidP="006E5F9A">
      <w:pPr>
        <w:rPr>
          <w:i/>
          <w:lang w:val="fi-FI"/>
        </w:rPr>
      </w:pPr>
      <w:r w:rsidRPr="00CA43F5">
        <w:rPr>
          <w:i/>
          <w:lang w:val="fi-FI"/>
        </w:rPr>
        <w:t>Maksatoksisuus</w:t>
      </w:r>
    </w:p>
    <w:p w14:paraId="69775ACF" w14:textId="0BB61BC6" w:rsidR="003B7027" w:rsidRPr="0028514E" w:rsidRDefault="00296A74" w:rsidP="006E5F9A">
      <w:pPr>
        <w:pStyle w:val="a4"/>
        <w:ind w:left="0"/>
      </w:pPr>
      <w:r w:rsidRPr="0028514E">
        <w:t xml:space="preserve">Sairaalahoidossa olevien COVID-19-potilaiden ALAT- tai ASAT-arvot voivat olla koholla. Maksaan vaikuttava monielinhäiriö on vaikea-asteisen COVID-19-taudin tunnettu komplikaatio. Tosilitsumabin antamisesta päätettäessä pitää arvioida COVID-19-taudin hoidon mahdolliset hyödyt ja akuuttihoitona annetun tosilitsumabin mahdolliset riskit. </w:t>
      </w:r>
      <w:r w:rsidR="001C0D69">
        <w:t>Avtozma</w:t>
      </w:r>
      <w:r w:rsidRPr="0028514E">
        <w:t>-hoitoa ei suositella COVID-19-potilaille, joiden ALAT- tai AST-arvo on kohonnut tasolle yli 10 x viitevälin yläraja. COVID-19-potilaiden ALAT- tai ASAT-arvoa pitää seurata voimassa olevien tavanomaisten kliinisten käytäntöjen mukaisesti.</w:t>
      </w:r>
    </w:p>
    <w:p w14:paraId="22E3B5D5" w14:textId="77777777" w:rsidR="003B7027" w:rsidRPr="0028514E" w:rsidRDefault="003B7027" w:rsidP="006E5F9A">
      <w:pPr>
        <w:pStyle w:val="a4"/>
        <w:ind w:left="0"/>
      </w:pPr>
    </w:p>
    <w:p w14:paraId="14C35ECF" w14:textId="77777777" w:rsidR="003B7027" w:rsidRPr="00CA43F5" w:rsidRDefault="00296A74" w:rsidP="006E5F9A">
      <w:pPr>
        <w:rPr>
          <w:i/>
          <w:lang w:val="fi-FI"/>
        </w:rPr>
      </w:pPr>
      <w:r w:rsidRPr="00CA43F5">
        <w:rPr>
          <w:i/>
          <w:lang w:val="fi-FI"/>
        </w:rPr>
        <w:t>Hematologiset poikkeamat</w:t>
      </w:r>
    </w:p>
    <w:p w14:paraId="2618E80B" w14:textId="77777777" w:rsidR="003B7027" w:rsidRPr="0028514E" w:rsidRDefault="00296A74" w:rsidP="00E57787">
      <w:pPr>
        <w:pStyle w:val="a4"/>
        <w:keepNext/>
        <w:keepLines/>
        <w:ind w:left="0"/>
      </w:pPr>
      <w:r w:rsidRPr="0028514E">
        <w:t>Hoitoa ei suositella COVID-19-potilaille, joiden ANC on &lt; 1 x 10</w:t>
      </w:r>
      <w:r w:rsidRPr="0028514E">
        <w:rPr>
          <w:vertAlign w:val="superscript"/>
        </w:rPr>
        <w:t>9</w:t>
      </w:r>
      <w:r w:rsidRPr="0028514E">
        <w:t>/l tai trombosyyttiarvo on</w:t>
      </w:r>
      <w:r w:rsidR="008A3DEA" w:rsidRPr="0028514E">
        <w:t xml:space="preserve"> </w:t>
      </w:r>
      <w:r w:rsidRPr="0028514E">
        <w:t>&lt; 50 x 10</w:t>
      </w:r>
      <w:r w:rsidRPr="0028514E">
        <w:rPr>
          <w:vertAlign w:val="superscript"/>
        </w:rPr>
        <w:t>3</w:t>
      </w:r>
      <w:r w:rsidRPr="0028514E">
        <w:t>/μl. Neutrofiili- ja trombosyyttiarvoja on seurattava voimassa olevien tavanomaisten kliinisten käytäntöjen mukaisesti, ks. kohta 4.2.</w:t>
      </w:r>
    </w:p>
    <w:p w14:paraId="248AB45B" w14:textId="77777777" w:rsidR="003B7027" w:rsidRPr="0028514E" w:rsidRDefault="003B7027" w:rsidP="006E5F9A">
      <w:pPr>
        <w:pStyle w:val="a4"/>
        <w:ind w:left="0"/>
      </w:pPr>
    </w:p>
    <w:p w14:paraId="7835D009" w14:textId="77777777" w:rsidR="003B7027" w:rsidRPr="0028514E" w:rsidRDefault="00296A74" w:rsidP="003C43CF">
      <w:pPr>
        <w:pStyle w:val="a4"/>
        <w:ind w:left="0"/>
      </w:pPr>
      <w:r w:rsidRPr="0028514E">
        <w:rPr>
          <w:u w:val="single"/>
        </w:rPr>
        <w:t>Pediatriset potilaat</w:t>
      </w:r>
    </w:p>
    <w:p w14:paraId="437AE653" w14:textId="77777777" w:rsidR="006A600E" w:rsidRPr="00CA43F5" w:rsidRDefault="006A600E" w:rsidP="006E5F9A">
      <w:pPr>
        <w:rPr>
          <w:i/>
          <w:lang w:val="fi-FI"/>
        </w:rPr>
      </w:pPr>
    </w:p>
    <w:p w14:paraId="5CE2DE22" w14:textId="77777777" w:rsidR="003B7027" w:rsidRPr="00CA43F5" w:rsidRDefault="00296A74" w:rsidP="006E5F9A">
      <w:pPr>
        <w:rPr>
          <w:i/>
          <w:lang w:val="fi-FI"/>
        </w:rPr>
      </w:pPr>
      <w:r w:rsidRPr="00CA43F5">
        <w:rPr>
          <w:i/>
          <w:lang w:val="fi-FI"/>
        </w:rPr>
        <w:t>Yleisoireista lastenreumaa sairastavat potilaat</w:t>
      </w:r>
    </w:p>
    <w:p w14:paraId="0670B258" w14:textId="77777777" w:rsidR="003B7027" w:rsidRPr="0028514E" w:rsidRDefault="00296A74" w:rsidP="006E5F9A">
      <w:pPr>
        <w:pStyle w:val="a4"/>
        <w:ind w:left="0"/>
      </w:pPr>
      <w:r w:rsidRPr="0028514E">
        <w:t>Makrofagiaktivaatio-oireyhtymä (MAS) on vakava henkeä uhkaava tila, joka voi kehittyä yleisoireista lastenreumaa sairastaville potilaille. Kliinisissä tutkimuksissa tosilitsumabia ei ole tutkittu aktiivisen makrofagiaktivaatio-oireyhtymän oireita saaneilla potilailla.</w:t>
      </w:r>
    </w:p>
    <w:p w14:paraId="2C769457" w14:textId="77777777" w:rsidR="003B7027" w:rsidRDefault="003B7027" w:rsidP="006E5F9A">
      <w:pPr>
        <w:pStyle w:val="a4"/>
        <w:ind w:left="0"/>
      </w:pPr>
    </w:p>
    <w:p w14:paraId="4748265D" w14:textId="6DD35FF3" w:rsidR="001C0D69" w:rsidRDefault="001C0D69" w:rsidP="006E5F9A">
      <w:pPr>
        <w:pStyle w:val="a4"/>
        <w:ind w:left="0"/>
      </w:pPr>
      <w:r>
        <w:rPr>
          <w:u w:val="single"/>
        </w:rPr>
        <w:t>Apuaineet, joiden vaikutus tunnetaan</w:t>
      </w:r>
    </w:p>
    <w:p w14:paraId="55EE1859" w14:textId="4D64BDE3" w:rsidR="001C0D69" w:rsidRDefault="001C0D69" w:rsidP="006E5F9A">
      <w:pPr>
        <w:pStyle w:val="a4"/>
        <w:ind w:left="0"/>
      </w:pPr>
      <w:r>
        <w:rPr>
          <w:i/>
          <w:iCs/>
        </w:rPr>
        <w:t>Polysorbaatti</w:t>
      </w:r>
    </w:p>
    <w:p w14:paraId="39A72F46" w14:textId="0E0B5413" w:rsidR="001C0D69" w:rsidRDefault="001C0D69" w:rsidP="006E5F9A">
      <w:pPr>
        <w:pStyle w:val="a4"/>
        <w:ind w:left="0"/>
      </w:pPr>
      <w:r>
        <w:t>Yksi 80 mg:n injektiopullo sisältää 2,0 mg polysorbaatti</w:t>
      </w:r>
      <w:r w:rsidR="00484863">
        <w:rPr>
          <w:rFonts w:eastAsia="맑은 고딕" w:hint="eastAsia"/>
          <w:lang w:eastAsia="ko-KR"/>
        </w:rPr>
        <w:t xml:space="preserve"> 80</w:t>
      </w:r>
      <w:r w:rsidR="0042468E">
        <w:rPr>
          <w:rFonts w:eastAsia="맑은 고딕"/>
          <w:lang w:eastAsia="ko-KR"/>
        </w:rPr>
        <w:t>:tä</w:t>
      </w:r>
      <w:r>
        <w:t>.</w:t>
      </w:r>
    </w:p>
    <w:p w14:paraId="24E18044" w14:textId="63A512B3" w:rsidR="001C0D69" w:rsidRDefault="001C0D69" w:rsidP="006E5F9A">
      <w:pPr>
        <w:pStyle w:val="a4"/>
        <w:ind w:left="0"/>
      </w:pPr>
      <w:r>
        <w:t>Yksi 200 mg:n injektiopullo sisältää 5,0 mg polysorbaatti</w:t>
      </w:r>
      <w:r w:rsidR="00484863">
        <w:rPr>
          <w:rFonts w:eastAsia="맑은 고딕" w:hint="eastAsia"/>
          <w:lang w:eastAsia="ko-KR"/>
        </w:rPr>
        <w:t xml:space="preserve"> 80</w:t>
      </w:r>
      <w:r w:rsidR="0042468E">
        <w:rPr>
          <w:rFonts w:eastAsia="맑은 고딕"/>
          <w:lang w:eastAsia="ko-KR"/>
        </w:rPr>
        <w:t>:tä</w:t>
      </w:r>
      <w:r>
        <w:t>.</w:t>
      </w:r>
    </w:p>
    <w:p w14:paraId="05D41B39" w14:textId="4ECB46E7" w:rsidR="001C0D69" w:rsidRDefault="001C0D69" w:rsidP="006E5F9A">
      <w:pPr>
        <w:pStyle w:val="a4"/>
        <w:ind w:left="0"/>
      </w:pPr>
      <w:r>
        <w:t>Yksi 400 mg:n injektiopullo sisältää 10,0 mg polysorbaatti</w:t>
      </w:r>
      <w:r w:rsidR="00484863">
        <w:rPr>
          <w:rFonts w:eastAsia="맑은 고딕" w:hint="eastAsia"/>
          <w:lang w:eastAsia="ko-KR"/>
        </w:rPr>
        <w:t xml:space="preserve"> 80</w:t>
      </w:r>
      <w:r w:rsidR="0042468E">
        <w:rPr>
          <w:rFonts w:eastAsia="맑은 고딕"/>
          <w:lang w:eastAsia="ko-KR"/>
        </w:rPr>
        <w:t>:tä</w:t>
      </w:r>
      <w:r>
        <w:t>.</w:t>
      </w:r>
    </w:p>
    <w:p w14:paraId="70961391" w14:textId="44976200" w:rsidR="001C0D69" w:rsidRPr="001C0D69" w:rsidRDefault="001C0D69" w:rsidP="006E5F9A">
      <w:pPr>
        <w:pStyle w:val="a4"/>
        <w:ind w:left="0"/>
      </w:pPr>
      <w:r>
        <w:t>Polysorbaatit saattavat aiheuttaa allergisia reaktioita. Potilaiden, joilla on polysorbaattiallergia, ei pidä ottaa tätä lääkettä.</w:t>
      </w:r>
    </w:p>
    <w:p w14:paraId="0B0E262A" w14:textId="77777777" w:rsidR="001C0D69" w:rsidRPr="0028514E" w:rsidRDefault="001C0D69" w:rsidP="006E5F9A">
      <w:pPr>
        <w:pStyle w:val="a4"/>
        <w:ind w:left="0"/>
      </w:pPr>
    </w:p>
    <w:p w14:paraId="5C259430" w14:textId="77777777" w:rsidR="003B7027" w:rsidRPr="0028514E" w:rsidRDefault="00296A74" w:rsidP="00E57787">
      <w:pPr>
        <w:pStyle w:val="2"/>
        <w:keepNext/>
        <w:keepLines/>
      </w:pPr>
      <w:r w:rsidRPr="0028514E">
        <w:lastRenderedPageBreak/>
        <w:t>4.5</w:t>
      </w:r>
      <w:r w:rsidRPr="0028514E">
        <w:tab/>
        <w:t>Yhteisvaikutukset muiden lääkevalmisteiden kanssa sekä muut yhteisvaikutukset</w:t>
      </w:r>
    </w:p>
    <w:p w14:paraId="28B2D353" w14:textId="77777777" w:rsidR="0020054B" w:rsidRPr="0028514E" w:rsidRDefault="0020054B" w:rsidP="00E57787">
      <w:pPr>
        <w:pStyle w:val="a4"/>
        <w:keepNext/>
        <w:keepLines/>
        <w:ind w:left="0"/>
      </w:pPr>
    </w:p>
    <w:p w14:paraId="6F61E17B" w14:textId="77777777" w:rsidR="003B7027" w:rsidRPr="0028514E" w:rsidRDefault="00296A74" w:rsidP="006E5F9A">
      <w:pPr>
        <w:pStyle w:val="a4"/>
        <w:ind w:left="0"/>
      </w:pPr>
      <w:r w:rsidRPr="0028514E">
        <w:t>Yhteisvaikutuksia on tutkittu vain aikuisille tehdyissä tutkimuksissa.</w:t>
      </w:r>
    </w:p>
    <w:p w14:paraId="19140CB8" w14:textId="77777777" w:rsidR="003B7027" w:rsidRPr="0028514E" w:rsidRDefault="003B7027" w:rsidP="006E5F9A">
      <w:pPr>
        <w:pStyle w:val="a4"/>
        <w:ind w:left="0"/>
      </w:pPr>
    </w:p>
    <w:p w14:paraId="3138AB03" w14:textId="77777777" w:rsidR="003B7027" w:rsidRPr="0028514E" w:rsidRDefault="00296A74" w:rsidP="006E5F9A">
      <w:pPr>
        <w:pStyle w:val="a4"/>
        <w:ind w:left="0"/>
      </w:pPr>
      <w:r w:rsidRPr="0028514E">
        <w:t>Tosilitsumabi ei vaikuttanut kliinisesti merkitsevästi MTX-altistukseen, kun sitä annettiin 10 mg/kg kerta-annoksena MTX-hoidon (10–25 mg kerran viikossa) aikana.</w:t>
      </w:r>
    </w:p>
    <w:p w14:paraId="66056675" w14:textId="77777777" w:rsidR="0020054B" w:rsidRPr="0028514E" w:rsidRDefault="0020054B" w:rsidP="006E5F9A">
      <w:pPr>
        <w:pStyle w:val="a4"/>
        <w:ind w:left="0"/>
      </w:pPr>
    </w:p>
    <w:p w14:paraId="78388492" w14:textId="77777777" w:rsidR="003B7027" w:rsidRPr="0028514E" w:rsidRDefault="00296A74" w:rsidP="006E5F9A">
      <w:pPr>
        <w:pStyle w:val="a4"/>
        <w:ind w:left="0"/>
      </w:pPr>
      <w:r w:rsidRPr="0028514E">
        <w:t>Populaatiofarmakokineettisessä analyysissä havaittiin, etteivät MTX, steroideihin kuulumattomat tulehduskipulääkkeet (NSAID-lääkkeet) eivätkä kortikosteroidit vaikuttaneet tosilitsumabin puhdistumaan.</w:t>
      </w:r>
    </w:p>
    <w:p w14:paraId="2B42CEB9" w14:textId="77777777" w:rsidR="003B7027" w:rsidRPr="0028514E" w:rsidRDefault="003B7027" w:rsidP="006E5F9A">
      <w:pPr>
        <w:pStyle w:val="a4"/>
        <w:ind w:left="0"/>
      </w:pPr>
    </w:p>
    <w:p w14:paraId="3D016872" w14:textId="77777777" w:rsidR="003B7027" w:rsidRPr="0028514E" w:rsidRDefault="00296A74" w:rsidP="006E5F9A">
      <w:pPr>
        <w:pStyle w:val="a4"/>
        <w:ind w:left="0"/>
      </w:pPr>
      <w:r w:rsidRPr="0028514E">
        <w:t>Kroonista tulehdusta vahvistavat sytokiinit, kuten IL-6, estävät maksan CYP450-entsyymien ilmentymistä. CYP450-entsyymien ilmentyminen voi siis palautua, kun aloitetaan voimakas sytokiinia estävä lääkitys, esimerkiksi tosilitsumabi.</w:t>
      </w:r>
    </w:p>
    <w:p w14:paraId="7A10C410" w14:textId="77777777" w:rsidR="003B7027" w:rsidRPr="0028514E" w:rsidRDefault="003B7027" w:rsidP="006E5F9A">
      <w:pPr>
        <w:pStyle w:val="a4"/>
        <w:ind w:left="0"/>
      </w:pPr>
    </w:p>
    <w:p w14:paraId="703E942B" w14:textId="77777777" w:rsidR="003B7027" w:rsidRPr="0028514E" w:rsidRDefault="00296A74" w:rsidP="006E5F9A">
      <w:pPr>
        <w:pStyle w:val="a4"/>
        <w:ind w:left="0"/>
      </w:pPr>
      <w:r w:rsidRPr="0028514E">
        <w:rPr>
          <w:i/>
        </w:rPr>
        <w:t xml:space="preserve">In vitro </w:t>
      </w:r>
      <w:r w:rsidRPr="0028514E">
        <w:t>-tutkimukset viljellyillä ihmisen maksasoluilla osoittivat, että IL-6 pienensi CYP1A2-</w:t>
      </w:r>
      <w:r w:rsidRPr="0028514E">
        <w:rPr>
          <w:i/>
        </w:rPr>
        <w:t xml:space="preserve">, </w:t>
      </w:r>
      <w:r w:rsidRPr="0028514E">
        <w:t>CYP2C9-, CYP2C19- ja CYP3A4-entsyymien ilmentymää. Tosilitsumabi normalisoi näiden entsyymien ilmentymää.</w:t>
      </w:r>
    </w:p>
    <w:p w14:paraId="2BC7274A" w14:textId="77777777" w:rsidR="0020054B" w:rsidRPr="0028514E" w:rsidRDefault="0020054B" w:rsidP="006E5F9A">
      <w:pPr>
        <w:pStyle w:val="a4"/>
        <w:ind w:left="0"/>
      </w:pPr>
    </w:p>
    <w:p w14:paraId="123B0A7E" w14:textId="77777777" w:rsidR="003B7027" w:rsidRPr="0028514E" w:rsidRDefault="00296A74" w:rsidP="006E5F9A">
      <w:pPr>
        <w:pStyle w:val="a4"/>
        <w:ind w:left="0"/>
      </w:pPr>
      <w:r w:rsidRPr="0028514E">
        <w:t>Kliinisessä tutkimuksessa nivelreumapotilailla simvastatiinipitoisuudet (CYP3A4) olivat laskeneet 57 % viikon kuluttua tosilitsumabin kerta-annoksen antamisesta ja olivat vastaavat tai hieman korkeammat kuin terveillä koehenkilöillä mitatut pitoisuudet.</w:t>
      </w:r>
    </w:p>
    <w:p w14:paraId="7E0E379F" w14:textId="77777777" w:rsidR="003B7027" w:rsidRPr="0028514E" w:rsidRDefault="003B7027" w:rsidP="006E5F9A">
      <w:pPr>
        <w:pStyle w:val="a4"/>
        <w:ind w:left="0"/>
      </w:pPr>
    </w:p>
    <w:p w14:paraId="6DE83FA6" w14:textId="58D53DD0" w:rsidR="003B7027" w:rsidRPr="00A327CF" w:rsidRDefault="00296A74" w:rsidP="00BF6076">
      <w:pPr>
        <w:pStyle w:val="a4"/>
        <w:ind w:left="0"/>
      </w:pPr>
      <w:r w:rsidRPr="00A327CF">
        <w:t>Potilaita on seurattava tarkoin tosilitsumabihoitoa aloitettaessa tai lopetettaessa, jos he saavat CYP450-entsyymien 3A4, 1A2 tai 2C9 välityksellä metaboloituvia lääkkeitä (esim. metyyliprednisoloni, deksametasoni [oraalisen glukokortikoidihoidon lopettamisoireiden mahdollisuus], atorvastatiini, kalsiuminestäjät, teofylliini, varfariini, fenprokumoni, fenytoiini,</w:t>
      </w:r>
      <w:r w:rsidR="00BF6076">
        <w:t xml:space="preserve"> </w:t>
      </w:r>
      <w:r w:rsidRPr="00A327CF">
        <w:t>siklosporiini tai bentsodiatsepiinit). Näiden lääkkeiden annokset määritellään yksilöllisesti ja annosten suurentaminen saattaa olla tarpeen hoitotehon säilyttämiseksi. Eliminaation pitkän puoliintumisajan (t</w:t>
      </w:r>
      <w:r w:rsidRPr="00A327CF">
        <w:rPr>
          <w:vertAlign w:val="subscript"/>
        </w:rPr>
        <w:t>1/2</w:t>
      </w:r>
      <w:r w:rsidRPr="00A327CF">
        <w:t>) takia tosilitsumabin vaikutus CYP450-entsyymin toimintaan saattaa jatkua vielä useita viikkoja hoidon päättymisen jälkeen.</w:t>
      </w:r>
    </w:p>
    <w:p w14:paraId="01DEC0BE" w14:textId="77777777" w:rsidR="003B7027" w:rsidRPr="0028514E" w:rsidRDefault="003B7027" w:rsidP="006E5F9A">
      <w:pPr>
        <w:pStyle w:val="a4"/>
        <w:ind w:left="0"/>
      </w:pPr>
    </w:p>
    <w:p w14:paraId="5994DFC3" w14:textId="77777777" w:rsidR="003B7027" w:rsidRPr="0028514E" w:rsidRDefault="00296A74" w:rsidP="006E5F9A">
      <w:pPr>
        <w:pStyle w:val="2"/>
      </w:pPr>
      <w:r w:rsidRPr="0028514E">
        <w:t>4.6</w:t>
      </w:r>
      <w:r w:rsidRPr="0028514E">
        <w:tab/>
        <w:t>Hedelmällisyys, raskaus ja imetys</w:t>
      </w:r>
    </w:p>
    <w:p w14:paraId="3F591229" w14:textId="77777777" w:rsidR="0020054B" w:rsidRPr="0028514E" w:rsidRDefault="0020054B" w:rsidP="006E5F9A">
      <w:pPr>
        <w:pStyle w:val="a4"/>
        <w:ind w:left="0"/>
        <w:rPr>
          <w:u w:val="single"/>
        </w:rPr>
      </w:pPr>
    </w:p>
    <w:p w14:paraId="571A82F7" w14:textId="77777777" w:rsidR="003B7027" w:rsidRPr="0028514E" w:rsidRDefault="00296A74" w:rsidP="006E5F9A">
      <w:pPr>
        <w:pStyle w:val="a4"/>
        <w:ind w:left="0"/>
      </w:pPr>
      <w:r w:rsidRPr="0028514E">
        <w:rPr>
          <w:u w:val="single"/>
        </w:rPr>
        <w:t>Naiset, jotka voivat tulla raskaaksi</w:t>
      </w:r>
    </w:p>
    <w:p w14:paraId="2F1F0FEE" w14:textId="77777777" w:rsidR="003B7027" w:rsidRPr="0028514E" w:rsidRDefault="00296A74" w:rsidP="006E5F9A">
      <w:pPr>
        <w:pStyle w:val="a4"/>
        <w:ind w:left="0"/>
      </w:pPr>
      <w:r w:rsidRPr="0028514E">
        <w:t>Naisten, jotka voivat tulla raskaaksi, on käytettävä luotettavaa ehkäisyä hoidon aikana ja vähintään kolmen kuukauden ajan hoidon päättymisen jälkeen.</w:t>
      </w:r>
    </w:p>
    <w:p w14:paraId="55B2DAE7" w14:textId="77777777" w:rsidR="003B7027" w:rsidRPr="0028514E" w:rsidRDefault="003B7027" w:rsidP="006E5F9A">
      <w:pPr>
        <w:pStyle w:val="a4"/>
        <w:ind w:left="0"/>
      </w:pPr>
    </w:p>
    <w:p w14:paraId="4984A7A9" w14:textId="77777777" w:rsidR="003B7027" w:rsidRPr="0028514E" w:rsidRDefault="00296A74" w:rsidP="006E5F9A">
      <w:pPr>
        <w:pStyle w:val="a4"/>
        <w:ind w:left="0"/>
      </w:pPr>
      <w:r w:rsidRPr="0028514E">
        <w:rPr>
          <w:u w:val="single"/>
        </w:rPr>
        <w:t>Raskaus</w:t>
      </w:r>
    </w:p>
    <w:p w14:paraId="0120CCC6" w14:textId="77777777" w:rsidR="003B7027" w:rsidRPr="0028514E" w:rsidRDefault="00296A74" w:rsidP="006E5F9A">
      <w:pPr>
        <w:pStyle w:val="a4"/>
        <w:ind w:left="0"/>
      </w:pPr>
      <w:r w:rsidRPr="0028514E">
        <w:t>Ei ole riittävästi tietoja tosilitsumabin käytöstä raskaana oleville naisille. Eläinkokeissa on havaittu spontaanien keskenmenojen / alkio- ja sikiökuolemien lisääntymistä suuria annoksia annettaessa (ks. kohta 5.3). Mahdollista riskiä ihmisille ei tunneta.</w:t>
      </w:r>
    </w:p>
    <w:p w14:paraId="625C7B41" w14:textId="77777777" w:rsidR="0020054B" w:rsidRPr="0028514E" w:rsidRDefault="0020054B" w:rsidP="006E5F9A">
      <w:pPr>
        <w:pStyle w:val="a4"/>
        <w:ind w:left="0"/>
      </w:pPr>
    </w:p>
    <w:p w14:paraId="10F156B7" w14:textId="64543E23" w:rsidR="0020054B" w:rsidRPr="0028514E" w:rsidRDefault="00E70835" w:rsidP="006E5F9A">
      <w:pPr>
        <w:pStyle w:val="a4"/>
        <w:ind w:left="0"/>
      </w:pPr>
      <w:r>
        <w:t>Avtozmaa</w:t>
      </w:r>
      <w:r w:rsidRPr="0028514E">
        <w:t xml:space="preserve"> </w:t>
      </w:r>
      <w:r w:rsidR="00296A74" w:rsidRPr="0028514E">
        <w:t>ei pidä käyttää raskauden aikana, ellei se ole ehdottoman välttämätöntä.</w:t>
      </w:r>
    </w:p>
    <w:p w14:paraId="15987137" w14:textId="77777777" w:rsidR="0020054B" w:rsidRPr="0028514E" w:rsidRDefault="0020054B" w:rsidP="006E5F9A">
      <w:pPr>
        <w:pStyle w:val="a4"/>
        <w:ind w:left="0"/>
      </w:pPr>
    </w:p>
    <w:p w14:paraId="143C1071" w14:textId="77777777" w:rsidR="003B7027" w:rsidRPr="0028514E" w:rsidRDefault="00296A74" w:rsidP="006E5F9A">
      <w:pPr>
        <w:pStyle w:val="a4"/>
        <w:ind w:left="0"/>
      </w:pPr>
      <w:r w:rsidRPr="0028514E">
        <w:rPr>
          <w:u w:val="single"/>
        </w:rPr>
        <w:t>Imetys</w:t>
      </w:r>
    </w:p>
    <w:p w14:paraId="5F4F8123" w14:textId="5F8AA191" w:rsidR="003B7027" w:rsidRPr="0028514E" w:rsidRDefault="00296A74" w:rsidP="006E5F9A">
      <w:pPr>
        <w:pStyle w:val="a4"/>
        <w:ind w:left="0"/>
      </w:pPr>
      <w:r w:rsidRPr="0028514E">
        <w:t xml:space="preserve">Ei tiedetä, erittyykö tosilitsumabi äidinmaitoon ihmisillä. Tosilitsumabin erittymistä äidinmaitoon ei ole tutkittu eläimillä. Harkittaessa imettämisen jatkamista tai keskeyttämistä tai </w:t>
      </w:r>
      <w:r w:rsidR="00E70835">
        <w:t>Avtozma</w:t>
      </w:r>
      <w:r w:rsidRPr="0028514E">
        <w:t xml:space="preserve">-hoidon jatkamista tai keskeyttämistä on otettava huomioon sekä imettämisestä koituva hyöty lapselle että </w:t>
      </w:r>
      <w:r w:rsidR="00E70835">
        <w:t>Avtozma</w:t>
      </w:r>
      <w:r w:rsidRPr="0028514E">
        <w:t>-hoidosta koituva hyöty äidille.</w:t>
      </w:r>
    </w:p>
    <w:p w14:paraId="0819FD80" w14:textId="77777777" w:rsidR="003B7027" w:rsidRPr="0028514E" w:rsidRDefault="003B7027" w:rsidP="006E5F9A">
      <w:pPr>
        <w:pStyle w:val="a4"/>
        <w:ind w:left="0"/>
      </w:pPr>
    </w:p>
    <w:p w14:paraId="681ECC8C" w14:textId="77777777" w:rsidR="003B7027" w:rsidRPr="0028514E" w:rsidRDefault="00296A74" w:rsidP="006E5F9A">
      <w:pPr>
        <w:pStyle w:val="a4"/>
        <w:ind w:left="0"/>
      </w:pPr>
      <w:r w:rsidRPr="0028514E">
        <w:rPr>
          <w:u w:val="single"/>
        </w:rPr>
        <w:t>Hedelmällisyys</w:t>
      </w:r>
    </w:p>
    <w:p w14:paraId="009A07C8" w14:textId="77777777" w:rsidR="003B7027" w:rsidRPr="0028514E" w:rsidRDefault="00296A74" w:rsidP="006E5F9A">
      <w:pPr>
        <w:pStyle w:val="a4"/>
        <w:ind w:left="0"/>
      </w:pPr>
      <w:r w:rsidRPr="0028514E">
        <w:t>Käytettävissä olevat ei-kliiniset tiedot eivät viittaa tosilitsumabihoidon vaikuttavan hedelmällisyyteen.</w:t>
      </w:r>
    </w:p>
    <w:p w14:paraId="30292CDE" w14:textId="77777777" w:rsidR="003B7027" w:rsidRPr="0028514E" w:rsidRDefault="003B7027" w:rsidP="006E5F9A">
      <w:pPr>
        <w:pStyle w:val="a4"/>
        <w:ind w:left="0"/>
      </w:pPr>
    </w:p>
    <w:p w14:paraId="36AB16BE" w14:textId="77777777" w:rsidR="003B7027" w:rsidRPr="0028514E" w:rsidRDefault="00296A74" w:rsidP="006E5F9A">
      <w:pPr>
        <w:pStyle w:val="2"/>
      </w:pPr>
      <w:r w:rsidRPr="0028514E">
        <w:t>4.7</w:t>
      </w:r>
      <w:r w:rsidRPr="0028514E">
        <w:tab/>
        <w:t>Vaikutus ajokykyyn ja koneidenkäyttökykyyn</w:t>
      </w:r>
    </w:p>
    <w:p w14:paraId="5C94510C" w14:textId="77777777" w:rsidR="0020054B" w:rsidRPr="009A3CB5" w:rsidRDefault="0020054B" w:rsidP="00FF1202">
      <w:pPr>
        <w:rPr>
          <w:lang w:val="fi-FI"/>
        </w:rPr>
      </w:pPr>
    </w:p>
    <w:p w14:paraId="40F62F99" w14:textId="64652E36" w:rsidR="003B7027" w:rsidRPr="0028514E" w:rsidRDefault="00E70835" w:rsidP="006E5F9A">
      <w:pPr>
        <w:pStyle w:val="a4"/>
        <w:ind w:left="0"/>
      </w:pPr>
      <w:r>
        <w:t>Tosilitsumabilla</w:t>
      </w:r>
      <w:r w:rsidRPr="0028514E">
        <w:t xml:space="preserve"> </w:t>
      </w:r>
      <w:r w:rsidR="00296A74" w:rsidRPr="0028514E">
        <w:t>on vähäinen vaikutus ajokykyyn ja koneidenkäyttökykyyn (ks. kohta 4.8, huimaus).</w:t>
      </w:r>
    </w:p>
    <w:p w14:paraId="3F8CCC2F" w14:textId="77777777" w:rsidR="003B7027" w:rsidRPr="0028514E" w:rsidRDefault="003B7027" w:rsidP="006E5F9A">
      <w:pPr>
        <w:pStyle w:val="a4"/>
        <w:ind w:left="0"/>
      </w:pPr>
    </w:p>
    <w:p w14:paraId="17820B7B" w14:textId="77777777" w:rsidR="003B7027" w:rsidRPr="0028514E" w:rsidRDefault="00296A74" w:rsidP="003C43CF">
      <w:pPr>
        <w:pStyle w:val="2"/>
        <w:keepNext/>
      </w:pPr>
      <w:r w:rsidRPr="0028514E">
        <w:t>4.8</w:t>
      </w:r>
      <w:r w:rsidRPr="0028514E">
        <w:tab/>
        <w:t>Haittavaikutukset</w:t>
      </w:r>
    </w:p>
    <w:p w14:paraId="72FF3071" w14:textId="77777777" w:rsidR="0020054B" w:rsidRPr="009A3CB5" w:rsidRDefault="0020054B" w:rsidP="00FF1202">
      <w:pPr>
        <w:rPr>
          <w:lang w:val="fi-FI"/>
        </w:rPr>
      </w:pPr>
    </w:p>
    <w:p w14:paraId="42F2592F" w14:textId="77777777" w:rsidR="003B7027" w:rsidRPr="0028514E" w:rsidRDefault="00296A74" w:rsidP="00704C8E">
      <w:pPr>
        <w:pStyle w:val="a4"/>
        <w:keepNext/>
        <w:ind w:left="0"/>
      </w:pPr>
      <w:r w:rsidRPr="0028514E">
        <w:rPr>
          <w:u w:val="single"/>
        </w:rPr>
        <w:t>Turvallisuusprofiilin yhteenveto</w:t>
      </w:r>
    </w:p>
    <w:p w14:paraId="66543CE9" w14:textId="77777777" w:rsidR="003B7027" w:rsidRPr="0028514E" w:rsidRDefault="00296A74" w:rsidP="006E5F9A">
      <w:pPr>
        <w:pStyle w:val="a4"/>
        <w:ind w:left="0"/>
      </w:pPr>
      <w:r w:rsidRPr="0028514E">
        <w:t>Yleisimmät haittavaikutukset (≥ 5 %:lla nivelreumaa, yleisoireista lastenreumaa, polyartriittia ja sytokiinien vapautumisoireyhtymää sairastavista potilaista, jotka saivat tosilitsumabia monoterapiana tai yhdessä DMARDien kanssa) olivat ylähengitystieinfektiot, nasofaryngiitti, päänsärky, hypertensio ja ALAT-arvon nousu.</w:t>
      </w:r>
    </w:p>
    <w:p w14:paraId="48B19282" w14:textId="77777777" w:rsidR="0020054B" w:rsidRPr="0028514E" w:rsidRDefault="0020054B" w:rsidP="006E5F9A">
      <w:pPr>
        <w:pStyle w:val="a4"/>
        <w:ind w:left="0"/>
      </w:pPr>
    </w:p>
    <w:p w14:paraId="5F4E533A" w14:textId="77777777" w:rsidR="003B7027" w:rsidRPr="0028514E" w:rsidRDefault="00296A74" w:rsidP="006E5F9A">
      <w:pPr>
        <w:pStyle w:val="a4"/>
        <w:ind w:left="0"/>
      </w:pPr>
      <w:r w:rsidRPr="0028514E">
        <w:t>Vakavimmat haittavaikutukset olivat vakavat infektiot, divertikuliitin komplikaatiot ja yliherkkyysreaktiot.</w:t>
      </w:r>
    </w:p>
    <w:p w14:paraId="5ADBB548" w14:textId="77777777" w:rsidR="0020054B" w:rsidRPr="0028514E" w:rsidRDefault="0020054B" w:rsidP="006E5F9A">
      <w:pPr>
        <w:pStyle w:val="a4"/>
        <w:ind w:left="0"/>
      </w:pPr>
    </w:p>
    <w:p w14:paraId="39C6637F" w14:textId="77777777" w:rsidR="003B7027" w:rsidRPr="0028514E" w:rsidRDefault="00296A74" w:rsidP="006E5F9A">
      <w:pPr>
        <w:pStyle w:val="a4"/>
        <w:ind w:left="0"/>
      </w:pPr>
      <w:r w:rsidRPr="0028514E">
        <w:t>Yleisimmin raportoidut haittavaikutukset (≥ 5 %:lla tosilitsumabia COVID-19-taudin hoitoon saaneista potilaista) olivat maksan transaminaasiarvojen nousu, ummetus ja virtsatieinfektio.</w:t>
      </w:r>
    </w:p>
    <w:p w14:paraId="0AE3DEE6" w14:textId="77777777" w:rsidR="003B7027" w:rsidRPr="0028514E" w:rsidRDefault="003B7027" w:rsidP="006E5F9A">
      <w:pPr>
        <w:pStyle w:val="a4"/>
        <w:ind w:left="0"/>
      </w:pPr>
    </w:p>
    <w:p w14:paraId="62EAD646" w14:textId="33FB5F1A" w:rsidR="003B7027" w:rsidRPr="0028514E" w:rsidRDefault="00296A74" w:rsidP="006E5F9A">
      <w:pPr>
        <w:pStyle w:val="a4"/>
        <w:ind w:left="0"/>
      </w:pPr>
      <w:r w:rsidRPr="0028514E">
        <w:t xml:space="preserve">Taulukossa 1 luetellaan haittavaikutukset, jotka on todettu kliinisissä tutkimuksissa ja/tai </w:t>
      </w:r>
      <w:r w:rsidR="00E70835">
        <w:t>tosilitsumabin</w:t>
      </w:r>
      <w:r w:rsidRPr="0028514E">
        <w:t xml:space="preserve"> markkinoille tulon jälkeisessä käytössä spontaanien tapausselostusten, kirjallisuudessa raportoitujen tapausten ja ei-interventiotutkimusohjelmissa todettujen tapausten perusteella, ja</w:t>
      </w:r>
      <w:r w:rsidR="0020054B" w:rsidRPr="0028514E">
        <w:t xml:space="preserve"> </w:t>
      </w:r>
      <w:r w:rsidRPr="0028514E">
        <w:t>taulukossa 2 haittavaikutukset luetellaan MedDRA-elinjärjestelmän mukaan. Kunkin haittavaikutuksen vastaava yleisyysluokka perustuu seuraavaan esitystapaan: hyvin yleinen (≥ 1/10); yleinen (≥ 1/100, &lt; 1/10), melko harvinainen (≥ 1/1</w:t>
      </w:r>
      <w:r w:rsidR="00DB35DB">
        <w:t> </w:t>
      </w:r>
      <w:r w:rsidRPr="0028514E">
        <w:t>000, &lt; 1/100), harvinainen (&gt; 1/10</w:t>
      </w:r>
      <w:r w:rsidR="00DB35DB">
        <w:t> </w:t>
      </w:r>
      <w:r w:rsidRPr="0028514E">
        <w:t>000, &lt; 1/1</w:t>
      </w:r>
      <w:r w:rsidR="00DB35DB">
        <w:t> </w:t>
      </w:r>
      <w:r w:rsidRPr="0028514E">
        <w:t>000) tai hyvin harvinainen (&lt; 1/10</w:t>
      </w:r>
      <w:r w:rsidR="00DB35DB">
        <w:t> </w:t>
      </w:r>
      <w:r w:rsidRPr="0028514E">
        <w:t>000). Haittavaikutukset on esitetty kussakin yleisyysluokassa haittavaikutuksen vakavuuden mukaan alenevassa järjestyksessä.</w:t>
      </w:r>
    </w:p>
    <w:p w14:paraId="662B2886" w14:textId="77777777" w:rsidR="003B7027" w:rsidRPr="0028514E" w:rsidRDefault="003B7027" w:rsidP="006E5F9A">
      <w:pPr>
        <w:pStyle w:val="a4"/>
        <w:ind w:left="0"/>
      </w:pPr>
    </w:p>
    <w:p w14:paraId="20BE8881" w14:textId="77777777" w:rsidR="003B7027" w:rsidRPr="0028514E" w:rsidRDefault="00296A74" w:rsidP="006E5F9A">
      <w:pPr>
        <w:pStyle w:val="a4"/>
        <w:ind w:left="0"/>
      </w:pPr>
      <w:r w:rsidRPr="0028514E">
        <w:rPr>
          <w:u w:val="single"/>
        </w:rPr>
        <w:t>Nivelreumapotilaat</w:t>
      </w:r>
    </w:p>
    <w:p w14:paraId="48877EF3" w14:textId="77777777" w:rsidR="003B7027" w:rsidRPr="0028514E" w:rsidRDefault="00296A74" w:rsidP="006E5F9A">
      <w:pPr>
        <w:pStyle w:val="a4"/>
        <w:ind w:left="0"/>
      </w:pPr>
      <w:r w:rsidRPr="0028514E">
        <w:t>Tosilitsumabin turvallisuusprofiilia on tutkittu neljässä lumevertailututkimuksessa (tutkimukset II, III, IV ja V) ja yhdessä tutkimuksessa, jossa vaikuttavana vertailuaineena oli MTX (tutkimus I), sekä näiden tutkimusten jatkotutkimuksissa (ks. kohta 5.1).</w:t>
      </w:r>
    </w:p>
    <w:p w14:paraId="111E1210" w14:textId="77777777" w:rsidR="003B7027" w:rsidRPr="0028514E" w:rsidRDefault="003B7027" w:rsidP="006E5F9A">
      <w:pPr>
        <w:pStyle w:val="a4"/>
        <w:ind w:left="0"/>
      </w:pPr>
    </w:p>
    <w:p w14:paraId="49A7A4DD" w14:textId="15D1DAEB" w:rsidR="003B7027" w:rsidRPr="0028514E" w:rsidRDefault="00296A74" w:rsidP="006E5F9A">
      <w:pPr>
        <w:pStyle w:val="a4"/>
        <w:ind w:left="0"/>
      </w:pPr>
      <w:r w:rsidRPr="0028514E">
        <w:t>Neljässä tutkimuksessa kaksoissokkoutetun kontrollivaiheen pituus oli kuusi kuukautta (tutkimukset I, III, IV ja V) ja yhdessä tutkimuksessa (II) se oli enimmillään kaksi vuotta. Näissä kaksoissokkotekniikalla kontrolloiduissa tutkimuksissa 774 potilasta sai 4 mg/kg tosilitsumabia yhdessä MTX:n kanssa, 1</w:t>
      </w:r>
      <w:r w:rsidR="00EA4370">
        <w:t> </w:t>
      </w:r>
      <w:r w:rsidRPr="0028514E">
        <w:t>870 potilasta sai 8 mg/kg tosilitsumabia yhdessä MTX:n tai muun DMARDin kanssa ja 288 potilasta sai 8 mg/kg tosilitsumabia monoterapiana.</w:t>
      </w:r>
    </w:p>
    <w:p w14:paraId="3F6C7CD7" w14:textId="77777777" w:rsidR="0020054B" w:rsidRPr="0028514E" w:rsidRDefault="0020054B" w:rsidP="006E5F9A">
      <w:pPr>
        <w:pStyle w:val="a4"/>
        <w:ind w:left="0"/>
      </w:pPr>
    </w:p>
    <w:p w14:paraId="3FFE13AE" w14:textId="265C7568" w:rsidR="003B7027" w:rsidRPr="0028514E" w:rsidRDefault="00296A74" w:rsidP="006E5F9A">
      <w:pPr>
        <w:pStyle w:val="a4"/>
        <w:ind w:left="0"/>
      </w:pPr>
      <w:r w:rsidRPr="0028514E">
        <w:t>Pitkäaikaisen altistumisen populaatioon kuuluu kaikki potilaat, jotka saivat vähintään yhden tosilitsumabiannoksen joko tutkimusten kaksoissokkoutetun seurantavaiheen aikana tai avoimissa jatkotutkimuksissa. Tähän populaatioon kuuluu 4</w:t>
      </w:r>
      <w:r w:rsidR="00A126D2">
        <w:t> </w:t>
      </w:r>
      <w:r w:rsidRPr="0028514E">
        <w:t>009 potilasta, joista 3</w:t>
      </w:r>
      <w:r w:rsidR="00A126D2">
        <w:t> </w:t>
      </w:r>
      <w:r w:rsidRPr="0028514E">
        <w:t>577:ää hoidettiin vähintään kuuden kuukauden ajan, 3</w:t>
      </w:r>
      <w:r w:rsidR="00A126D2">
        <w:t> </w:t>
      </w:r>
      <w:r w:rsidRPr="0028514E">
        <w:t>296:ta vähintään vuoden ajan, 2</w:t>
      </w:r>
      <w:r w:rsidR="00A126D2">
        <w:t> </w:t>
      </w:r>
      <w:r w:rsidRPr="0028514E">
        <w:t>806:ta vähintään kahden vuoden ajan ja 1</w:t>
      </w:r>
      <w:r w:rsidR="00A126D2">
        <w:t> </w:t>
      </w:r>
      <w:r w:rsidRPr="0028514E">
        <w:t>222:ta vähintään kolmen vuoden ajan.</w:t>
      </w:r>
    </w:p>
    <w:p w14:paraId="1145D04F" w14:textId="77777777" w:rsidR="0020054B" w:rsidRPr="0028514E" w:rsidRDefault="0020054B" w:rsidP="006E5F9A">
      <w:pPr>
        <w:pStyle w:val="a4"/>
        <w:ind w:left="0"/>
      </w:pPr>
    </w:p>
    <w:p w14:paraId="3E550EDC" w14:textId="77777777" w:rsidR="003B7027" w:rsidRPr="00CA43F5" w:rsidRDefault="00296A74" w:rsidP="00A327CF">
      <w:pPr>
        <w:pStyle w:val="Tabletitle"/>
        <w:rPr>
          <w:lang w:val="fi-FI"/>
        </w:rPr>
      </w:pPr>
      <w:r w:rsidRPr="00CA43F5">
        <w:rPr>
          <w:lang w:val="fi-FI"/>
        </w:rPr>
        <w:t>Taulukko 1.</w:t>
      </w:r>
      <w:r w:rsidR="0020054B" w:rsidRPr="00CA43F5">
        <w:rPr>
          <w:lang w:val="fi-FI"/>
        </w:rPr>
        <w:tab/>
      </w:r>
      <w:r w:rsidRPr="00CA43F5">
        <w:rPr>
          <w:lang w:val="fi-FI"/>
        </w:rPr>
        <w:t>Lista nivelreumapotilailla esiintyneistä haittavaikutuksista, kun tosilitsumabia annettiin monoterapiana tai yhdessä MTX:n tai muiden DMARDien kanssa kaksoissokkoutetussa kontrollivaiheessa tai valmisteen markkinoille tulon jälkeisessä käytössä</w:t>
      </w:r>
    </w:p>
    <w:p w14:paraId="6027F58C" w14:textId="77777777" w:rsidR="003C56F9" w:rsidRPr="00CA43F5" w:rsidRDefault="003C56F9" w:rsidP="003C43CF">
      <w:pPr>
        <w:rPr>
          <w:i/>
          <w:lang w:val="fi-FI"/>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8" w:type="dxa"/>
          <w:bottom w:w="29" w:type="dxa"/>
          <w:right w:w="28" w:type="dxa"/>
        </w:tblCellMar>
        <w:tblLook w:val="01E0" w:firstRow="1" w:lastRow="1" w:firstColumn="1" w:lastColumn="1" w:noHBand="0" w:noVBand="0"/>
      </w:tblPr>
      <w:tblGrid>
        <w:gridCol w:w="2070"/>
        <w:gridCol w:w="1538"/>
        <w:gridCol w:w="2057"/>
        <w:gridCol w:w="1582"/>
        <w:gridCol w:w="1599"/>
      </w:tblGrid>
      <w:tr w:rsidR="003B7027" w:rsidRPr="00777B93" w14:paraId="14A5A5AA" w14:textId="77777777" w:rsidTr="00BF0F77">
        <w:trPr>
          <w:cantSplit/>
          <w:tblHeader/>
        </w:trPr>
        <w:tc>
          <w:tcPr>
            <w:tcW w:w="2122" w:type="dxa"/>
            <w:vMerge w:val="restart"/>
          </w:tcPr>
          <w:p w14:paraId="7803DDB6" w14:textId="77777777" w:rsidR="003B7027" w:rsidRPr="0028514E" w:rsidRDefault="00296A74" w:rsidP="003C43CF">
            <w:pPr>
              <w:pStyle w:val="TableParagraph"/>
              <w:suppressAutoHyphens/>
              <w:jc w:val="center"/>
              <w:rPr>
                <w:b/>
              </w:rPr>
            </w:pPr>
            <w:r w:rsidRPr="0028514E">
              <w:rPr>
                <w:b/>
              </w:rPr>
              <w:t>MedDRA-elinjärjestelmä- luokka</w:t>
            </w:r>
          </w:p>
        </w:tc>
        <w:tc>
          <w:tcPr>
            <w:tcW w:w="5306" w:type="dxa"/>
            <w:gridSpan w:val="3"/>
          </w:tcPr>
          <w:p w14:paraId="475D97DC" w14:textId="77777777" w:rsidR="003B7027" w:rsidRPr="0028514E" w:rsidRDefault="00296A74" w:rsidP="003C43CF">
            <w:pPr>
              <w:pStyle w:val="TableParagraph"/>
              <w:suppressAutoHyphens/>
              <w:jc w:val="center"/>
              <w:rPr>
                <w:b/>
              </w:rPr>
            </w:pPr>
            <w:r w:rsidRPr="0028514E">
              <w:rPr>
                <w:b/>
              </w:rPr>
              <w:t>Yleisyysluokat suositelluin termein</w:t>
            </w:r>
          </w:p>
        </w:tc>
        <w:tc>
          <w:tcPr>
            <w:tcW w:w="1639" w:type="dxa"/>
          </w:tcPr>
          <w:p w14:paraId="6C97BFCA" w14:textId="77777777" w:rsidR="003B7027" w:rsidRPr="0028514E" w:rsidRDefault="003B7027" w:rsidP="003C43CF">
            <w:pPr>
              <w:pStyle w:val="TableParagraph"/>
              <w:suppressAutoHyphens/>
              <w:jc w:val="center"/>
            </w:pPr>
          </w:p>
        </w:tc>
      </w:tr>
      <w:tr w:rsidR="003B7027" w:rsidRPr="00777B93" w14:paraId="26BF18DF" w14:textId="77777777" w:rsidTr="00BF0F77">
        <w:trPr>
          <w:cantSplit/>
          <w:tblHeader/>
        </w:trPr>
        <w:tc>
          <w:tcPr>
            <w:tcW w:w="2122" w:type="dxa"/>
            <w:vMerge/>
            <w:tcBorders>
              <w:top w:val="nil"/>
            </w:tcBorders>
          </w:tcPr>
          <w:p w14:paraId="31D13935" w14:textId="77777777" w:rsidR="003B7027" w:rsidRPr="00777B93" w:rsidRDefault="003B7027" w:rsidP="003C43CF">
            <w:pPr>
              <w:suppressAutoHyphens/>
            </w:pPr>
          </w:p>
        </w:tc>
        <w:tc>
          <w:tcPr>
            <w:tcW w:w="1576" w:type="dxa"/>
          </w:tcPr>
          <w:p w14:paraId="428C86E9" w14:textId="77777777" w:rsidR="003B7027" w:rsidRPr="0028514E" w:rsidRDefault="00296A74" w:rsidP="003C43CF">
            <w:pPr>
              <w:pStyle w:val="TableParagraph"/>
              <w:suppressAutoHyphens/>
              <w:jc w:val="center"/>
              <w:rPr>
                <w:b/>
              </w:rPr>
            </w:pPr>
            <w:r w:rsidRPr="0028514E">
              <w:rPr>
                <w:b/>
              </w:rPr>
              <w:t>Hyvin yleinen</w:t>
            </w:r>
          </w:p>
        </w:tc>
        <w:tc>
          <w:tcPr>
            <w:tcW w:w="2109" w:type="dxa"/>
          </w:tcPr>
          <w:p w14:paraId="24207EA0" w14:textId="77777777" w:rsidR="003B7027" w:rsidRPr="0028514E" w:rsidRDefault="00296A74" w:rsidP="003C43CF">
            <w:pPr>
              <w:pStyle w:val="TableParagraph"/>
              <w:suppressAutoHyphens/>
              <w:jc w:val="center"/>
              <w:rPr>
                <w:b/>
              </w:rPr>
            </w:pPr>
            <w:r w:rsidRPr="0028514E">
              <w:rPr>
                <w:b/>
              </w:rPr>
              <w:t>Yleinen</w:t>
            </w:r>
          </w:p>
        </w:tc>
        <w:tc>
          <w:tcPr>
            <w:tcW w:w="1621" w:type="dxa"/>
          </w:tcPr>
          <w:p w14:paraId="0DA67BC5" w14:textId="77777777" w:rsidR="003B7027" w:rsidRPr="0028514E" w:rsidRDefault="00296A74" w:rsidP="003C43CF">
            <w:pPr>
              <w:pStyle w:val="TableParagraph"/>
              <w:suppressAutoHyphens/>
              <w:jc w:val="center"/>
              <w:rPr>
                <w:b/>
              </w:rPr>
            </w:pPr>
            <w:r w:rsidRPr="0028514E">
              <w:rPr>
                <w:b/>
              </w:rPr>
              <w:t>Melko harvinainen</w:t>
            </w:r>
          </w:p>
        </w:tc>
        <w:tc>
          <w:tcPr>
            <w:tcW w:w="1639" w:type="dxa"/>
          </w:tcPr>
          <w:p w14:paraId="46E6FE85" w14:textId="77777777" w:rsidR="003B7027" w:rsidRPr="0028514E" w:rsidRDefault="00296A74" w:rsidP="003C43CF">
            <w:pPr>
              <w:pStyle w:val="TableParagraph"/>
              <w:suppressAutoHyphens/>
              <w:jc w:val="center"/>
              <w:rPr>
                <w:b/>
              </w:rPr>
            </w:pPr>
            <w:r w:rsidRPr="0028514E">
              <w:rPr>
                <w:b/>
              </w:rPr>
              <w:t>Harvinainen</w:t>
            </w:r>
          </w:p>
        </w:tc>
      </w:tr>
      <w:tr w:rsidR="003B7027" w:rsidRPr="00777B93" w14:paraId="2B5B4051" w14:textId="77777777" w:rsidTr="00BF0F77">
        <w:trPr>
          <w:cantSplit/>
        </w:trPr>
        <w:tc>
          <w:tcPr>
            <w:tcW w:w="2122" w:type="dxa"/>
          </w:tcPr>
          <w:p w14:paraId="0C29F3B7" w14:textId="77777777" w:rsidR="003B7027" w:rsidRPr="0028514E" w:rsidRDefault="00296A74" w:rsidP="003C43CF">
            <w:pPr>
              <w:pStyle w:val="TableParagraph"/>
              <w:suppressAutoHyphens/>
            </w:pPr>
            <w:r w:rsidRPr="0028514E">
              <w:t>Infektiot</w:t>
            </w:r>
          </w:p>
        </w:tc>
        <w:tc>
          <w:tcPr>
            <w:tcW w:w="1576" w:type="dxa"/>
          </w:tcPr>
          <w:p w14:paraId="407758A5" w14:textId="77777777" w:rsidR="003B7027" w:rsidRPr="0028514E" w:rsidRDefault="00296A74" w:rsidP="003C43CF">
            <w:pPr>
              <w:pStyle w:val="TableParagraph"/>
              <w:suppressAutoHyphens/>
            </w:pPr>
            <w:r w:rsidRPr="0028514E">
              <w:t>Ylähengitystie- infektiot</w:t>
            </w:r>
          </w:p>
        </w:tc>
        <w:tc>
          <w:tcPr>
            <w:tcW w:w="2109" w:type="dxa"/>
          </w:tcPr>
          <w:p w14:paraId="3D908F61" w14:textId="77777777" w:rsidR="003B7027" w:rsidRPr="0028514E" w:rsidRDefault="00296A74" w:rsidP="003C43CF">
            <w:pPr>
              <w:pStyle w:val="TableParagraph"/>
              <w:suppressAutoHyphens/>
            </w:pPr>
            <w:r w:rsidRPr="0028514E">
              <w:t>Selluliitti, keuhkokuume, suun herpes simplex -infektio, vyöruusu</w:t>
            </w:r>
          </w:p>
        </w:tc>
        <w:tc>
          <w:tcPr>
            <w:tcW w:w="1621" w:type="dxa"/>
          </w:tcPr>
          <w:p w14:paraId="6DD9431E" w14:textId="77777777" w:rsidR="003B7027" w:rsidRPr="0028514E" w:rsidRDefault="00296A74" w:rsidP="003C43CF">
            <w:pPr>
              <w:pStyle w:val="TableParagraph"/>
              <w:suppressAutoHyphens/>
            </w:pPr>
            <w:r w:rsidRPr="0028514E">
              <w:t>Divertikuliitti</w:t>
            </w:r>
          </w:p>
        </w:tc>
        <w:tc>
          <w:tcPr>
            <w:tcW w:w="1639" w:type="dxa"/>
          </w:tcPr>
          <w:p w14:paraId="42F0CFA8" w14:textId="77777777" w:rsidR="003B7027" w:rsidRPr="0028514E" w:rsidRDefault="003B7027" w:rsidP="003C43CF">
            <w:pPr>
              <w:pStyle w:val="TableParagraph"/>
              <w:suppressAutoHyphens/>
            </w:pPr>
          </w:p>
        </w:tc>
      </w:tr>
      <w:tr w:rsidR="003B7027" w:rsidRPr="00777B93" w14:paraId="24946C4F" w14:textId="77777777" w:rsidTr="00BF0F77">
        <w:trPr>
          <w:cantSplit/>
        </w:trPr>
        <w:tc>
          <w:tcPr>
            <w:tcW w:w="2122" w:type="dxa"/>
          </w:tcPr>
          <w:p w14:paraId="66BF268F" w14:textId="77777777" w:rsidR="003B7027" w:rsidRPr="0028514E" w:rsidRDefault="00296A74" w:rsidP="003C43CF">
            <w:pPr>
              <w:pStyle w:val="TableParagraph"/>
              <w:suppressAutoHyphens/>
            </w:pPr>
            <w:r w:rsidRPr="0028514E">
              <w:t>Veri ja imukudos</w:t>
            </w:r>
          </w:p>
        </w:tc>
        <w:tc>
          <w:tcPr>
            <w:tcW w:w="1576" w:type="dxa"/>
          </w:tcPr>
          <w:p w14:paraId="4E37328F" w14:textId="77777777" w:rsidR="003B7027" w:rsidRPr="0028514E" w:rsidRDefault="003B7027" w:rsidP="003C43CF">
            <w:pPr>
              <w:pStyle w:val="TableParagraph"/>
              <w:suppressAutoHyphens/>
            </w:pPr>
          </w:p>
        </w:tc>
        <w:tc>
          <w:tcPr>
            <w:tcW w:w="2109" w:type="dxa"/>
          </w:tcPr>
          <w:p w14:paraId="369B8665" w14:textId="77777777" w:rsidR="003B7027" w:rsidRPr="0028514E" w:rsidRDefault="00296A74" w:rsidP="003C43CF">
            <w:pPr>
              <w:pStyle w:val="TableParagraph"/>
              <w:suppressAutoHyphens/>
            </w:pPr>
            <w:r w:rsidRPr="0028514E">
              <w:t>Leukopenia,</w:t>
            </w:r>
            <w:r w:rsidR="0020054B" w:rsidRPr="0028514E">
              <w:t xml:space="preserve"> </w:t>
            </w:r>
            <w:r w:rsidRPr="0028514E">
              <w:t>neutropenia, hypofibrinogenemia</w:t>
            </w:r>
          </w:p>
        </w:tc>
        <w:tc>
          <w:tcPr>
            <w:tcW w:w="1621" w:type="dxa"/>
          </w:tcPr>
          <w:p w14:paraId="077FA07E" w14:textId="77777777" w:rsidR="003B7027" w:rsidRPr="0028514E" w:rsidRDefault="003B7027" w:rsidP="003C43CF">
            <w:pPr>
              <w:pStyle w:val="TableParagraph"/>
              <w:suppressAutoHyphens/>
            </w:pPr>
          </w:p>
        </w:tc>
        <w:tc>
          <w:tcPr>
            <w:tcW w:w="1639" w:type="dxa"/>
          </w:tcPr>
          <w:p w14:paraId="463CC668" w14:textId="77777777" w:rsidR="003B7027" w:rsidRPr="0028514E" w:rsidRDefault="003B7027" w:rsidP="003C43CF">
            <w:pPr>
              <w:pStyle w:val="TableParagraph"/>
              <w:suppressAutoHyphens/>
            </w:pPr>
          </w:p>
        </w:tc>
      </w:tr>
      <w:tr w:rsidR="003B7027" w:rsidRPr="00777B93" w14:paraId="4F723524" w14:textId="77777777" w:rsidTr="00BF0F77">
        <w:trPr>
          <w:cantSplit/>
        </w:trPr>
        <w:tc>
          <w:tcPr>
            <w:tcW w:w="2122" w:type="dxa"/>
          </w:tcPr>
          <w:p w14:paraId="6D0BD515" w14:textId="77777777" w:rsidR="003B7027" w:rsidRPr="00A327CF" w:rsidRDefault="00296A74" w:rsidP="003C43CF">
            <w:pPr>
              <w:pStyle w:val="TableParagraph"/>
              <w:suppressAutoHyphens/>
            </w:pPr>
            <w:r w:rsidRPr="00A327CF">
              <w:lastRenderedPageBreak/>
              <w:t>Immuunijärjestelmä</w:t>
            </w:r>
          </w:p>
        </w:tc>
        <w:tc>
          <w:tcPr>
            <w:tcW w:w="1576" w:type="dxa"/>
          </w:tcPr>
          <w:p w14:paraId="79FA8448" w14:textId="77777777" w:rsidR="003B7027" w:rsidRPr="00A327CF" w:rsidRDefault="003B7027" w:rsidP="003C43CF">
            <w:pPr>
              <w:pStyle w:val="TableParagraph"/>
              <w:suppressAutoHyphens/>
            </w:pPr>
          </w:p>
        </w:tc>
        <w:tc>
          <w:tcPr>
            <w:tcW w:w="2109" w:type="dxa"/>
          </w:tcPr>
          <w:p w14:paraId="1AB1AF86" w14:textId="77777777" w:rsidR="003B7027" w:rsidRPr="00A327CF" w:rsidRDefault="003B7027" w:rsidP="003C43CF">
            <w:pPr>
              <w:pStyle w:val="TableParagraph"/>
              <w:suppressAutoHyphens/>
            </w:pPr>
          </w:p>
        </w:tc>
        <w:tc>
          <w:tcPr>
            <w:tcW w:w="1621" w:type="dxa"/>
          </w:tcPr>
          <w:p w14:paraId="2DA77AC7" w14:textId="77777777" w:rsidR="003B7027" w:rsidRPr="00A327CF" w:rsidRDefault="003B7027" w:rsidP="003C43CF">
            <w:pPr>
              <w:pStyle w:val="TableParagraph"/>
              <w:suppressAutoHyphens/>
            </w:pPr>
          </w:p>
        </w:tc>
        <w:tc>
          <w:tcPr>
            <w:tcW w:w="1639" w:type="dxa"/>
          </w:tcPr>
          <w:p w14:paraId="0D1DE8A2" w14:textId="77777777" w:rsidR="003B7027" w:rsidRPr="00A327CF" w:rsidRDefault="00296A74" w:rsidP="003C43CF">
            <w:pPr>
              <w:pStyle w:val="TableParagraph"/>
              <w:suppressAutoHyphens/>
            </w:pPr>
            <w:r w:rsidRPr="00A327CF">
              <w:t>Anafylaksia</w:t>
            </w:r>
            <w:r w:rsidR="0020054B" w:rsidRPr="00A327CF">
              <w:t xml:space="preserve"> </w:t>
            </w:r>
            <w:r w:rsidRPr="00A327CF">
              <w:t>(fataali)</w:t>
            </w:r>
            <w:r w:rsidRPr="00A327CF">
              <w:rPr>
                <w:vertAlign w:val="superscript"/>
              </w:rPr>
              <w:t>1,</w:t>
            </w:r>
            <w:r w:rsidRPr="00A327CF">
              <w:t xml:space="preserve"> </w:t>
            </w:r>
            <w:r w:rsidRPr="00A327CF">
              <w:rPr>
                <w:vertAlign w:val="superscript"/>
              </w:rPr>
              <w:t>2,</w:t>
            </w:r>
            <w:r w:rsidRPr="00A327CF">
              <w:t xml:space="preserve"> </w:t>
            </w:r>
            <w:r w:rsidRPr="00A327CF">
              <w:rPr>
                <w:vertAlign w:val="superscript"/>
              </w:rPr>
              <w:t>3</w:t>
            </w:r>
          </w:p>
        </w:tc>
      </w:tr>
      <w:tr w:rsidR="003B7027" w:rsidRPr="00777B93" w14:paraId="0E8BF778" w14:textId="77777777" w:rsidTr="00BF0F77">
        <w:trPr>
          <w:cantSplit/>
        </w:trPr>
        <w:tc>
          <w:tcPr>
            <w:tcW w:w="2122" w:type="dxa"/>
          </w:tcPr>
          <w:p w14:paraId="6B6D78F2" w14:textId="77777777" w:rsidR="003B7027" w:rsidRPr="00A327CF" w:rsidRDefault="00296A74" w:rsidP="003C43CF">
            <w:pPr>
              <w:pStyle w:val="TableParagraph"/>
              <w:suppressAutoHyphens/>
            </w:pPr>
            <w:r w:rsidRPr="00A327CF">
              <w:t>Umpieritys</w:t>
            </w:r>
          </w:p>
        </w:tc>
        <w:tc>
          <w:tcPr>
            <w:tcW w:w="1576" w:type="dxa"/>
          </w:tcPr>
          <w:p w14:paraId="61C5D812" w14:textId="77777777" w:rsidR="003B7027" w:rsidRPr="00A327CF" w:rsidRDefault="003B7027" w:rsidP="003C43CF">
            <w:pPr>
              <w:pStyle w:val="TableParagraph"/>
              <w:suppressAutoHyphens/>
            </w:pPr>
          </w:p>
        </w:tc>
        <w:tc>
          <w:tcPr>
            <w:tcW w:w="2109" w:type="dxa"/>
          </w:tcPr>
          <w:p w14:paraId="7DFF03A0" w14:textId="77777777" w:rsidR="003B7027" w:rsidRPr="00A327CF" w:rsidRDefault="003B7027" w:rsidP="003C43CF">
            <w:pPr>
              <w:pStyle w:val="TableParagraph"/>
              <w:suppressAutoHyphens/>
            </w:pPr>
          </w:p>
        </w:tc>
        <w:tc>
          <w:tcPr>
            <w:tcW w:w="1621" w:type="dxa"/>
          </w:tcPr>
          <w:p w14:paraId="3B3B1034" w14:textId="77777777" w:rsidR="003B7027" w:rsidRPr="00A327CF" w:rsidRDefault="00296A74" w:rsidP="003C43CF">
            <w:pPr>
              <w:pStyle w:val="TableParagraph"/>
              <w:suppressAutoHyphens/>
            </w:pPr>
            <w:r w:rsidRPr="00A327CF">
              <w:t>Kilpirauhasen</w:t>
            </w:r>
            <w:r w:rsidR="0020054B" w:rsidRPr="00A327CF">
              <w:t xml:space="preserve"> </w:t>
            </w:r>
            <w:r w:rsidRPr="00A327CF">
              <w:t>vajaatoiminta</w:t>
            </w:r>
          </w:p>
        </w:tc>
        <w:tc>
          <w:tcPr>
            <w:tcW w:w="1639" w:type="dxa"/>
          </w:tcPr>
          <w:p w14:paraId="63E97720" w14:textId="77777777" w:rsidR="003B7027" w:rsidRPr="00A327CF" w:rsidRDefault="003B7027" w:rsidP="003C43CF">
            <w:pPr>
              <w:pStyle w:val="TableParagraph"/>
              <w:suppressAutoHyphens/>
            </w:pPr>
          </w:p>
        </w:tc>
      </w:tr>
      <w:tr w:rsidR="003B7027" w:rsidRPr="00777B93" w14:paraId="4997D307" w14:textId="77777777" w:rsidTr="00BF0F77">
        <w:trPr>
          <w:cantSplit/>
        </w:trPr>
        <w:tc>
          <w:tcPr>
            <w:tcW w:w="2122" w:type="dxa"/>
          </w:tcPr>
          <w:p w14:paraId="2AA17F33" w14:textId="77777777" w:rsidR="003B7027" w:rsidRPr="00A327CF" w:rsidRDefault="00296A74" w:rsidP="003C43CF">
            <w:pPr>
              <w:pStyle w:val="TableParagraph"/>
              <w:suppressAutoHyphens/>
            </w:pPr>
            <w:r w:rsidRPr="00A327CF">
              <w:t>Aineenvaihdunta ja</w:t>
            </w:r>
            <w:r w:rsidR="0020054B" w:rsidRPr="00A327CF">
              <w:t xml:space="preserve"> </w:t>
            </w:r>
            <w:r w:rsidRPr="00A327CF">
              <w:t>ravitsemus</w:t>
            </w:r>
          </w:p>
        </w:tc>
        <w:tc>
          <w:tcPr>
            <w:tcW w:w="1576" w:type="dxa"/>
          </w:tcPr>
          <w:p w14:paraId="1099A1BF" w14:textId="77777777" w:rsidR="003B7027" w:rsidRPr="00A327CF" w:rsidRDefault="00296A74" w:rsidP="003C43CF">
            <w:pPr>
              <w:pStyle w:val="TableParagraph"/>
              <w:suppressAutoHyphens/>
            </w:pPr>
            <w:r w:rsidRPr="00A327CF">
              <w:t>Hyperkoleste-rolemia*</w:t>
            </w:r>
          </w:p>
        </w:tc>
        <w:tc>
          <w:tcPr>
            <w:tcW w:w="2109" w:type="dxa"/>
          </w:tcPr>
          <w:p w14:paraId="70DEC42C" w14:textId="77777777" w:rsidR="003B7027" w:rsidRPr="00A327CF" w:rsidRDefault="003B7027" w:rsidP="003C43CF">
            <w:pPr>
              <w:pStyle w:val="TableParagraph"/>
              <w:suppressAutoHyphens/>
            </w:pPr>
          </w:p>
        </w:tc>
        <w:tc>
          <w:tcPr>
            <w:tcW w:w="1621" w:type="dxa"/>
          </w:tcPr>
          <w:p w14:paraId="2D18B722" w14:textId="77777777" w:rsidR="003B7027" w:rsidRPr="00A327CF" w:rsidRDefault="00296A74" w:rsidP="003C43CF">
            <w:pPr>
              <w:pStyle w:val="TableParagraph"/>
              <w:suppressAutoHyphens/>
            </w:pPr>
            <w:r w:rsidRPr="00A327CF">
              <w:t>Hypertriglyse-ridemia</w:t>
            </w:r>
          </w:p>
        </w:tc>
        <w:tc>
          <w:tcPr>
            <w:tcW w:w="1639" w:type="dxa"/>
          </w:tcPr>
          <w:p w14:paraId="2836639A" w14:textId="77777777" w:rsidR="003B7027" w:rsidRPr="00A327CF" w:rsidRDefault="003B7027" w:rsidP="003C43CF">
            <w:pPr>
              <w:pStyle w:val="TableParagraph"/>
              <w:suppressAutoHyphens/>
            </w:pPr>
          </w:p>
        </w:tc>
      </w:tr>
      <w:tr w:rsidR="003B7027" w:rsidRPr="00777B93" w14:paraId="5BC2CB44" w14:textId="77777777" w:rsidTr="00BF0F77">
        <w:trPr>
          <w:cantSplit/>
        </w:trPr>
        <w:tc>
          <w:tcPr>
            <w:tcW w:w="2122" w:type="dxa"/>
          </w:tcPr>
          <w:p w14:paraId="60878357" w14:textId="77777777" w:rsidR="003B7027" w:rsidRPr="00A327CF" w:rsidRDefault="00296A74" w:rsidP="003C43CF">
            <w:pPr>
              <w:pStyle w:val="TableParagraph"/>
              <w:suppressAutoHyphens/>
            </w:pPr>
            <w:r w:rsidRPr="00A327CF">
              <w:t>Hermosto</w:t>
            </w:r>
          </w:p>
        </w:tc>
        <w:tc>
          <w:tcPr>
            <w:tcW w:w="1576" w:type="dxa"/>
          </w:tcPr>
          <w:p w14:paraId="49C68B9A" w14:textId="77777777" w:rsidR="003B7027" w:rsidRPr="00A327CF" w:rsidRDefault="003B7027" w:rsidP="003C43CF">
            <w:pPr>
              <w:pStyle w:val="TableParagraph"/>
              <w:suppressAutoHyphens/>
            </w:pPr>
          </w:p>
        </w:tc>
        <w:tc>
          <w:tcPr>
            <w:tcW w:w="2109" w:type="dxa"/>
          </w:tcPr>
          <w:p w14:paraId="60E67B78" w14:textId="77777777" w:rsidR="003B7027" w:rsidRPr="00A327CF" w:rsidRDefault="00296A74" w:rsidP="003C43CF">
            <w:pPr>
              <w:pStyle w:val="TableParagraph"/>
              <w:suppressAutoHyphens/>
            </w:pPr>
            <w:r w:rsidRPr="00A327CF">
              <w:t>Päänsärky, huimaus</w:t>
            </w:r>
          </w:p>
        </w:tc>
        <w:tc>
          <w:tcPr>
            <w:tcW w:w="1621" w:type="dxa"/>
          </w:tcPr>
          <w:p w14:paraId="051B9359" w14:textId="77777777" w:rsidR="003B7027" w:rsidRPr="00A327CF" w:rsidRDefault="003B7027" w:rsidP="003C43CF">
            <w:pPr>
              <w:pStyle w:val="TableParagraph"/>
              <w:suppressAutoHyphens/>
            </w:pPr>
          </w:p>
        </w:tc>
        <w:tc>
          <w:tcPr>
            <w:tcW w:w="1639" w:type="dxa"/>
          </w:tcPr>
          <w:p w14:paraId="0DF06E43" w14:textId="77777777" w:rsidR="003B7027" w:rsidRPr="00A327CF" w:rsidRDefault="003B7027" w:rsidP="003C43CF">
            <w:pPr>
              <w:pStyle w:val="TableParagraph"/>
              <w:suppressAutoHyphens/>
            </w:pPr>
          </w:p>
        </w:tc>
      </w:tr>
      <w:tr w:rsidR="003B7027" w:rsidRPr="00777B93" w14:paraId="47E45813" w14:textId="77777777" w:rsidTr="00BF0F77">
        <w:trPr>
          <w:cantSplit/>
        </w:trPr>
        <w:tc>
          <w:tcPr>
            <w:tcW w:w="2122" w:type="dxa"/>
          </w:tcPr>
          <w:p w14:paraId="5AFCE21E" w14:textId="77777777" w:rsidR="003B7027" w:rsidRPr="00A327CF" w:rsidRDefault="00296A74" w:rsidP="003C43CF">
            <w:pPr>
              <w:pStyle w:val="TableParagraph"/>
              <w:suppressAutoHyphens/>
            </w:pPr>
            <w:r w:rsidRPr="00A327CF">
              <w:t>Silmät</w:t>
            </w:r>
          </w:p>
        </w:tc>
        <w:tc>
          <w:tcPr>
            <w:tcW w:w="1576" w:type="dxa"/>
          </w:tcPr>
          <w:p w14:paraId="327B80C0" w14:textId="77777777" w:rsidR="003B7027" w:rsidRPr="00A327CF" w:rsidRDefault="003B7027" w:rsidP="003C43CF">
            <w:pPr>
              <w:pStyle w:val="TableParagraph"/>
              <w:suppressAutoHyphens/>
            </w:pPr>
          </w:p>
        </w:tc>
        <w:tc>
          <w:tcPr>
            <w:tcW w:w="2109" w:type="dxa"/>
          </w:tcPr>
          <w:p w14:paraId="47071626" w14:textId="77777777" w:rsidR="003B7027" w:rsidRPr="00A327CF" w:rsidRDefault="00296A74" w:rsidP="003C43CF">
            <w:pPr>
              <w:pStyle w:val="TableParagraph"/>
              <w:suppressAutoHyphens/>
            </w:pPr>
            <w:r w:rsidRPr="00A327CF">
              <w:t>Sidekalvotulehdus</w:t>
            </w:r>
          </w:p>
        </w:tc>
        <w:tc>
          <w:tcPr>
            <w:tcW w:w="1621" w:type="dxa"/>
          </w:tcPr>
          <w:p w14:paraId="75E985D2" w14:textId="77777777" w:rsidR="003B7027" w:rsidRPr="00A327CF" w:rsidRDefault="003B7027" w:rsidP="003C43CF">
            <w:pPr>
              <w:pStyle w:val="TableParagraph"/>
              <w:suppressAutoHyphens/>
            </w:pPr>
          </w:p>
        </w:tc>
        <w:tc>
          <w:tcPr>
            <w:tcW w:w="1639" w:type="dxa"/>
          </w:tcPr>
          <w:p w14:paraId="1ABFB736" w14:textId="77777777" w:rsidR="003B7027" w:rsidRPr="00A327CF" w:rsidRDefault="003B7027" w:rsidP="003C43CF">
            <w:pPr>
              <w:pStyle w:val="TableParagraph"/>
              <w:suppressAutoHyphens/>
            </w:pPr>
          </w:p>
        </w:tc>
      </w:tr>
      <w:tr w:rsidR="003B7027" w:rsidRPr="00777B93" w14:paraId="17FD85D0" w14:textId="77777777" w:rsidTr="00BF0F77">
        <w:trPr>
          <w:cantSplit/>
        </w:trPr>
        <w:tc>
          <w:tcPr>
            <w:tcW w:w="2122" w:type="dxa"/>
          </w:tcPr>
          <w:p w14:paraId="1E13B95B" w14:textId="77777777" w:rsidR="003B7027" w:rsidRPr="00A327CF" w:rsidRDefault="00296A74" w:rsidP="003C43CF">
            <w:pPr>
              <w:pStyle w:val="TableParagraph"/>
              <w:suppressAutoHyphens/>
            </w:pPr>
            <w:r w:rsidRPr="00A327CF">
              <w:t>Verisuonisto</w:t>
            </w:r>
          </w:p>
        </w:tc>
        <w:tc>
          <w:tcPr>
            <w:tcW w:w="1576" w:type="dxa"/>
          </w:tcPr>
          <w:p w14:paraId="75BA9379" w14:textId="77777777" w:rsidR="003B7027" w:rsidRPr="00A327CF" w:rsidRDefault="003B7027" w:rsidP="003C43CF">
            <w:pPr>
              <w:pStyle w:val="TableParagraph"/>
              <w:suppressAutoHyphens/>
            </w:pPr>
          </w:p>
        </w:tc>
        <w:tc>
          <w:tcPr>
            <w:tcW w:w="2109" w:type="dxa"/>
          </w:tcPr>
          <w:p w14:paraId="11B88ABC" w14:textId="77777777" w:rsidR="003B7027" w:rsidRPr="00A327CF" w:rsidRDefault="00296A74" w:rsidP="003C43CF">
            <w:pPr>
              <w:pStyle w:val="TableParagraph"/>
              <w:suppressAutoHyphens/>
            </w:pPr>
            <w:r w:rsidRPr="00A327CF">
              <w:t>Hypertensio</w:t>
            </w:r>
          </w:p>
        </w:tc>
        <w:tc>
          <w:tcPr>
            <w:tcW w:w="1621" w:type="dxa"/>
          </w:tcPr>
          <w:p w14:paraId="6FAF18D9" w14:textId="77777777" w:rsidR="003B7027" w:rsidRPr="00A327CF" w:rsidRDefault="003B7027" w:rsidP="003C43CF">
            <w:pPr>
              <w:pStyle w:val="TableParagraph"/>
              <w:suppressAutoHyphens/>
            </w:pPr>
          </w:p>
        </w:tc>
        <w:tc>
          <w:tcPr>
            <w:tcW w:w="1639" w:type="dxa"/>
          </w:tcPr>
          <w:p w14:paraId="2B5932C5" w14:textId="77777777" w:rsidR="003B7027" w:rsidRPr="00A327CF" w:rsidRDefault="003B7027" w:rsidP="003C43CF">
            <w:pPr>
              <w:pStyle w:val="TableParagraph"/>
              <w:suppressAutoHyphens/>
            </w:pPr>
          </w:p>
        </w:tc>
      </w:tr>
      <w:tr w:rsidR="003B7027" w:rsidRPr="00777B93" w14:paraId="35AA3C31" w14:textId="77777777" w:rsidTr="00BF0F77">
        <w:trPr>
          <w:cantSplit/>
        </w:trPr>
        <w:tc>
          <w:tcPr>
            <w:tcW w:w="2122" w:type="dxa"/>
          </w:tcPr>
          <w:p w14:paraId="740332A8" w14:textId="77777777" w:rsidR="003B7027" w:rsidRPr="00A327CF" w:rsidRDefault="00296A74" w:rsidP="003C43CF">
            <w:pPr>
              <w:pStyle w:val="TableParagraph"/>
              <w:suppressAutoHyphens/>
            </w:pPr>
            <w:r w:rsidRPr="00A327CF">
              <w:t>Hengityselimet, rintakehä ja</w:t>
            </w:r>
            <w:r w:rsidR="0020054B" w:rsidRPr="00A327CF">
              <w:t xml:space="preserve"> </w:t>
            </w:r>
            <w:r w:rsidRPr="00A327CF">
              <w:t>välikarsina</w:t>
            </w:r>
          </w:p>
        </w:tc>
        <w:tc>
          <w:tcPr>
            <w:tcW w:w="1576" w:type="dxa"/>
          </w:tcPr>
          <w:p w14:paraId="39BB5CC7" w14:textId="77777777" w:rsidR="003B7027" w:rsidRPr="00A327CF" w:rsidRDefault="003B7027" w:rsidP="003C43CF">
            <w:pPr>
              <w:pStyle w:val="TableParagraph"/>
              <w:suppressAutoHyphens/>
            </w:pPr>
          </w:p>
        </w:tc>
        <w:tc>
          <w:tcPr>
            <w:tcW w:w="2109" w:type="dxa"/>
          </w:tcPr>
          <w:p w14:paraId="63E320F9" w14:textId="77777777" w:rsidR="003B7027" w:rsidRPr="00A327CF" w:rsidRDefault="00296A74" w:rsidP="003C43CF">
            <w:pPr>
              <w:pStyle w:val="TableParagraph"/>
              <w:suppressAutoHyphens/>
            </w:pPr>
            <w:r w:rsidRPr="00A327CF">
              <w:t>Yskä, hengenahdistus</w:t>
            </w:r>
          </w:p>
        </w:tc>
        <w:tc>
          <w:tcPr>
            <w:tcW w:w="1621" w:type="dxa"/>
          </w:tcPr>
          <w:p w14:paraId="1B74D2C4" w14:textId="77777777" w:rsidR="003B7027" w:rsidRPr="00A327CF" w:rsidRDefault="003B7027" w:rsidP="003C43CF">
            <w:pPr>
              <w:pStyle w:val="TableParagraph"/>
              <w:suppressAutoHyphens/>
            </w:pPr>
          </w:p>
        </w:tc>
        <w:tc>
          <w:tcPr>
            <w:tcW w:w="1639" w:type="dxa"/>
          </w:tcPr>
          <w:p w14:paraId="6BC668AA" w14:textId="77777777" w:rsidR="003B7027" w:rsidRPr="00A327CF" w:rsidRDefault="003B7027" w:rsidP="003C43CF">
            <w:pPr>
              <w:pStyle w:val="TableParagraph"/>
              <w:suppressAutoHyphens/>
            </w:pPr>
          </w:p>
        </w:tc>
      </w:tr>
      <w:tr w:rsidR="003B7027" w:rsidRPr="00777B93" w14:paraId="17681331" w14:textId="77777777" w:rsidTr="00BF0F77">
        <w:trPr>
          <w:cantSplit/>
        </w:trPr>
        <w:tc>
          <w:tcPr>
            <w:tcW w:w="2122" w:type="dxa"/>
          </w:tcPr>
          <w:p w14:paraId="5ED3F625" w14:textId="77777777" w:rsidR="003B7027" w:rsidRPr="00A327CF" w:rsidRDefault="00296A74" w:rsidP="003C43CF">
            <w:pPr>
              <w:pStyle w:val="TableParagraph"/>
              <w:suppressAutoHyphens/>
            </w:pPr>
            <w:r w:rsidRPr="00A327CF">
              <w:t>Ruoansulatuselimistö</w:t>
            </w:r>
          </w:p>
        </w:tc>
        <w:tc>
          <w:tcPr>
            <w:tcW w:w="1576" w:type="dxa"/>
          </w:tcPr>
          <w:p w14:paraId="0496DB30" w14:textId="77777777" w:rsidR="003B7027" w:rsidRPr="00A327CF" w:rsidRDefault="003B7027" w:rsidP="003C43CF">
            <w:pPr>
              <w:pStyle w:val="TableParagraph"/>
              <w:suppressAutoHyphens/>
            </w:pPr>
          </w:p>
        </w:tc>
        <w:tc>
          <w:tcPr>
            <w:tcW w:w="2109" w:type="dxa"/>
          </w:tcPr>
          <w:p w14:paraId="2A636993" w14:textId="77777777" w:rsidR="003B7027" w:rsidRPr="00A327CF" w:rsidRDefault="00296A74" w:rsidP="003C43CF">
            <w:pPr>
              <w:pStyle w:val="TableParagraph"/>
              <w:suppressAutoHyphens/>
            </w:pPr>
            <w:r w:rsidRPr="00A327CF">
              <w:t>Vatsakipu, suun</w:t>
            </w:r>
            <w:r w:rsidR="0020054B" w:rsidRPr="00A327CF">
              <w:t xml:space="preserve"> </w:t>
            </w:r>
            <w:r w:rsidRPr="00A327CF">
              <w:t>haavaumat, gastriitti</w:t>
            </w:r>
          </w:p>
        </w:tc>
        <w:tc>
          <w:tcPr>
            <w:tcW w:w="1621" w:type="dxa"/>
          </w:tcPr>
          <w:p w14:paraId="42D5FB87" w14:textId="77777777" w:rsidR="003B7027" w:rsidRPr="00A327CF" w:rsidRDefault="00296A74" w:rsidP="003C43CF">
            <w:pPr>
              <w:pStyle w:val="TableParagraph"/>
              <w:suppressAutoHyphens/>
            </w:pPr>
            <w:r w:rsidRPr="00A327CF">
              <w:t>Suutulehdus,</w:t>
            </w:r>
            <w:r w:rsidR="0020054B" w:rsidRPr="00A327CF">
              <w:t xml:space="preserve"> </w:t>
            </w:r>
            <w:r w:rsidRPr="00A327CF">
              <w:t>mahahaava</w:t>
            </w:r>
          </w:p>
        </w:tc>
        <w:tc>
          <w:tcPr>
            <w:tcW w:w="1639" w:type="dxa"/>
          </w:tcPr>
          <w:p w14:paraId="261F3CB1" w14:textId="77777777" w:rsidR="003B7027" w:rsidRPr="00A327CF" w:rsidRDefault="003B7027" w:rsidP="003C43CF">
            <w:pPr>
              <w:pStyle w:val="TableParagraph"/>
              <w:suppressAutoHyphens/>
            </w:pPr>
          </w:p>
        </w:tc>
      </w:tr>
      <w:tr w:rsidR="003B7027" w:rsidRPr="00777B93" w14:paraId="1D986425" w14:textId="77777777" w:rsidTr="00BF0F77">
        <w:trPr>
          <w:cantSplit/>
        </w:trPr>
        <w:tc>
          <w:tcPr>
            <w:tcW w:w="2122" w:type="dxa"/>
          </w:tcPr>
          <w:p w14:paraId="0EB4FDD2" w14:textId="77777777" w:rsidR="003B7027" w:rsidRPr="00A327CF" w:rsidRDefault="00296A74" w:rsidP="003C43CF">
            <w:pPr>
              <w:pStyle w:val="TableParagraph"/>
              <w:suppressAutoHyphens/>
            </w:pPr>
            <w:r w:rsidRPr="00A327CF">
              <w:t>Maksa ja sappi</w:t>
            </w:r>
          </w:p>
        </w:tc>
        <w:tc>
          <w:tcPr>
            <w:tcW w:w="1576" w:type="dxa"/>
          </w:tcPr>
          <w:p w14:paraId="507A0B8C" w14:textId="77777777" w:rsidR="003B7027" w:rsidRPr="00A327CF" w:rsidRDefault="003B7027" w:rsidP="003C43CF">
            <w:pPr>
              <w:pStyle w:val="TableParagraph"/>
              <w:suppressAutoHyphens/>
            </w:pPr>
          </w:p>
        </w:tc>
        <w:tc>
          <w:tcPr>
            <w:tcW w:w="2109" w:type="dxa"/>
          </w:tcPr>
          <w:p w14:paraId="7519E4C7" w14:textId="77777777" w:rsidR="003B7027" w:rsidRPr="00A327CF" w:rsidRDefault="003B7027" w:rsidP="003C43CF">
            <w:pPr>
              <w:pStyle w:val="TableParagraph"/>
              <w:suppressAutoHyphens/>
            </w:pPr>
          </w:p>
        </w:tc>
        <w:tc>
          <w:tcPr>
            <w:tcW w:w="1621" w:type="dxa"/>
          </w:tcPr>
          <w:p w14:paraId="7D6AAE36" w14:textId="77777777" w:rsidR="003B7027" w:rsidRPr="00A327CF" w:rsidRDefault="003B7027" w:rsidP="003C43CF">
            <w:pPr>
              <w:pStyle w:val="TableParagraph"/>
              <w:suppressAutoHyphens/>
            </w:pPr>
          </w:p>
        </w:tc>
        <w:tc>
          <w:tcPr>
            <w:tcW w:w="1639" w:type="dxa"/>
          </w:tcPr>
          <w:p w14:paraId="00AA3AA4" w14:textId="77777777" w:rsidR="003B7027" w:rsidRPr="00A327CF" w:rsidRDefault="00296A74" w:rsidP="003C43CF">
            <w:pPr>
              <w:pStyle w:val="TableParagraph"/>
              <w:suppressAutoHyphens/>
            </w:pPr>
            <w:r w:rsidRPr="00A327CF">
              <w:t>Lääkkeestä aiheutunut maksavaurio, hepatiitti ja ikterus. Hyvin harvinainen: maksan</w:t>
            </w:r>
            <w:r w:rsidR="0020054B" w:rsidRPr="00A327CF">
              <w:t xml:space="preserve"> </w:t>
            </w:r>
            <w:r w:rsidRPr="00A327CF">
              <w:t>vajaatoiminta</w:t>
            </w:r>
          </w:p>
        </w:tc>
      </w:tr>
      <w:tr w:rsidR="003B7027" w:rsidRPr="00777B93" w14:paraId="2AB7CCEC" w14:textId="77777777" w:rsidTr="00BF0F77">
        <w:trPr>
          <w:cantSplit/>
        </w:trPr>
        <w:tc>
          <w:tcPr>
            <w:tcW w:w="2122" w:type="dxa"/>
          </w:tcPr>
          <w:p w14:paraId="7A46AC9E" w14:textId="77777777" w:rsidR="003B7027" w:rsidRPr="00A327CF" w:rsidRDefault="00296A74" w:rsidP="003C43CF">
            <w:pPr>
              <w:pStyle w:val="TableParagraph"/>
              <w:suppressAutoHyphens/>
            </w:pPr>
            <w:r w:rsidRPr="00A327CF">
              <w:t>Iho ja ihonalainen</w:t>
            </w:r>
            <w:r w:rsidR="0020054B" w:rsidRPr="00A327CF">
              <w:t xml:space="preserve"> </w:t>
            </w:r>
            <w:r w:rsidRPr="00A327CF">
              <w:t>kudos</w:t>
            </w:r>
          </w:p>
        </w:tc>
        <w:tc>
          <w:tcPr>
            <w:tcW w:w="1576" w:type="dxa"/>
          </w:tcPr>
          <w:p w14:paraId="04591231" w14:textId="77777777" w:rsidR="003B7027" w:rsidRPr="00A327CF" w:rsidRDefault="003B7027" w:rsidP="003C43CF">
            <w:pPr>
              <w:pStyle w:val="TableParagraph"/>
              <w:suppressAutoHyphens/>
            </w:pPr>
          </w:p>
        </w:tc>
        <w:tc>
          <w:tcPr>
            <w:tcW w:w="2109" w:type="dxa"/>
          </w:tcPr>
          <w:p w14:paraId="681B8324" w14:textId="77777777" w:rsidR="003B7027" w:rsidRPr="00A327CF" w:rsidRDefault="00296A74" w:rsidP="003C43CF">
            <w:pPr>
              <w:pStyle w:val="TableParagraph"/>
              <w:suppressAutoHyphens/>
            </w:pPr>
            <w:r w:rsidRPr="00A327CF">
              <w:t>Ihottuma, kutina,</w:t>
            </w:r>
            <w:r w:rsidR="0020054B" w:rsidRPr="00A327CF">
              <w:t xml:space="preserve"> </w:t>
            </w:r>
            <w:r w:rsidRPr="00A327CF">
              <w:t>nokkosihottuma</w:t>
            </w:r>
          </w:p>
        </w:tc>
        <w:tc>
          <w:tcPr>
            <w:tcW w:w="1621" w:type="dxa"/>
          </w:tcPr>
          <w:p w14:paraId="0282F5C4" w14:textId="77777777" w:rsidR="003B7027" w:rsidRPr="00A327CF" w:rsidRDefault="003B7027" w:rsidP="003C43CF">
            <w:pPr>
              <w:pStyle w:val="TableParagraph"/>
              <w:suppressAutoHyphens/>
            </w:pPr>
          </w:p>
        </w:tc>
        <w:tc>
          <w:tcPr>
            <w:tcW w:w="1639" w:type="dxa"/>
          </w:tcPr>
          <w:p w14:paraId="751B1314" w14:textId="77777777" w:rsidR="003B7027" w:rsidRPr="00A327CF" w:rsidRDefault="00296A74" w:rsidP="003C43CF">
            <w:pPr>
              <w:pStyle w:val="TableParagraph"/>
              <w:suppressAutoHyphens/>
            </w:pPr>
            <w:r w:rsidRPr="00A327CF">
              <w:rPr>
                <w:color w:val="1C1C1C"/>
              </w:rPr>
              <w:t>Stevens-Johnsonin</w:t>
            </w:r>
            <w:r w:rsidR="0020054B" w:rsidRPr="00A327CF">
              <w:rPr>
                <w:color w:val="1C1C1C"/>
              </w:rPr>
              <w:t xml:space="preserve"> </w:t>
            </w:r>
            <w:r w:rsidRPr="00A327CF">
              <w:rPr>
                <w:color w:val="1C1C1C"/>
              </w:rPr>
              <w:t>oireyhtymä</w:t>
            </w:r>
            <w:r w:rsidRPr="00A327CF">
              <w:rPr>
                <w:color w:val="1C1C1C"/>
                <w:vertAlign w:val="superscript"/>
              </w:rPr>
              <w:t>3</w:t>
            </w:r>
          </w:p>
        </w:tc>
      </w:tr>
      <w:tr w:rsidR="003B7027" w:rsidRPr="00777B93" w14:paraId="47C6948E" w14:textId="77777777" w:rsidTr="00BF0F77">
        <w:trPr>
          <w:cantSplit/>
        </w:trPr>
        <w:tc>
          <w:tcPr>
            <w:tcW w:w="2122" w:type="dxa"/>
          </w:tcPr>
          <w:p w14:paraId="683D3E71" w14:textId="77777777" w:rsidR="003B7027" w:rsidRPr="00A327CF" w:rsidRDefault="00296A74" w:rsidP="003C43CF">
            <w:pPr>
              <w:pStyle w:val="TableParagraph"/>
              <w:suppressAutoHyphens/>
            </w:pPr>
            <w:r w:rsidRPr="00A327CF">
              <w:t>Munuaiset ja virtsatiet</w:t>
            </w:r>
          </w:p>
        </w:tc>
        <w:tc>
          <w:tcPr>
            <w:tcW w:w="1576" w:type="dxa"/>
          </w:tcPr>
          <w:p w14:paraId="1091648C" w14:textId="77777777" w:rsidR="003B7027" w:rsidRPr="00A327CF" w:rsidRDefault="003B7027" w:rsidP="003C43CF">
            <w:pPr>
              <w:pStyle w:val="TableParagraph"/>
              <w:suppressAutoHyphens/>
            </w:pPr>
          </w:p>
        </w:tc>
        <w:tc>
          <w:tcPr>
            <w:tcW w:w="2109" w:type="dxa"/>
          </w:tcPr>
          <w:p w14:paraId="34CB0D20" w14:textId="77777777" w:rsidR="003B7027" w:rsidRPr="00A327CF" w:rsidRDefault="003B7027" w:rsidP="003C43CF">
            <w:pPr>
              <w:pStyle w:val="TableParagraph"/>
              <w:suppressAutoHyphens/>
            </w:pPr>
          </w:p>
        </w:tc>
        <w:tc>
          <w:tcPr>
            <w:tcW w:w="1621" w:type="dxa"/>
          </w:tcPr>
          <w:p w14:paraId="6CC35C4A" w14:textId="77777777" w:rsidR="003B7027" w:rsidRPr="00A327CF" w:rsidRDefault="00296A74" w:rsidP="003C43CF">
            <w:pPr>
              <w:pStyle w:val="TableParagraph"/>
              <w:suppressAutoHyphens/>
            </w:pPr>
            <w:r w:rsidRPr="00A327CF">
              <w:t>Munuaiskivitauti</w:t>
            </w:r>
          </w:p>
        </w:tc>
        <w:tc>
          <w:tcPr>
            <w:tcW w:w="1639" w:type="dxa"/>
          </w:tcPr>
          <w:p w14:paraId="1DB870A8" w14:textId="77777777" w:rsidR="003B7027" w:rsidRPr="00A327CF" w:rsidRDefault="003B7027" w:rsidP="003C43CF">
            <w:pPr>
              <w:pStyle w:val="TableParagraph"/>
              <w:suppressAutoHyphens/>
            </w:pPr>
          </w:p>
        </w:tc>
      </w:tr>
      <w:tr w:rsidR="003B7027" w:rsidRPr="00777B93" w14:paraId="258B4D49" w14:textId="77777777" w:rsidTr="00BF0F77">
        <w:trPr>
          <w:cantSplit/>
        </w:trPr>
        <w:tc>
          <w:tcPr>
            <w:tcW w:w="2122" w:type="dxa"/>
          </w:tcPr>
          <w:p w14:paraId="283DD5EB" w14:textId="77777777" w:rsidR="003B7027" w:rsidRPr="00A327CF" w:rsidRDefault="00296A74" w:rsidP="003C43CF">
            <w:pPr>
              <w:pStyle w:val="TableParagraph"/>
              <w:suppressAutoHyphens/>
            </w:pPr>
            <w:r w:rsidRPr="00A327CF">
              <w:t>Yleisoireet ja antopaikassa todettavat haitat</w:t>
            </w:r>
          </w:p>
        </w:tc>
        <w:tc>
          <w:tcPr>
            <w:tcW w:w="1576" w:type="dxa"/>
          </w:tcPr>
          <w:p w14:paraId="6744530A" w14:textId="77777777" w:rsidR="003B7027" w:rsidRPr="00A327CF" w:rsidRDefault="003B7027" w:rsidP="003C43CF">
            <w:pPr>
              <w:pStyle w:val="TableParagraph"/>
              <w:suppressAutoHyphens/>
            </w:pPr>
          </w:p>
        </w:tc>
        <w:tc>
          <w:tcPr>
            <w:tcW w:w="2109" w:type="dxa"/>
          </w:tcPr>
          <w:p w14:paraId="43328917" w14:textId="77777777" w:rsidR="003B7027" w:rsidRPr="00A327CF" w:rsidRDefault="00296A74" w:rsidP="003C43CF">
            <w:pPr>
              <w:pStyle w:val="TableParagraph"/>
              <w:suppressAutoHyphens/>
            </w:pPr>
            <w:r w:rsidRPr="00A327CF">
              <w:t>Perifeerinen ödeema, yliherkkyysreaktiot</w:t>
            </w:r>
          </w:p>
        </w:tc>
        <w:tc>
          <w:tcPr>
            <w:tcW w:w="1621" w:type="dxa"/>
          </w:tcPr>
          <w:p w14:paraId="04C204C3" w14:textId="77777777" w:rsidR="003B7027" w:rsidRPr="00A327CF" w:rsidRDefault="003B7027" w:rsidP="003C43CF">
            <w:pPr>
              <w:pStyle w:val="TableParagraph"/>
              <w:suppressAutoHyphens/>
            </w:pPr>
          </w:p>
        </w:tc>
        <w:tc>
          <w:tcPr>
            <w:tcW w:w="1639" w:type="dxa"/>
          </w:tcPr>
          <w:p w14:paraId="223D524E" w14:textId="77777777" w:rsidR="003B7027" w:rsidRPr="00A327CF" w:rsidRDefault="003B7027" w:rsidP="003C43CF">
            <w:pPr>
              <w:pStyle w:val="TableParagraph"/>
              <w:suppressAutoHyphens/>
            </w:pPr>
          </w:p>
        </w:tc>
      </w:tr>
      <w:tr w:rsidR="003B7027" w:rsidRPr="00ED6BAC" w14:paraId="6A0B12A1" w14:textId="77777777" w:rsidTr="00BF0F77">
        <w:trPr>
          <w:cantSplit/>
        </w:trPr>
        <w:tc>
          <w:tcPr>
            <w:tcW w:w="2122" w:type="dxa"/>
          </w:tcPr>
          <w:p w14:paraId="6C209FEA" w14:textId="77777777" w:rsidR="003B7027" w:rsidRPr="00A327CF" w:rsidRDefault="00296A74" w:rsidP="003C43CF">
            <w:pPr>
              <w:pStyle w:val="TableParagraph"/>
              <w:suppressAutoHyphens/>
            </w:pPr>
            <w:r w:rsidRPr="00A327CF">
              <w:t>Tutkimukset</w:t>
            </w:r>
          </w:p>
        </w:tc>
        <w:tc>
          <w:tcPr>
            <w:tcW w:w="1576" w:type="dxa"/>
          </w:tcPr>
          <w:p w14:paraId="3AA3CF44" w14:textId="77777777" w:rsidR="003B7027" w:rsidRPr="00A327CF" w:rsidRDefault="003B7027" w:rsidP="003C43CF">
            <w:pPr>
              <w:pStyle w:val="TableParagraph"/>
              <w:suppressAutoHyphens/>
            </w:pPr>
          </w:p>
        </w:tc>
        <w:tc>
          <w:tcPr>
            <w:tcW w:w="2109" w:type="dxa"/>
          </w:tcPr>
          <w:p w14:paraId="395335E6" w14:textId="77777777" w:rsidR="003B7027" w:rsidRPr="00A327CF" w:rsidRDefault="00296A74" w:rsidP="003C43CF">
            <w:pPr>
              <w:pStyle w:val="TableParagraph"/>
              <w:suppressAutoHyphens/>
            </w:pPr>
            <w:r w:rsidRPr="00A327CF">
              <w:t>Maksan aminotransferaasi- arvojen nousu, painon nousu, kokonaisbilirubiini-arvon nousu*</w:t>
            </w:r>
          </w:p>
        </w:tc>
        <w:tc>
          <w:tcPr>
            <w:tcW w:w="1621" w:type="dxa"/>
          </w:tcPr>
          <w:p w14:paraId="48479C5C" w14:textId="77777777" w:rsidR="003B7027" w:rsidRPr="00A327CF" w:rsidRDefault="003B7027" w:rsidP="003C43CF">
            <w:pPr>
              <w:pStyle w:val="TableParagraph"/>
              <w:suppressAutoHyphens/>
            </w:pPr>
          </w:p>
        </w:tc>
        <w:tc>
          <w:tcPr>
            <w:tcW w:w="1639" w:type="dxa"/>
          </w:tcPr>
          <w:p w14:paraId="7E464D29" w14:textId="77777777" w:rsidR="003B7027" w:rsidRPr="00A327CF" w:rsidRDefault="003B7027" w:rsidP="003C43CF">
            <w:pPr>
              <w:pStyle w:val="TableParagraph"/>
              <w:suppressAutoHyphens/>
            </w:pPr>
          </w:p>
        </w:tc>
      </w:tr>
    </w:tbl>
    <w:p w14:paraId="45D6AAB1" w14:textId="77777777" w:rsidR="003B7027" w:rsidRPr="00CA43F5" w:rsidRDefault="00296A74" w:rsidP="0088774B">
      <w:pPr>
        <w:ind w:left="426" w:hanging="426"/>
        <w:rPr>
          <w:sz w:val="18"/>
          <w:szCs w:val="18"/>
          <w:lang w:val="fi-FI"/>
        </w:rPr>
      </w:pPr>
      <w:r w:rsidRPr="00CA43F5">
        <w:rPr>
          <w:sz w:val="18"/>
          <w:szCs w:val="18"/>
          <w:lang w:val="fi-FI"/>
        </w:rPr>
        <w:t>*Sisältää tavanomaisessa laboratorioseurannassa kerätyt kohonneet arvot (ks. alempana oleva teksti)</w:t>
      </w:r>
    </w:p>
    <w:p w14:paraId="575F19F9" w14:textId="77777777" w:rsidR="003B7027" w:rsidRPr="00CA43F5" w:rsidRDefault="00296A74" w:rsidP="0088774B">
      <w:pPr>
        <w:ind w:left="284" w:hanging="284"/>
        <w:rPr>
          <w:sz w:val="18"/>
          <w:szCs w:val="18"/>
          <w:lang w:val="fi-FI"/>
        </w:rPr>
      </w:pPr>
      <w:r w:rsidRPr="00CA43F5">
        <w:rPr>
          <w:sz w:val="18"/>
          <w:szCs w:val="18"/>
          <w:vertAlign w:val="superscript"/>
          <w:lang w:val="fi-FI"/>
        </w:rPr>
        <w:t>1</w:t>
      </w:r>
      <w:r w:rsidR="0020054B" w:rsidRPr="00CA43F5">
        <w:rPr>
          <w:sz w:val="18"/>
          <w:szCs w:val="18"/>
          <w:lang w:val="fi-FI"/>
        </w:rPr>
        <w:tab/>
      </w:r>
      <w:r w:rsidRPr="00CA43F5">
        <w:rPr>
          <w:sz w:val="18"/>
          <w:szCs w:val="18"/>
          <w:lang w:val="fi-FI"/>
        </w:rPr>
        <w:t>Katso kohta 4.3</w:t>
      </w:r>
    </w:p>
    <w:p w14:paraId="76743ED8" w14:textId="77777777" w:rsidR="003B7027" w:rsidRPr="00CA43F5" w:rsidRDefault="00296A74" w:rsidP="0088774B">
      <w:pPr>
        <w:ind w:left="284" w:hanging="284"/>
        <w:rPr>
          <w:sz w:val="18"/>
          <w:szCs w:val="18"/>
          <w:lang w:val="fi-FI"/>
        </w:rPr>
      </w:pPr>
      <w:r w:rsidRPr="00CA43F5">
        <w:rPr>
          <w:sz w:val="18"/>
          <w:szCs w:val="18"/>
          <w:vertAlign w:val="superscript"/>
          <w:lang w:val="fi-FI"/>
        </w:rPr>
        <w:t>2</w:t>
      </w:r>
      <w:r w:rsidR="0020054B" w:rsidRPr="00CA43F5">
        <w:rPr>
          <w:sz w:val="18"/>
          <w:szCs w:val="18"/>
          <w:lang w:val="fi-FI"/>
        </w:rPr>
        <w:tab/>
      </w:r>
      <w:r w:rsidRPr="00CA43F5">
        <w:rPr>
          <w:sz w:val="18"/>
          <w:szCs w:val="18"/>
          <w:lang w:val="fi-FI"/>
        </w:rPr>
        <w:t>Katso kohta 4.4</w:t>
      </w:r>
    </w:p>
    <w:p w14:paraId="649BD90E" w14:textId="77777777" w:rsidR="003B7027" w:rsidRPr="00CA43F5" w:rsidRDefault="00296A74" w:rsidP="0088774B">
      <w:pPr>
        <w:ind w:left="284" w:hanging="284"/>
        <w:rPr>
          <w:sz w:val="18"/>
          <w:szCs w:val="18"/>
          <w:lang w:val="fi-FI"/>
        </w:rPr>
      </w:pPr>
      <w:r w:rsidRPr="00CA43F5">
        <w:rPr>
          <w:sz w:val="18"/>
          <w:szCs w:val="18"/>
          <w:vertAlign w:val="superscript"/>
          <w:lang w:val="fi-FI"/>
        </w:rPr>
        <w:t>3</w:t>
      </w:r>
      <w:r w:rsidR="0020054B" w:rsidRPr="00CA43F5">
        <w:rPr>
          <w:sz w:val="18"/>
          <w:szCs w:val="18"/>
          <w:lang w:val="fi-FI"/>
        </w:rPr>
        <w:tab/>
      </w:r>
      <w:r w:rsidRPr="00CA43F5">
        <w:rPr>
          <w:sz w:val="18"/>
          <w:szCs w:val="18"/>
          <w:lang w:val="fi-FI"/>
        </w:rPr>
        <w:t>Tämä haittavaikutus havaittiin markkinoille tulon jälkeen, mutta sitä ei ole raportoitu kontrolloiduissa kliinisissä tutkimuksissa. Yleisyysluokka arvioitiin käyttämällä 95 prosentin luottamusvälin ylärajaa ja se perustuu kliinisissä tutkimuksissa tosilitsumabille altistuneiden potilaiden kokonaismäärään.</w:t>
      </w:r>
    </w:p>
    <w:p w14:paraId="49E2E034" w14:textId="77777777" w:rsidR="0020054B" w:rsidRPr="00CA43F5" w:rsidRDefault="0020054B" w:rsidP="006E5F9A">
      <w:pPr>
        <w:rPr>
          <w:i/>
          <w:lang w:val="fi-FI"/>
        </w:rPr>
      </w:pPr>
    </w:p>
    <w:p w14:paraId="1FBFF6DF" w14:textId="77777777" w:rsidR="003B7027" w:rsidRPr="00CA43F5" w:rsidRDefault="00296A74" w:rsidP="006E5F9A">
      <w:pPr>
        <w:rPr>
          <w:i/>
          <w:lang w:val="fi-FI"/>
        </w:rPr>
      </w:pPr>
      <w:r w:rsidRPr="00CA43F5">
        <w:rPr>
          <w:i/>
          <w:lang w:val="fi-FI"/>
        </w:rPr>
        <w:t>Infektiot</w:t>
      </w:r>
    </w:p>
    <w:p w14:paraId="226E8388" w14:textId="67F22DA3" w:rsidR="003B7027" w:rsidRPr="0028514E" w:rsidRDefault="00296A74" w:rsidP="006E5F9A">
      <w:pPr>
        <w:pStyle w:val="a4"/>
        <w:ind w:left="0"/>
      </w:pPr>
      <w:r w:rsidRPr="0028514E">
        <w:t>Kuusi kuukautta kestäneissä vertailututkimuksissa infektioiden esiintyvyys oli 127 tapahtumaa 100 potilasvuotta kohti potilailla, jotka saivat 8 mg/kg tosilitsumabia yhdessä DMARDien kanssa, ja 112 tapahtumaa 100 potilasvuotta kohti potilailla, jotka saivat lumevalmistetta ja DMARDeja.</w:t>
      </w:r>
      <w:r w:rsidR="0020054B" w:rsidRPr="0028514E">
        <w:t xml:space="preserve"> </w:t>
      </w:r>
      <w:r w:rsidRPr="0028514E">
        <w:t xml:space="preserve">Populaatiossa, jossa altistuminen </w:t>
      </w:r>
      <w:r w:rsidR="00E70835">
        <w:t>tosilitsumabille</w:t>
      </w:r>
      <w:r w:rsidR="00E70835" w:rsidRPr="0028514E">
        <w:t xml:space="preserve"> </w:t>
      </w:r>
      <w:r w:rsidRPr="0028514E">
        <w:t>oli pitkäaikaista, infektioiden kokonaisesiintyvyys oli 108 tapahtumaa 100 potilasvuotta kohti.</w:t>
      </w:r>
    </w:p>
    <w:p w14:paraId="04B8CCEE" w14:textId="77777777" w:rsidR="0020054B" w:rsidRPr="0028514E" w:rsidRDefault="0020054B" w:rsidP="006E5F9A">
      <w:pPr>
        <w:pStyle w:val="a4"/>
        <w:ind w:left="0"/>
      </w:pPr>
    </w:p>
    <w:p w14:paraId="409A75BE" w14:textId="77777777" w:rsidR="003B7027" w:rsidRPr="0028514E" w:rsidRDefault="00296A74" w:rsidP="006E5F9A">
      <w:pPr>
        <w:pStyle w:val="a4"/>
        <w:ind w:left="0"/>
      </w:pPr>
      <w:r w:rsidRPr="0028514E">
        <w:t xml:space="preserve">Kuusi kuukautta kestäneissä kliinisissä vertailututkimuksissa vakavien infektioiden esiintyvyys oli 5,3 tapahtumaa 100 potilasvuotta kohti potilailla, jotka saivat 8 mg/kg tosilitsumabia yhdessä DMARDien </w:t>
      </w:r>
      <w:r w:rsidRPr="0028514E">
        <w:lastRenderedPageBreak/>
        <w:t>kanssa ja 3,9 tapahtumaa 100 potilasvuotta kohti potilailla, jotka saivat lumevalmistetta ja DMARDeja. Monoterapiatutkimuksessa vakavien infektioiden esiintyvyys oli 3,6 tapahtumaa</w:t>
      </w:r>
      <w:r w:rsidR="0020054B" w:rsidRPr="0028514E">
        <w:t xml:space="preserve"> </w:t>
      </w:r>
      <w:r w:rsidRPr="0028514E">
        <w:t>100 potilasvuotta kohti tosilitsumabiryhmässä ja 1,5 tapahtumaa 100 potilasvuotta kohti MTX- ryhmässä.</w:t>
      </w:r>
    </w:p>
    <w:p w14:paraId="00A3C51B" w14:textId="77777777" w:rsidR="0020054B" w:rsidRPr="0028514E" w:rsidRDefault="0020054B" w:rsidP="006E5F9A">
      <w:pPr>
        <w:pStyle w:val="a4"/>
        <w:ind w:left="0"/>
      </w:pPr>
    </w:p>
    <w:p w14:paraId="25CD5070" w14:textId="77777777" w:rsidR="003B7027" w:rsidRPr="0028514E" w:rsidRDefault="00296A74" w:rsidP="006E5F9A">
      <w:pPr>
        <w:pStyle w:val="a4"/>
        <w:ind w:left="0"/>
      </w:pPr>
      <w:r w:rsidRPr="0028514E">
        <w:t xml:space="preserve">Populaatiossa, jossa altistuminen oli pitkäaikaista, vakavien infektioiden (bakteeri-, virus- tai sieni- infektio) kokonaisesiintyvyys oli 4,7 tapahtumaa 100 potilasvuotta kohti. Raportoituja vakavia infektioita, joista jotkut johtivat kuolemaan, olivat aktiivinen tuberkuloosi (intra- tai ekstrapulmonaarinen), invasiiviset keuhkoinfektiot, joihin kuuluvat kandidiaasi, aspergilloosi, koksidioidomykoosi ja </w:t>
      </w:r>
      <w:r w:rsidRPr="0028514E">
        <w:rPr>
          <w:i/>
        </w:rPr>
        <w:t xml:space="preserve">pneumocystis jirovecii </w:t>
      </w:r>
      <w:r w:rsidRPr="0028514E">
        <w:t>-infektio, keuhkokuume, selluliitti, vyöruusu, gastroenteriitti, divertikuliitti, sepsis ja bakteeriartriitti. Opportunistisia infektioita on raportoitu.</w:t>
      </w:r>
    </w:p>
    <w:p w14:paraId="509391EF" w14:textId="77777777" w:rsidR="003B7027" w:rsidRPr="0028514E" w:rsidRDefault="003B7027" w:rsidP="006E5F9A">
      <w:pPr>
        <w:pStyle w:val="a4"/>
        <w:ind w:left="0"/>
      </w:pPr>
    </w:p>
    <w:p w14:paraId="48525A79" w14:textId="77777777" w:rsidR="003B7027" w:rsidRPr="00CA43F5" w:rsidRDefault="00296A74" w:rsidP="003C43CF">
      <w:pPr>
        <w:rPr>
          <w:i/>
          <w:lang w:val="fi-FI"/>
        </w:rPr>
      </w:pPr>
      <w:r w:rsidRPr="00CA43F5">
        <w:rPr>
          <w:i/>
          <w:lang w:val="fi-FI"/>
        </w:rPr>
        <w:t>Interstitiaalinen keuhkosairaus</w:t>
      </w:r>
    </w:p>
    <w:p w14:paraId="1A65B19F" w14:textId="77777777" w:rsidR="003B7027" w:rsidRPr="0028514E" w:rsidRDefault="00296A74" w:rsidP="003C43CF">
      <w:pPr>
        <w:pStyle w:val="a4"/>
        <w:ind w:left="0"/>
      </w:pPr>
      <w:r w:rsidRPr="0028514E">
        <w:t>Keuhkojen heikentynyt toimintakyky voi lisätä infektioriskiä. Interstitiaalista keuhkosairautta on raportoitu markkinoille tulon jälkeen (mukaan lukien keuhkotulehdus ja keuhkofibroosi). Näistä tapauksista muutama on ollut kuolemaan johtava.</w:t>
      </w:r>
    </w:p>
    <w:p w14:paraId="4A5BD62F" w14:textId="77777777" w:rsidR="003B7027" w:rsidRPr="0028514E" w:rsidRDefault="003B7027" w:rsidP="006E5F9A">
      <w:pPr>
        <w:pStyle w:val="a4"/>
        <w:ind w:left="0"/>
      </w:pPr>
    </w:p>
    <w:p w14:paraId="4034B678" w14:textId="77777777" w:rsidR="003B7027" w:rsidRPr="00CA43F5" w:rsidRDefault="00296A74" w:rsidP="006E5F9A">
      <w:pPr>
        <w:rPr>
          <w:i/>
          <w:lang w:val="fi-FI"/>
        </w:rPr>
      </w:pPr>
      <w:r w:rsidRPr="00CA43F5">
        <w:rPr>
          <w:i/>
          <w:lang w:val="fi-FI"/>
        </w:rPr>
        <w:t>Ruoansulatuskanavan perforaatiot</w:t>
      </w:r>
    </w:p>
    <w:p w14:paraId="4148FAED" w14:textId="77777777" w:rsidR="003B7027" w:rsidRPr="0028514E" w:rsidRDefault="00296A74" w:rsidP="006E5F9A">
      <w:pPr>
        <w:pStyle w:val="a4"/>
        <w:ind w:left="0"/>
      </w:pPr>
      <w:r w:rsidRPr="0028514E">
        <w:t>Kuusi kuukautta kestäneissä kontrolloiduissa kliinisissä tutkimuksissa ruoansulatuskanavan perforaatioiden kokonaisesiintyvyys tosilitsumabihoidon aikana oli 0,26 tapahtumaa 100 potilasvuotta kohti. Populaatiossa, jossa altistuminen oli pitkäaikaista, kokonaisesiintyvyys oli 0,28 tapahtumaa 100 potilasvuotta kohti. Ruoansulatuskanavan perforaatioita tosilitsumabihoidon yhteydessä raportoitiin ensisijaisesti divertikuliitin komplikaatioina mukaan lukien yleistynyt märkäinen peritoniitti, ruoansulatuskanavan alaosan perforaatio, fistelit ja absessi.</w:t>
      </w:r>
    </w:p>
    <w:p w14:paraId="27CF2E11" w14:textId="77777777" w:rsidR="0020054B" w:rsidRPr="0028514E" w:rsidRDefault="0020054B" w:rsidP="006E5F9A">
      <w:pPr>
        <w:pStyle w:val="a4"/>
        <w:ind w:left="0"/>
      </w:pPr>
    </w:p>
    <w:p w14:paraId="5226FF17" w14:textId="77777777" w:rsidR="003B7027" w:rsidRPr="00CA43F5" w:rsidRDefault="00296A74" w:rsidP="006E5F9A">
      <w:pPr>
        <w:rPr>
          <w:i/>
          <w:lang w:val="fi-FI"/>
        </w:rPr>
      </w:pPr>
      <w:r w:rsidRPr="00CA43F5">
        <w:rPr>
          <w:i/>
          <w:lang w:val="fi-FI"/>
        </w:rPr>
        <w:t>Infuusioon liittyvät reaktiot</w:t>
      </w:r>
    </w:p>
    <w:p w14:paraId="3D15090C" w14:textId="77777777" w:rsidR="003B7027" w:rsidRPr="0028514E" w:rsidRDefault="00296A74" w:rsidP="006E5F9A">
      <w:pPr>
        <w:pStyle w:val="a4"/>
        <w:ind w:left="0"/>
      </w:pPr>
      <w:r w:rsidRPr="0028514E">
        <w:t>Kuusi kuukautta kestäneissä tutkimuksissa infuusioon liittyviä haittatapahtumia (valikoidut tapahtumat, jotka ilmaantuivat infuusion aikana tai 24 tunnin kuluessa sen päättymisestä) esiintyi 6,9 %:lla potilaista, jotka saivat tosilitsumabia 8 mg/kg yhdessä DMARDien kanssa, ja 5,1 %:lla</w:t>
      </w:r>
      <w:r w:rsidR="0020054B" w:rsidRPr="0028514E">
        <w:t xml:space="preserve"> </w:t>
      </w:r>
      <w:r w:rsidRPr="0028514E">
        <w:t>potilaista, jotka saivat lumevalmistetta ja DMARDeja. Infuusion aikana raportoidut tapahtumat olivat pääasiassa hypertensioepisodeja. Tapahtumia, joita raportoitiin 24 tunnin aikana infuusion päättymisen jälkeen, olivat päänsärky ja ihoreaktiot (ihottuma, nokkosihottuma). Nämä tapahtumat eivät olleet hoitoa rajoittavia.</w:t>
      </w:r>
    </w:p>
    <w:p w14:paraId="6B08D637" w14:textId="77777777" w:rsidR="0020054B" w:rsidRPr="0028514E" w:rsidRDefault="0020054B" w:rsidP="006E5F9A">
      <w:pPr>
        <w:pStyle w:val="a4"/>
        <w:ind w:left="0"/>
      </w:pPr>
    </w:p>
    <w:p w14:paraId="4D0EF969" w14:textId="77777777" w:rsidR="003B7027" w:rsidRPr="0028514E" w:rsidRDefault="00296A74" w:rsidP="006E5F9A">
      <w:pPr>
        <w:pStyle w:val="a4"/>
        <w:ind w:left="0"/>
      </w:pPr>
      <w:r w:rsidRPr="0028514E">
        <w:t>Anafylaktisten reaktioiden esiintyvyys (yhteensä 8 tapausta / 4009 potilasta, 0,2 %) oli moninkertainen annoksen ollessa 4 mg/kg verrattuna annokseen 8 mg/kg. Hoidon keskeyttämistä vaatineita kliinisesti merkitseviä tosilitsumabihoitoon liittyneitä yliherkkyysreaktioita todettiin yhteensä 56:lla (1,4 %) niistä 4009 potilaasta, jotka saivat tosilitsumabia vertailututkimuksissa ja avoimissa kliinisissä tutkimuksissa. Nämä reaktiot ilmaantuivat yleensä 2.–5. tosilitsumabi-infuusion aikana (ks. kohta 4.4). Myyntiluvan myöntämisen jälkeen on raportoitu yksi fataali anafylaksiatapaus tosilitsumabihoidon aikana (ks. kohta 4.4).</w:t>
      </w:r>
    </w:p>
    <w:p w14:paraId="52830DAE" w14:textId="77777777" w:rsidR="00A747A8" w:rsidRPr="0028514E" w:rsidRDefault="00A747A8" w:rsidP="006E5F9A">
      <w:pPr>
        <w:pStyle w:val="a4"/>
        <w:ind w:left="0"/>
      </w:pPr>
    </w:p>
    <w:p w14:paraId="22D9F3B8" w14:textId="77777777" w:rsidR="003B7027" w:rsidRPr="00CA43F5" w:rsidRDefault="00296A74" w:rsidP="006E5F9A">
      <w:pPr>
        <w:rPr>
          <w:i/>
          <w:lang w:val="fi-FI"/>
        </w:rPr>
      </w:pPr>
      <w:r w:rsidRPr="00CA43F5">
        <w:rPr>
          <w:i/>
          <w:lang w:val="fi-FI"/>
        </w:rPr>
        <w:t>Hematologiset muutokset:</w:t>
      </w:r>
    </w:p>
    <w:p w14:paraId="1E6798F0" w14:textId="77777777" w:rsidR="003B7027" w:rsidRPr="00CA43F5" w:rsidRDefault="00296A74" w:rsidP="006E5F9A">
      <w:pPr>
        <w:rPr>
          <w:i/>
          <w:lang w:val="fi-FI"/>
        </w:rPr>
      </w:pPr>
      <w:r w:rsidRPr="00CA43F5">
        <w:rPr>
          <w:i/>
          <w:lang w:val="fi-FI"/>
        </w:rPr>
        <w:t>Neutrofiilit</w:t>
      </w:r>
    </w:p>
    <w:p w14:paraId="0762E06B" w14:textId="77777777" w:rsidR="003B7027" w:rsidRPr="0028514E" w:rsidRDefault="00296A74" w:rsidP="006E5F9A">
      <w:pPr>
        <w:pStyle w:val="a4"/>
        <w:ind w:left="0"/>
      </w:pPr>
      <w:r w:rsidRPr="0028514E">
        <w:t>Kuusi kuukautta kestäneissä kontrolloiduissa tutkimuksissa neutrofiiliarvo laski tason 1 x 10</w:t>
      </w:r>
      <w:r w:rsidRPr="0028514E">
        <w:rPr>
          <w:vertAlign w:val="superscript"/>
        </w:rPr>
        <w:t>9</w:t>
      </w:r>
      <w:r w:rsidRPr="0028514E">
        <w:t>/l alapuolelle 3,4 %:lla potilaista, jotka saivat tosilitsumabia 8 mg/kg ja DMARDeja verrattuna</w:t>
      </w:r>
      <w:r w:rsidR="00A747A8" w:rsidRPr="0028514E">
        <w:t xml:space="preserve"> </w:t>
      </w:r>
      <w:r w:rsidRPr="0028514E">
        <w:t>&lt; 0,1 %:iin potilaista, jotka saivat lumevalmistetta ja DMARDeja. Potilaista, joiden absoluuttinen neutrofiiliarvo laski tasolle &lt; 1 x 10</w:t>
      </w:r>
      <w:r w:rsidRPr="0028514E">
        <w:rPr>
          <w:vertAlign w:val="superscript"/>
        </w:rPr>
        <w:t>9</w:t>
      </w:r>
      <w:r w:rsidRPr="0028514E">
        <w:t>/l, noin puolella lasku todettiin kahdeksan viikon kuluessa hoidon alkamisesta. Tason 0,5 x 10</w:t>
      </w:r>
      <w:r w:rsidRPr="0028514E">
        <w:rPr>
          <w:vertAlign w:val="superscript"/>
        </w:rPr>
        <w:t>9</w:t>
      </w:r>
      <w:r w:rsidRPr="0028514E">
        <w:t>/l alapuolelle laskeneita arvoja todettiin 0,3 %:lla potilaista, jotka saivat tosilitsumabia 8 mg/kg yhdessä DMARDien kanssa. Infektioita, joihin liittyi neutropenia, on raportoitu.</w:t>
      </w:r>
    </w:p>
    <w:p w14:paraId="7748294E" w14:textId="77777777" w:rsidR="00A747A8" w:rsidRPr="0028514E" w:rsidRDefault="00A747A8" w:rsidP="006E5F9A">
      <w:pPr>
        <w:pStyle w:val="a4"/>
        <w:ind w:left="0"/>
      </w:pPr>
    </w:p>
    <w:p w14:paraId="26659DA2" w14:textId="77777777" w:rsidR="003B7027" w:rsidRPr="0028514E" w:rsidRDefault="00296A74" w:rsidP="006E5F9A">
      <w:pPr>
        <w:pStyle w:val="a4"/>
        <w:ind w:left="0"/>
      </w:pPr>
      <w:r w:rsidRPr="0028514E">
        <w:t>Kaksoissokkoutetussa kontrollivaiheessa ja pitkäaikaisessa altistumisessa havaittiin neutrofiiliarvojen laskeneen vastaavalla tavalla ja ilmaantuvuudella kuin kuusi kuukautta kestäneissä kontrolloiduissa tutkimuksissa.</w:t>
      </w:r>
    </w:p>
    <w:p w14:paraId="235D12EA" w14:textId="77777777" w:rsidR="003B7027" w:rsidRPr="0028514E" w:rsidRDefault="003B7027" w:rsidP="006E5F9A">
      <w:pPr>
        <w:pStyle w:val="a4"/>
        <w:ind w:left="0"/>
      </w:pPr>
    </w:p>
    <w:p w14:paraId="44AB644A" w14:textId="77777777" w:rsidR="003B7027" w:rsidRPr="00CA43F5" w:rsidRDefault="00296A74" w:rsidP="006E5F9A">
      <w:pPr>
        <w:keepNext/>
        <w:keepLines/>
        <w:rPr>
          <w:i/>
          <w:lang w:val="fi-FI"/>
        </w:rPr>
      </w:pPr>
      <w:r w:rsidRPr="00CA43F5">
        <w:rPr>
          <w:i/>
          <w:lang w:val="fi-FI"/>
        </w:rPr>
        <w:lastRenderedPageBreak/>
        <w:t>Trombosyytit</w:t>
      </w:r>
    </w:p>
    <w:p w14:paraId="7E333715" w14:textId="77777777" w:rsidR="003B7027" w:rsidRPr="0028514E" w:rsidRDefault="00296A74" w:rsidP="006E5F9A">
      <w:pPr>
        <w:pStyle w:val="a4"/>
        <w:ind w:left="0"/>
      </w:pPr>
      <w:r w:rsidRPr="0028514E">
        <w:t>Kuusi kuukautta kestäneissä kontrolloiduissa tutkimuksissa trombosyyttiarvo laski tason 100 x 10</w:t>
      </w:r>
      <w:r w:rsidRPr="0028514E">
        <w:rPr>
          <w:vertAlign w:val="superscript"/>
        </w:rPr>
        <w:t>3</w:t>
      </w:r>
      <w:r w:rsidRPr="0028514E">
        <w:t>/μl alapuolelle 1,7 %:lla tosilitsumabia 8 mg/kg ja DMARDeja saaneista potilaista verrattuna &lt; 1 %:lla lumevalmistetta ja DMARDeja saaneisiin potilaisiin. Näihin muutoksiin ei liittynyt verenvuototapahtumia.</w:t>
      </w:r>
    </w:p>
    <w:p w14:paraId="0DD5166B" w14:textId="77777777" w:rsidR="003B7027" w:rsidRPr="0028514E" w:rsidRDefault="003B7027" w:rsidP="006E5F9A">
      <w:pPr>
        <w:pStyle w:val="a4"/>
        <w:ind w:left="0"/>
      </w:pPr>
    </w:p>
    <w:p w14:paraId="42C9CF07" w14:textId="77777777" w:rsidR="003B7027" w:rsidRPr="0028514E" w:rsidRDefault="00296A74" w:rsidP="006E5F9A">
      <w:pPr>
        <w:pStyle w:val="a4"/>
        <w:ind w:left="0"/>
      </w:pPr>
      <w:r w:rsidRPr="0028514E">
        <w:t>Kaksoissokkoutetussa kontrollivaiheessa ja pitkäaikaisessa altistumisessa havaittiin trombosyyttiarvojen laskeneen vastaavalla tavalla ja ilmaantuvuudella kuin kuusi kuukautta kestäneissä kontrolloiduissa tutkimuksissa.</w:t>
      </w:r>
    </w:p>
    <w:p w14:paraId="5318164F" w14:textId="77777777" w:rsidR="003B7027" w:rsidRPr="0028514E" w:rsidRDefault="003B7027" w:rsidP="006E5F9A">
      <w:pPr>
        <w:pStyle w:val="a4"/>
        <w:ind w:left="0"/>
      </w:pPr>
    </w:p>
    <w:p w14:paraId="5E1CBB93" w14:textId="77777777" w:rsidR="003B7027" w:rsidRPr="0028514E" w:rsidRDefault="00296A74" w:rsidP="006E5F9A">
      <w:pPr>
        <w:pStyle w:val="a4"/>
        <w:ind w:left="0"/>
      </w:pPr>
      <w:r w:rsidRPr="0028514E">
        <w:t>Myyntiluvan myöntämisen jälkeisessä seurannassa on hyvin harvoin raportoitu pansytopeniaa.</w:t>
      </w:r>
    </w:p>
    <w:p w14:paraId="0F54DF4E" w14:textId="77777777" w:rsidR="003B7027" w:rsidRPr="0028514E" w:rsidRDefault="003B7027" w:rsidP="006E5F9A">
      <w:pPr>
        <w:pStyle w:val="a4"/>
        <w:ind w:left="0"/>
      </w:pPr>
    </w:p>
    <w:p w14:paraId="46077233" w14:textId="77777777" w:rsidR="003B7027" w:rsidRPr="00CA43F5" w:rsidRDefault="00296A74" w:rsidP="006E5F9A">
      <w:pPr>
        <w:rPr>
          <w:i/>
          <w:lang w:val="fi-FI"/>
        </w:rPr>
      </w:pPr>
      <w:r w:rsidRPr="00CA43F5">
        <w:rPr>
          <w:i/>
          <w:lang w:val="fi-FI"/>
        </w:rPr>
        <w:t>Maksan aminotransferaasiarvojen nousu</w:t>
      </w:r>
    </w:p>
    <w:p w14:paraId="26B4F794" w14:textId="77777777" w:rsidR="003B7027" w:rsidRPr="0028514E" w:rsidRDefault="00296A74" w:rsidP="006E5F9A">
      <w:pPr>
        <w:pStyle w:val="a4"/>
        <w:ind w:left="0"/>
      </w:pPr>
      <w:r w:rsidRPr="0028514E">
        <w:t>Kuusi kuukautta kestäneissä kontrolloiduissa tutkimuksissa ohimenevä ALAT-/ASAT-arvojen nousu</w:t>
      </w:r>
      <w:r w:rsidR="00A747A8" w:rsidRPr="0028514E">
        <w:t xml:space="preserve"> </w:t>
      </w:r>
      <w:r w:rsidRPr="0028514E">
        <w:t>&gt; 3 x viitevälin yläraja todettiin 2,1 %:lla tosilitsumabia 8 mg/kg saaneista ja 4,9 %:lla MTX:a saaneista potilaista sekä 6,5 %:lla potilaista, jotka saivat tosilitsumabia 8 mg/kg yhdessä DMARDien kanssa, sekä 1,5 %:lla lumevalmistetta ja DMARDeja saaneista potilaista.</w:t>
      </w:r>
    </w:p>
    <w:p w14:paraId="078AB592" w14:textId="77777777" w:rsidR="003B7027" w:rsidRPr="0028514E" w:rsidRDefault="003B7027" w:rsidP="006E5F9A">
      <w:pPr>
        <w:pStyle w:val="a4"/>
        <w:ind w:left="0"/>
      </w:pPr>
    </w:p>
    <w:p w14:paraId="6F645C7B" w14:textId="77777777" w:rsidR="003B7027" w:rsidRPr="0028514E" w:rsidRDefault="00296A74" w:rsidP="006E5F9A">
      <w:pPr>
        <w:pStyle w:val="a4"/>
        <w:ind w:left="0"/>
      </w:pPr>
      <w:r w:rsidRPr="0028514E">
        <w:t>Kohonneet arvot yleistyivät, kun tosilitsumabimonoterapiahoitoon lisättiin jokin mahdollisesti maksatoksinen lääke (esim. MTX). ALAT-/ASAT-arvojen nousu &gt; 5 x viitevälin yläraja todettiin 0,7 %:lla pelkkää tosilitsumabia saaneista potilaista ja 1,4 %:lla potilaista, jotka saivat tosilitsumabia yhdessä DMARDien kanssa. Suurimmalla osalla näistä potilaista tosilitsumabihoito keskeytettiin pysyvästi. Kaksoissokkoutetun kontrollivaiheen tavanomaisessa laboratorioseurannassa 6,2 %:lla tosilitsumabia 8 mg/kg ja DMARDeja saaneista potilaista todettiin konjugoitumattoman bilirubiinin pitoisuuksia, jotka olivat korkeammat kuin viitevälin yläraja. Konjugoitumattoman bilirubiinin</w:t>
      </w:r>
      <w:r w:rsidR="00A747A8" w:rsidRPr="0028514E">
        <w:t xml:space="preserve"> </w:t>
      </w:r>
      <w:r w:rsidRPr="0028514E">
        <w:t>pitoisuus nousi tasolle &gt; 1–2 x viitevälin yläraja yhteensä 5,8 %:lla potilaista ja 0,4 %:lla nousu oli &gt; 2 x viitevälin yläraja.</w:t>
      </w:r>
    </w:p>
    <w:p w14:paraId="783CCE98" w14:textId="77777777" w:rsidR="00A747A8" w:rsidRPr="0028514E" w:rsidRDefault="00A747A8" w:rsidP="006E5F9A">
      <w:pPr>
        <w:pStyle w:val="a4"/>
        <w:ind w:left="0"/>
      </w:pPr>
    </w:p>
    <w:p w14:paraId="4FCE9D6C" w14:textId="77777777" w:rsidR="003B7027" w:rsidRPr="0028514E" w:rsidRDefault="00296A74" w:rsidP="006E5F9A">
      <w:pPr>
        <w:pStyle w:val="a4"/>
        <w:ind w:left="0"/>
      </w:pPr>
      <w:r w:rsidRPr="0028514E">
        <w:t>Kaksoissokkoutetussa kontrollivaiheessa ja pitkäaikaisessa altistumisessa havaittiin ALAT-/ASAT- arvojen nousseen vastaavalla tavalla ja ilmaantuvuudella kuin kuusi kuukautta kestäneissä kontrolloiduissa tutkimuksissa.</w:t>
      </w:r>
    </w:p>
    <w:p w14:paraId="447A09FB" w14:textId="77777777" w:rsidR="003B7027" w:rsidRPr="0028514E" w:rsidRDefault="003B7027" w:rsidP="006E5F9A">
      <w:pPr>
        <w:pStyle w:val="a4"/>
        <w:ind w:left="0"/>
      </w:pPr>
    </w:p>
    <w:p w14:paraId="18DDC28B" w14:textId="77777777" w:rsidR="003B7027" w:rsidRPr="00CA43F5" w:rsidRDefault="00296A74" w:rsidP="006E5F9A">
      <w:pPr>
        <w:rPr>
          <w:i/>
          <w:lang w:val="fi-FI"/>
        </w:rPr>
      </w:pPr>
      <w:r w:rsidRPr="00CA43F5">
        <w:rPr>
          <w:i/>
          <w:lang w:val="fi-FI"/>
        </w:rPr>
        <w:t>Veren rasva-arvot</w:t>
      </w:r>
    </w:p>
    <w:p w14:paraId="0E7D189B" w14:textId="44803560" w:rsidR="003B7027" w:rsidRPr="0028514E" w:rsidRDefault="00296A74" w:rsidP="006E5F9A">
      <w:pPr>
        <w:pStyle w:val="a4"/>
        <w:ind w:left="0"/>
      </w:pPr>
      <w:r w:rsidRPr="0028514E">
        <w:t xml:space="preserve">Kuusi kuukautta kestäneissä kontrolloiduissa tutkimuksissa on raportoitu yleisesti veren rasva-arvojen, kuten kokonaiskolesterolin, triglyseridien, LDL- ja/tai HDL-kolesterolin, nousua. Tavanomaisessa laboratorioseurannassa noin 24 %:lla potilaista, jotka saivat </w:t>
      </w:r>
      <w:r w:rsidR="00525031">
        <w:t>tosilitsumabia</w:t>
      </w:r>
      <w:r w:rsidR="00525031" w:rsidRPr="0028514E">
        <w:t xml:space="preserve"> </w:t>
      </w:r>
      <w:r w:rsidRPr="0028514E">
        <w:t>kliinisissä tutkimuksissa, todettiin pysyvästi kohonneita kokonaiskolesteroliarvoja (≥ 6,2 mmol/l). 15 %:lla potilaista havaittiin pysyvästi kohonneita LDL-kolesteroliarvoja (≥ 4,1 mmol/l). Kohonneet veren rasva-arvot saatiin hallintaan kolesterolia alentavilla lääkkeillä.</w:t>
      </w:r>
    </w:p>
    <w:p w14:paraId="70259812" w14:textId="77777777" w:rsidR="00A747A8" w:rsidRPr="0028514E" w:rsidRDefault="00A747A8" w:rsidP="006E5F9A">
      <w:pPr>
        <w:pStyle w:val="a4"/>
        <w:ind w:left="0"/>
      </w:pPr>
    </w:p>
    <w:p w14:paraId="6D47D95B" w14:textId="77777777" w:rsidR="003B7027" w:rsidRPr="0028514E" w:rsidRDefault="00296A74" w:rsidP="006E5F9A">
      <w:pPr>
        <w:pStyle w:val="a4"/>
        <w:ind w:left="0"/>
      </w:pPr>
      <w:r w:rsidRPr="0028514E">
        <w:t>Kaksoissokkoutetussa kontrollivaiheessa ja pitkäaikaisessa altistumisessa havaittiin veren rasva- arvojen kohonneen vastaavalla tavalla ja ilmaantuvuudella kuin kuusi kuukautta kestäneissä kontrolloiduissa tutkimuksissa.</w:t>
      </w:r>
    </w:p>
    <w:p w14:paraId="786A6AC5" w14:textId="77777777" w:rsidR="003B7027" w:rsidRPr="0028514E" w:rsidRDefault="003B7027" w:rsidP="006E5F9A">
      <w:pPr>
        <w:pStyle w:val="a4"/>
        <w:ind w:left="0"/>
      </w:pPr>
    </w:p>
    <w:p w14:paraId="258F0B5E" w14:textId="77777777" w:rsidR="003B7027" w:rsidRPr="00CA43F5" w:rsidRDefault="00296A74" w:rsidP="006E5F9A">
      <w:pPr>
        <w:rPr>
          <w:i/>
          <w:lang w:val="fi-FI"/>
        </w:rPr>
      </w:pPr>
      <w:r w:rsidRPr="00CA43F5">
        <w:rPr>
          <w:i/>
          <w:lang w:val="fi-FI"/>
        </w:rPr>
        <w:t>Maligniteetti</w:t>
      </w:r>
    </w:p>
    <w:p w14:paraId="7BB3DC1A" w14:textId="77777777" w:rsidR="003B7027" w:rsidRPr="0028514E" w:rsidRDefault="00296A74" w:rsidP="006E5F9A">
      <w:pPr>
        <w:pStyle w:val="a4"/>
        <w:ind w:left="0"/>
      </w:pPr>
      <w:r w:rsidRPr="0028514E">
        <w:t>Kliiniset tiedot eivät ole riittäviä, jotta voitaisiin arvioida pahanlaatuisten kasvainten mahdollista ilmaantuvuutta tosilitsumabialtistuksen jälkeen. Pitkäaikainen turvallisuusarviointi on meneillään.</w:t>
      </w:r>
    </w:p>
    <w:p w14:paraId="3E0FD22C" w14:textId="77777777" w:rsidR="00A747A8" w:rsidRPr="0028514E" w:rsidRDefault="00A747A8" w:rsidP="006E5F9A">
      <w:pPr>
        <w:pStyle w:val="a4"/>
        <w:ind w:left="0"/>
      </w:pPr>
    </w:p>
    <w:p w14:paraId="7FFEBE38" w14:textId="77777777" w:rsidR="003B7027" w:rsidRPr="00CA43F5" w:rsidRDefault="00296A74" w:rsidP="00BF6076">
      <w:pPr>
        <w:keepNext/>
        <w:rPr>
          <w:i/>
          <w:lang w:val="fi-FI"/>
        </w:rPr>
      </w:pPr>
      <w:r w:rsidRPr="00CA43F5">
        <w:rPr>
          <w:i/>
          <w:color w:val="1C1C1C"/>
          <w:lang w:val="fi-FI"/>
        </w:rPr>
        <w:t>Ihoreaktiot</w:t>
      </w:r>
    </w:p>
    <w:p w14:paraId="6AD45B2F" w14:textId="77777777" w:rsidR="003B7027" w:rsidRPr="0028514E" w:rsidRDefault="00296A74" w:rsidP="006E5F9A">
      <w:pPr>
        <w:pStyle w:val="a4"/>
        <w:ind w:left="0"/>
      </w:pPr>
      <w:r w:rsidRPr="0028514E">
        <w:t xml:space="preserve">Myyntiluvan myöntämisen jälkeisessä seurannassa on harvoin raportoitu </w:t>
      </w:r>
      <w:r w:rsidRPr="0028514E">
        <w:rPr>
          <w:color w:val="1C1C1C"/>
        </w:rPr>
        <w:t>Stevens-Johnsonin oireyhtymää</w:t>
      </w:r>
      <w:r w:rsidRPr="0028514E">
        <w:t>.</w:t>
      </w:r>
    </w:p>
    <w:p w14:paraId="6FBB0931" w14:textId="77777777" w:rsidR="00A747A8" w:rsidRPr="0028514E" w:rsidRDefault="00A747A8" w:rsidP="006E5F9A">
      <w:pPr>
        <w:pStyle w:val="a4"/>
        <w:ind w:left="0"/>
      </w:pPr>
    </w:p>
    <w:p w14:paraId="755C8506" w14:textId="77777777" w:rsidR="003B7027" w:rsidRPr="0028514E" w:rsidRDefault="00296A74" w:rsidP="006E5F9A">
      <w:pPr>
        <w:pStyle w:val="a4"/>
        <w:keepNext/>
        <w:ind w:left="0"/>
      </w:pPr>
      <w:r w:rsidRPr="0028514E">
        <w:rPr>
          <w:u w:val="single"/>
        </w:rPr>
        <w:t>COVID-19-potilaat</w:t>
      </w:r>
    </w:p>
    <w:p w14:paraId="79682A7E" w14:textId="7918EEA6" w:rsidR="003B7027" w:rsidRPr="0028514E" w:rsidRDefault="00525031" w:rsidP="006E5F9A">
      <w:pPr>
        <w:pStyle w:val="a4"/>
        <w:ind w:left="0"/>
      </w:pPr>
      <w:r>
        <w:t>Tosilitsumabin</w:t>
      </w:r>
      <w:r w:rsidR="00296A74" w:rsidRPr="0028514E">
        <w:t xml:space="preserve"> turvallisuuden arviointi COVID-19-taudin hoidossa perustui kolmeen satunnaistettuun, kaksoissokkoutettuun, lumekontrolloituun tutkimukseen (tutkimukset ML42528, WA42380 ja WA42511). Näissä tutkimuksissa yhteensä 974 potilasta altistui </w:t>
      </w:r>
      <w:r>
        <w:t>tosilitsumabille</w:t>
      </w:r>
      <w:r w:rsidR="00296A74" w:rsidRPr="0028514E">
        <w:t>. RECOVERY-tutkimuksesta kerätyt turvallisuutta koskevat tiedot olivat suppeita, eikä niitä esitetä tässä.</w:t>
      </w:r>
    </w:p>
    <w:p w14:paraId="2C331298" w14:textId="77777777" w:rsidR="00A747A8" w:rsidRPr="0028514E" w:rsidRDefault="00A747A8" w:rsidP="006E5F9A">
      <w:pPr>
        <w:pStyle w:val="a4"/>
        <w:ind w:left="0"/>
      </w:pPr>
    </w:p>
    <w:p w14:paraId="3E5D1D92" w14:textId="4C885EE6" w:rsidR="003B7027" w:rsidRPr="0028514E" w:rsidRDefault="00296A74" w:rsidP="006E5F9A">
      <w:pPr>
        <w:pStyle w:val="a4"/>
        <w:ind w:left="0"/>
      </w:pPr>
      <w:r w:rsidRPr="0028514E">
        <w:t xml:space="preserve">Seuraavat MedDRA-elinjärjestelmäluokituksen mukaisesti taulukossa 2 luetellut haittavaikutukset on varmistettu tapahtumista, joita esiintyi kliinisten tutkimusten ML42528, WA42380 ja WA42511 turvallisuuden osalta arvioitavissa olleessa yhdistetyssä potilasjoukossa vähintään 3 %:lla </w:t>
      </w:r>
      <w:r w:rsidR="00525031">
        <w:t>tosilitsumabi</w:t>
      </w:r>
      <w:r w:rsidRPr="0028514E">
        <w:t>hoitoa saaneista potilaista ja yleisemmin kuin lumelääkettä saaneilla potilailla.</w:t>
      </w:r>
    </w:p>
    <w:p w14:paraId="15444767" w14:textId="77777777" w:rsidR="003B7027" w:rsidRPr="0028514E" w:rsidRDefault="003B7027" w:rsidP="006E5F9A">
      <w:pPr>
        <w:pStyle w:val="a4"/>
        <w:ind w:left="0"/>
      </w:pPr>
    </w:p>
    <w:p w14:paraId="7773FA54" w14:textId="26AD7C7E" w:rsidR="003B7027" w:rsidRPr="00CA43F5" w:rsidRDefault="00296A74" w:rsidP="00920FF7">
      <w:pPr>
        <w:pStyle w:val="Tabletitle"/>
        <w:rPr>
          <w:vertAlign w:val="superscript"/>
          <w:lang w:val="fi-FI"/>
        </w:rPr>
      </w:pPr>
      <w:r w:rsidRPr="00CA43F5">
        <w:rPr>
          <w:lang w:val="fi-FI"/>
        </w:rPr>
        <w:t>Taulukko 2.</w:t>
      </w:r>
      <w:r w:rsidR="00A747A8" w:rsidRPr="00CA43F5">
        <w:rPr>
          <w:lang w:val="fi-FI"/>
        </w:rPr>
        <w:tab/>
      </w:r>
      <w:r w:rsidRPr="00CA43F5">
        <w:rPr>
          <w:lang w:val="fi-FI"/>
        </w:rPr>
        <w:t>Luettelo haittavaikutuksista</w:t>
      </w:r>
      <w:r w:rsidRPr="00CA43F5">
        <w:rPr>
          <w:vertAlign w:val="superscript"/>
          <w:lang w:val="fi-FI"/>
        </w:rPr>
        <w:t>1</w:t>
      </w:r>
      <w:r w:rsidRPr="00CA43F5">
        <w:rPr>
          <w:lang w:val="fi-FI"/>
        </w:rPr>
        <w:t xml:space="preserve">, jotka tunnistettiin COVID-19-potilailla kliinisten </w:t>
      </w:r>
      <w:r w:rsidR="00525031" w:rsidRPr="00CA43F5">
        <w:rPr>
          <w:lang w:val="fi-FI"/>
        </w:rPr>
        <w:t>tosilitsumabi</w:t>
      </w:r>
      <w:r w:rsidRPr="00CA43F5">
        <w:rPr>
          <w:lang w:val="fi-FI"/>
        </w:rPr>
        <w:t>tutkimusten turvallisuuden osalta arvioitavissa olleessa yhdistetyssä potilasjoukossa</w:t>
      </w:r>
      <w:r w:rsidRPr="00CA43F5">
        <w:rPr>
          <w:vertAlign w:val="superscript"/>
          <w:lang w:val="fi-FI"/>
        </w:rPr>
        <w:t>2</w:t>
      </w:r>
    </w:p>
    <w:p w14:paraId="37576665" w14:textId="77777777" w:rsidR="00A747A8" w:rsidRPr="00CA43F5" w:rsidRDefault="00A747A8" w:rsidP="00704C8E">
      <w:pPr>
        <w:rPr>
          <w:i/>
          <w:lang w:val="fi-FI"/>
        </w:rPr>
      </w:pPr>
    </w:p>
    <w:tbl>
      <w:tblPr>
        <w:tblW w:w="4804"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484"/>
        <w:gridCol w:w="3010"/>
        <w:gridCol w:w="3215"/>
      </w:tblGrid>
      <w:tr w:rsidR="003B7027" w:rsidRPr="00777B93" w14:paraId="5F58C07A" w14:textId="77777777" w:rsidTr="00C96C2E">
        <w:trPr>
          <w:cantSplit/>
        </w:trPr>
        <w:tc>
          <w:tcPr>
            <w:tcW w:w="2545" w:type="dxa"/>
          </w:tcPr>
          <w:p w14:paraId="2F001087" w14:textId="77777777" w:rsidR="003B7027" w:rsidRPr="0028514E" w:rsidRDefault="00296A74" w:rsidP="003C43CF">
            <w:pPr>
              <w:pStyle w:val="TableParagraph"/>
              <w:suppressAutoHyphens/>
              <w:rPr>
                <w:b/>
              </w:rPr>
            </w:pPr>
            <w:r w:rsidRPr="0028514E">
              <w:rPr>
                <w:b/>
              </w:rPr>
              <w:t>MedDRA-elinjärjestelmäluokka</w:t>
            </w:r>
          </w:p>
        </w:tc>
        <w:tc>
          <w:tcPr>
            <w:tcW w:w="3085" w:type="dxa"/>
          </w:tcPr>
          <w:p w14:paraId="3086CABC" w14:textId="77777777" w:rsidR="003B7027" w:rsidRPr="0028514E" w:rsidRDefault="00296A74" w:rsidP="003C43CF">
            <w:pPr>
              <w:pStyle w:val="TableParagraph"/>
              <w:suppressAutoHyphens/>
              <w:jc w:val="center"/>
              <w:rPr>
                <w:b/>
              </w:rPr>
            </w:pPr>
            <w:r w:rsidRPr="0028514E">
              <w:rPr>
                <w:b/>
              </w:rPr>
              <w:t>Hyvin yleinen</w:t>
            </w:r>
          </w:p>
        </w:tc>
        <w:tc>
          <w:tcPr>
            <w:tcW w:w="3296" w:type="dxa"/>
          </w:tcPr>
          <w:p w14:paraId="3E1C50E9" w14:textId="77777777" w:rsidR="003B7027" w:rsidRPr="0028514E" w:rsidRDefault="00296A74" w:rsidP="003C43CF">
            <w:pPr>
              <w:pStyle w:val="TableParagraph"/>
              <w:suppressAutoHyphens/>
              <w:jc w:val="center"/>
              <w:rPr>
                <w:b/>
              </w:rPr>
            </w:pPr>
            <w:r w:rsidRPr="0028514E">
              <w:rPr>
                <w:b/>
              </w:rPr>
              <w:t>Yleinen</w:t>
            </w:r>
          </w:p>
        </w:tc>
      </w:tr>
      <w:tr w:rsidR="003B7027" w:rsidRPr="00777B93" w14:paraId="391CCC27" w14:textId="77777777" w:rsidTr="00C96C2E">
        <w:trPr>
          <w:cantSplit/>
        </w:trPr>
        <w:tc>
          <w:tcPr>
            <w:tcW w:w="2545" w:type="dxa"/>
          </w:tcPr>
          <w:p w14:paraId="6ADCED3F" w14:textId="77777777" w:rsidR="003B7027" w:rsidRPr="0028514E" w:rsidRDefault="00296A74" w:rsidP="003C43CF">
            <w:pPr>
              <w:pStyle w:val="TableParagraph"/>
              <w:suppressAutoHyphens/>
            </w:pPr>
            <w:r w:rsidRPr="0028514E">
              <w:t>Infektiot</w:t>
            </w:r>
          </w:p>
        </w:tc>
        <w:tc>
          <w:tcPr>
            <w:tcW w:w="3085" w:type="dxa"/>
          </w:tcPr>
          <w:p w14:paraId="38867D6D" w14:textId="77777777" w:rsidR="003B7027" w:rsidRPr="0028514E" w:rsidRDefault="003B7027" w:rsidP="003C43CF">
            <w:pPr>
              <w:pStyle w:val="TableParagraph"/>
              <w:suppressAutoHyphens/>
              <w:rPr>
                <w:sz w:val="18"/>
              </w:rPr>
            </w:pPr>
          </w:p>
        </w:tc>
        <w:tc>
          <w:tcPr>
            <w:tcW w:w="3296" w:type="dxa"/>
          </w:tcPr>
          <w:p w14:paraId="1A869C09" w14:textId="77777777" w:rsidR="003B7027" w:rsidRPr="0028514E" w:rsidRDefault="00296A74" w:rsidP="003C43CF">
            <w:pPr>
              <w:pStyle w:val="TableParagraph"/>
              <w:suppressAutoHyphens/>
            </w:pPr>
            <w:r w:rsidRPr="0028514E">
              <w:t>Virtsatieinfektio</w:t>
            </w:r>
          </w:p>
        </w:tc>
      </w:tr>
      <w:tr w:rsidR="003B7027" w:rsidRPr="00777B93" w14:paraId="6335E033" w14:textId="77777777" w:rsidTr="00C96C2E">
        <w:trPr>
          <w:cantSplit/>
        </w:trPr>
        <w:tc>
          <w:tcPr>
            <w:tcW w:w="2545" w:type="dxa"/>
          </w:tcPr>
          <w:p w14:paraId="20D0C791" w14:textId="77777777" w:rsidR="003B7027" w:rsidRPr="0028514E" w:rsidRDefault="00296A74" w:rsidP="003C43CF">
            <w:pPr>
              <w:pStyle w:val="TableParagraph"/>
              <w:suppressAutoHyphens/>
            </w:pPr>
            <w:r w:rsidRPr="0028514E">
              <w:t>Aineenvaihdunta ja</w:t>
            </w:r>
            <w:r w:rsidR="00A747A8" w:rsidRPr="0028514E">
              <w:t xml:space="preserve"> </w:t>
            </w:r>
            <w:r w:rsidRPr="0028514E">
              <w:t>ravitsemus</w:t>
            </w:r>
          </w:p>
        </w:tc>
        <w:tc>
          <w:tcPr>
            <w:tcW w:w="3085" w:type="dxa"/>
          </w:tcPr>
          <w:p w14:paraId="0484BF86" w14:textId="77777777" w:rsidR="003B7027" w:rsidRPr="0028514E" w:rsidRDefault="003B7027" w:rsidP="003C43CF">
            <w:pPr>
              <w:pStyle w:val="TableParagraph"/>
              <w:suppressAutoHyphens/>
              <w:rPr>
                <w:sz w:val="20"/>
              </w:rPr>
            </w:pPr>
          </w:p>
        </w:tc>
        <w:tc>
          <w:tcPr>
            <w:tcW w:w="3296" w:type="dxa"/>
          </w:tcPr>
          <w:p w14:paraId="73B433D8" w14:textId="77777777" w:rsidR="003B7027" w:rsidRPr="0028514E" w:rsidRDefault="00296A74" w:rsidP="003C43CF">
            <w:pPr>
              <w:pStyle w:val="TableParagraph"/>
              <w:suppressAutoHyphens/>
            </w:pPr>
            <w:r w:rsidRPr="0028514E">
              <w:t>Hypokalemia</w:t>
            </w:r>
          </w:p>
        </w:tc>
      </w:tr>
      <w:tr w:rsidR="003B7027" w:rsidRPr="00777B93" w14:paraId="1CF83A97" w14:textId="77777777" w:rsidTr="00C96C2E">
        <w:trPr>
          <w:cantSplit/>
        </w:trPr>
        <w:tc>
          <w:tcPr>
            <w:tcW w:w="2545" w:type="dxa"/>
          </w:tcPr>
          <w:p w14:paraId="24E6F2C0" w14:textId="77777777" w:rsidR="003B7027" w:rsidRPr="0028514E" w:rsidRDefault="00296A74" w:rsidP="003C43CF">
            <w:pPr>
              <w:pStyle w:val="TableParagraph"/>
              <w:suppressAutoHyphens/>
            </w:pPr>
            <w:r w:rsidRPr="0028514E">
              <w:t>Psyykkiset häiriöt</w:t>
            </w:r>
          </w:p>
        </w:tc>
        <w:tc>
          <w:tcPr>
            <w:tcW w:w="3085" w:type="dxa"/>
          </w:tcPr>
          <w:p w14:paraId="4AFB6AA5" w14:textId="77777777" w:rsidR="003B7027" w:rsidRPr="0028514E" w:rsidRDefault="003B7027" w:rsidP="003C43CF">
            <w:pPr>
              <w:pStyle w:val="TableParagraph"/>
              <w:suppressAutoHyphens/>
              <w:rPr>
                <w:sz w:val="20"/>
              </w:rPr>
            </w:pPr>
          </w:p>
        </w:tc>
        <w:tc>
          <w:tcPr>
            <w:tcW w:w="3296" w:type="dxa"/>
          </w:tcPr>
          <w:p w14:paraId="2A370CF1" w14:textId="77777777" w:rsidR="003B7027" w:rsidRPr="0028514E" w:rsidRDefault="00296A74" w:rsidP="003C43CF">
            <w:pPr>
              <w:pStyle w:val="TableParagraph"/>
              <w:suppressAutoHyphens/>
            </w:pPr>
            <w:r w:rsidRPr="0028514E">
              <w:t>Ahdistuneisuus,</w:t>
            </w:r>
            <w:r w:rsidR="00A747A8" w:rsidRPr="0028514E">
              <w:t xml:space="preserve"> </w:t>
            </w:r>
            <w:r w:rsidRPr="0028514E">
              <w:t>unettomuus</w:t>
            </w:r>
          </w:p>
        </w:tc>
      </w:tr>
      <w:tr w:rsidR="003B7027" w:rsidRPr="00777B93" w14:paraId="1D2CE7F2" w14:textId="77777777" w:rsidTr="00C96C2E">
        <w:trPr>
          <w:cantSplit/>
        </w:trPr>
        <w:tc>
          <w:tcPr>
            <w:tcW w:w="2545" w:type="dxa"/>
          </w:tcPr>
          <w:p w14:paraId="79EC7FCE" w14:textId="77777777" w:rsidR="003B7027" w:rsidRPr="0028514E" w:rsidRDefault="00296A74" w:rsidP="003C43CF">
            <w:pPr>
              <w:pStyle w:val="TableParagraph"/>
              <w:suppressAutoHyphens/>
            </w:pPr>
            <w:r w:rsidRPr="0028514E">
              <w:t>Verisuonisto</w:t>
            </w:r>
          </w:p>
        </w:tc>
        <w:tc>
          <w:tcPr>
            <w:tcW w:w="3085" w:type="dxa"/>
          </w:tcPr>
          <w:p w14:paraId="00EFF096" w14:textId="77777777" w:rsidR="003B7027" w:rsidRPr="0028514E" w:rsidRDefault="003B7027" w:rsidP="003C43CF">
            <w:pPr>
              <w:pStyle w:val="TableParagraph"/>
              <w:suppressAutoHyphens/>
              <w:rPr>
                <w:sz w:val="20"/>
              </w:rPr>
            </w:pPr>
          </w:p>
        </w:tc>
        <w:tc>
          <w:tcPr>
            <w:tcW w:w="3296" w:type="dxa"/>
          </w:tcPr>
          <w:p w14:paraId="0FED4997" w14:textId="77777777" w:rsidR="003B7027" w:rsidRPr="0028514E" w:rsidRDefault="00296A74" w:rsidP="003C43CF">
            <w:pPr>
              <w:pStyle w:val="TableParagraph"/>
              <w:suppressAutoHyphens/>
            </w:pPr>
            <w:r w:rsidRPr="0028514E">
              <w:t>Hypertensio</w:t>
            </w:r>
          </w:p>
        </w:tc>
      </w:tr>
      <w:tr w:rsidR="003B7027" w:rsidRPr="00777B93" w14:paraId="1147A43D" w14:textId="77777777" w:rsidTr="00C96C2E">
        <w:trPr>
          <w:cantSplit/>
        </w:trPr>
        <w:tc>
          <w:tcPr>
            <w:tcW w:w="2545" w:type="dxa"/>
          </w:tcPr>
          <w:p w14:paraId="5ECAF5D5" w14:textId="77777777" w:rsidR="003B7027" w:rsidRPr="0028514E" w:rsidRDefault="00296A74" w:rsidP="003C43CF">
            <w:pPr>
              <w:pStyle w:val="TableParagraph"/>
              <w:suppressAutoHyphens/>
            </w:pPr>
            <w:r w:rsidRPr="0028514E">
              <w:t>Ruoansulatuselimistö</w:t>
            </w:r>
          </w:p>
        </w:tc>
        <w:tc>
          <w:tcPr>
            <w:tcW w:w="3085" w:type="dxa"/>
          </w:tcPr>
          <w:p w14:paraId="2B45D671" w14:textId="77777777" w:rsidR="003B7027" w:rsidRPr="0028514E" w:rsidRDefault="003B7027" w:rsidP="003C43CF">
            <w:pPr>
              <w:pStyle w:val="TableParagraph"/>
              <w:suppressAutoHyphens/>
              <w:rPr>
                <w:sz w:val="20"/>
              </w:rPr>
            </w:pPr>
          </w:p>
        </w:tc>
        <w:tc>
          <w:tcPr>
            <w:tcW w:w="3296" w:type="dxa"/>
          </w:tcPr>
          <w:p w14:paraId="314077FB" w14:textId="77777777" w:rsidR="003B7027" w:rsidRPr="0028514E" w:rsidRDefault="00296A74" w:rsidP="003C43CF">
            <w:pPr>
              <w:pStyle w:val="TableParagraph"/>
              <w:suppressAutoHyphens/>
            </w:pPr>
            <w:r w:rsidRPr="0028514E">
              <w:t>Ummetus, ripuli,</w:t>
            </w:r>
            <w:r w:rsidR="00A747A8" w:rsidRPr="0028514E">
              <w:t xml:space="preserve"> </w:t>
            </w:r>
            <w:r w:rsidRPr="0028514E">
              <w:t>pahoinvointi</w:t>
            </w:r>
          </w:p>
        </w:tc>
      </w:tr>
      <w:tr w:rsidR="003B7027" w:rsidRPr="00777B93" w14:paraId="24A243B4" w14:textId="77777777" w:rsidTr="00C96C2E">
        <w:trPr>
          <w:cantSplit/>
        </w:trPr>
        <w:tc>
          <w:tcPr>
            <w:tcW w:w="2545" w:type="dxa"/>
          </w:tcPr>
          <w:p w14:paraId="047479A7" w14:textId="77777777" w:rsidR="003B7027" w:rsidRPr="0028514E" w:rsidRDefault="00296A74" w:rsidP="003C43CF">
            <w:pPr>
              <w:pStyle w:val="TableParagraph"/>
              <w:suppressAutoHyphens/>
            </w:pPr>
            <w:r w:rsidRPr="0028514E">
              <w:t>Maksa ja sappi</w:t>
            </w:r>
          </w:p>
        </w:tc>
        <w:tc>
          <w:tcPr>
            <w:tcW w:w="3085" w:type="dxa"/>
          </w:tcPr>
          <w:p w14:paraId="036BA5B5" w14:textId="77777777" w:rsidR="003B7027" w:rsidRPr="0028514E" w:rsidRDefault="003B7027" w:rsidP="003C43CF">
            <w:pPr>
              <w:pStyle w:val="TableParagraph"/>
              <w:suppressAutoHyphens/>
              <w:rPr>
                <w:sz w:val="20"/>
              </w:rPr>
            </w:pPr>
          </w:p>
        </w:tc>
        <w:tc>
          <w:tcPr>
            <w:tcW w:w="3296" w:type="dxa"/>
          </w:tcPr>
          <w:p w14:paraId="53C0C068" w14:textId="77777777" w:rsidR="003B7027" w:rsidRPr="0028514E" w:rsidRDefault="00296A74" w:rsidP="003C43CF">
            <w:pPr>
              <w:pStyle w:val="TableParagraph"/>
              <w:suppressAutoHyphens/>
            </w:pPr>
            <w:r w:rsidRPr="0028514E">
              <w:t>Maksan transaminaasiarvojen</w:t>
            </w:r>
            <w:r w:rsidR="00A747A8" w:rsidRPr="0028514E">
              <w:t xml:space="preserve"> </w:t>
            </w:r>
            <w:r w:rsidRPr="0028514E">
              <w:t>nousu</w:t>
            </w:r>
          </w:p>
        </w:tc>
      </w:tr>
    </w:tbl>
    <w:p w14:paraId="000C15C7" w14:textId="77777777" w:rsidR="003B7027" w:rsidRPr="00CA43F5" w:rsidRDefault="00296A74" w:rsidP="00920FF7">
      <w:pPr>
        <w:ind w:left="284" w:hanging="284"/>
        <w:rPr>
          <w:sz w:val="18"/>
          <w:szCs w:val="21"/>
          <w:lang w:val="fi-FI"/>
        </w:rPr>
      </w:pPr>
      <w:r w:rsidRPr="00CA43F5">
        <w:rPr>
          <w:sz w:val="18"/>
          <w:szCs w:val="21"/>
          <w:vertAlign w:val="superscript"/>
          <w:lang w:val="fi-FI"/>
        </w:rPr>
        <w:t>1</w:t>
      </w:r>
      <w:r w:rsidR="00A747A8" w:rsidRPr="00CA43F5">
        <w:rPr>
          <w:sz w:val="18"/>
          <w:szCs w:val="21"/>
          <w:lang w:val="fi-FI"/>
        </w:rPr>
        <w:tab/>
      </w:r>
      <w:r w:rsidRPr="00CA43F5">
        <w:rPr>
          <w:sz w:val="18"/>
          <w:szCs w:val="21"/>
          <w:lang w:val="fi-FI"/>
        </w:rPr>
        <w:t>Potilaat on laskettu kussakin luokassa kerran reaktioiden lukumäärästä riippumatta</w:t>
      </w:r>
    </w:p>
    <w:p w14:paraId="6AAC2E69" w14:textId="77777777" w:rsidR="003B7027" w:rsidRPr="00CA43F5" w:rsidRDefault="00296A74" w:rsidP="00920FF7">
      <w:pPr>
        <w:ind w:left="284" w:hanging="284"/>
        <w:rPr>
          <w:sz w:val="18"/>
          <w:szCs w:val="21"/>
          <w:lang w:val="fi-FI"/>
        </w:rPr>
      </w:pPr>
      <w:r w:rsidRPr="00CA43F5">
        <w:rPr>
          <w:sz w:val="18"/>
          <w:szCs w:val="21"/>
          <w:vertAlign w:val="superscript"/>
          <w:lang w:val="fi-FI"/>
        </w:rPr>
        <w:t>2</w:t>
      </w:r>
      <w:r w:rsidR="00A747A8" w:rsidRPr="00CA43F5">
        <w:rPr>
          <w:sz w:val="18"/>
          <w:szCs w:val="21"/>
          <w:lang w:val="fi-FI"/>
        </w:rPr>
        <w:tab/>
      </w:r>
      <w:r w:rsidRPr="00CA43F5">
        <w:rPr>
          <w:sz w:val="18"/>
          <w:szCs w:val="21"/>
          <w:lang w:val="fi-FI"/>
        </w:rPr>
        <w:t>Sisältää tutkimuksissa WA42511, WA42380 ja ML42528 raportoidut varmistetut reaktiot</w:t>
      </w:r>
    </w:p>
    <w:p w14:paraId="6A7D580C" w14:textId="77777777" w:rsidR="003B7027" w:rsidRPr="0028514E" w:rsidRDefault="003B7027" w:rsidP="006E5F9A">
      <w:pPr>
        <w:pStyle w:val="a4"/>
        <w:ind w:left="0"/>
        <w:rPr>
          <w:sz w:val="20"/>
        </w:rPr>
      </w:pPr>
    </w:p>
    <w:p w14:paraId="65A7AD08" w14:textId="77777777" w:rsidR="003B7027" w:rsidRPr="0028514E" w:rsidRDefault="00296A74" w:rsidP="006E5F9A">
      <w:pPr>
        <w:pStyle w:val="a4"/>
        <w:ind w:left="0"/>
      </w:pPr>
      <w:r w:rsidRPr="0028514E">
        <w:rPr>
          <w:u w:val="single"/>
        </w:rPr>
        <w:t>Valikoitujen haittavaikutusten kuvaus</w:t>
      </w:r>
    </w:p>
    <w:p w14:paraId="6CA60297" w14:textId="77777777" w:rsidR="003B7027" w:rsidRPr="0028514E" w:rsidRDefault="003B7027" w:rsidP="006E5F9A">
      <w:pPr>
        <w:pStyle w:val="a4"/>
        <w:ind w:left="0"/>
      </w:pPr>
    </w:p>
    <w:p w14:paraId="37BE5045" w14:textId="77777777" w:rsidR="003B7027" w:rsidRPr="00CA43F5" w:rsidRDefault="00296A74" w:rsidP="006E5F9A">
      <w:pPr>
        <w:rPr>
          <w:i/>
          <w:lang w:val="fi-FI"/>
        </w:rPr>
      </w:pPr>
      <w:r w:rsidRPr="00CA43F5">
        <w:rPr>
          <w:i/>
          <w:u w:val="single"/>
          <w:lang w:val="fi-FI"/>
        </w:rPr>
        <w:t>Infektiot</w:t>
      </w:r>
    </w:p>
    <w:p w14:paraId="1B1A32D2" w14:textId="77777777" w:rsidR="003B7027" w:rsidRPr="0028514E" w:rsidRDefault="00296A74" w:rsidP="006E5F9A">
      <w:pPr>
        <w:pStyle w:val="a4"/>
        <w:ind w:left="0"/>
      </w:pPr>
      <w:r w:rsidRPr="0028514E">
        <w:t>Infektioiden / vakavien infektioon liittyvien tapahtumien esiintyvyys tutkimusten ML42528, WA42380 ja WA42511 turvallisuuden osalta arvioitavissa olleessa yhdistetyssä potilasjoukossa oli tasapainossa tosilitsumabia saaneiden (30,3 % / 18,6 %, n = 974) ja lumelääkettä saaneiden</w:t>
      </w:r>
      <w:r w:rsidR="00A747A8" w:rsidRPr="0028514E">
        <w:t xml:space="preserve"> </w:t>
      </w:r>
      <w:r w:rsidRPr="0028514E">
        <w:t>(32,1 % / 22,8 %, n = 483) COVID-19-potilaiden välillä.</w:t>
      </w:r>
    </w:p>
    <w:p w14:paraId="571C6E44" w14:textId="77777777" w:rsidR="00A747A8" w:rsidRPr="0028514E" w:rsidRDefault="00A747A8" w:rsidP="006E5F9A">
      <w:pPr>
        <w:pStyle w:val="a4"/>
        <w:ind w:left="0"/>
      </w:pPr>
    </w:p>
    <w:p w14:paraId="78BF0795" w14:textId="77777777" w:rsidR="003B7027" w:rsidRPr="0028514E" w:rsidRDefault="00296A74" w:rsidP="006E5F9A">
      <w:pPr>
        <w:pStyle w:val="a4"/>
        <w:ind w:left="0"/>
      </w:pPr>
      <w:r w:rsidRPr="0028514E">
        <w:t>Lähtötilanteessa systeemistä kortikosteroidihoitoa saaneen ryhmän havaittu turvallisuusprofiili oli yhdenmukainen koko potilasjoukon tosilitsumabia koskevan turvallisuusprofiilin kanssa, kuten taulukossa 2 esitetään. Tässä alaryhmässä tosilitsumabia laskimoon saaneista potilaista 27,8 %:lla esiintyi infektioita ja 18,1 %:lla vakavia infektioita ja kun taas lumehoitoa saaneista potilaista 30,5 %:lla esiintyi infektioita ja 22,9 %:lla vakavia infektioita.</w:t>
      </w:r>
    </w:p>
    <w:p w14:paraId="5392DA03" w14:textId="77777777" w:rsidR="00A747A8" w:rsidRPr="0028514E" w:rsidRDefault="00A747A8" w:rsidP="006E5F9A">
      <w:pPr>
        <w:pStyle w:val="a4"/>
        <w:ind w:left="0"/>
      </w:pPr>
    </w:p>
    <w:p w14:paraId="43C27ABC" w14:textId="77777777" w:rsidR="003B7027" w:rsidRPr="00CA43F5" w:rsidRDefault="00296A74" w:rsidP="006E5F9A">
      <w:pPr>
        <w:rPr>
          <w:i/>
          <w:lang w:val="fi-FI"/>
        </w:rPr>
      </w:pPr>
      <w:r w:rsidRPr="00CA43F5">
        <w:rPr>
          <w:i/>
          <w:u w:val="single"/>
          <w:lang w:val="fi-FI"/>
        </w:rPr>
        <w:t>Poikkeavat laboratorioarvot</w:t>
      </w:r>
    </w:p>
    <w:p w14:paraId="16EB4961" w14:textId="1D3BFCBE" w:rsidR="003B7027" w:rsidRPr="0028514E" w:rsidRDefault="00296A74" w:rsidP="006E5F9A">
      <w:pPr>
        <w:pStyle w:val="a4"/>
        <w:ind w:left="0"/>
      </w:pPr>
      <w:r w:rsidRPr="0028514E">
        <w:t xml:space="preserve">Poikkeavien laboratorioarvojen ilmaantuvuus satunnaistetuissa, kaksoissokkoutetuissa lumekontrolloiduissa tutkimuksissa oli muutamaa poikkeusta lukuun ottamatta yleensä samankaltainen COVID-19-potilailla, jotka saivat yhden tai kaksi annosta </w:t>
      </w:r>
      <w:r w:rsidR="00525031">
        <w:t>tosilitsumabia</w:t>
      </w:r>
      <w:r w:rsidRPr="0028514E">
        <w:t xml:space="preserve"> laskimoon, verrattuna lumelääkettä saaneisiin potilaisiin. Trombosyyttien ja neutrofiilien väheneminen ja ALAT- ja ASAT-arvojen kohoaminen olivat yleisempiä </w:t>
      </w:r>
      <w:r w:rsidR="00525031">
        <w:t>tosilitsumabia</w:t>
      </w:r>
      <w:r w:rsidRPr="0028514E">
        <w:t xml:space="preserve"> laskimoon saaneilla kuin lumelääkettä saaneilla potilailla (ks. kohta 4.2 ja 4.4).</w:t>
      </w:r>
    </w:p>
    <w:p w14:paraId="5B6AC1DD" w14:textId="77777777" w:rsidR="003B7027" w:rsidRPr="0028514E" w:rsidRDefault="003B7027" w:rsidP="006E5F9A">
      <w:pPr>
        <w:pStyle w:val="a4"/>
        <w:ind w:left="0"/>
      </w:pPr>
    </w:p>
    <w:p w14:paraId="299C1AE5" w14:textId="77777777" w:rsidR="003B7027" w:rsidRPr="0028514E" w:rsidRDefault="00296A74" w:rsidP="00883282">
      <w:pPr>
        <w:pStyle w:val="a4"/>
        <w:keepNext/>
        <w:ind w:left="0"/>
      </w:pPr>
      <w:r w:rsidRPr="0028514E">
        <w:rPr>
          <w:u w:val="single"/>
        </w:rPr>
        <w:t>Yleisoireista lastenreumaa tai lasten aktiivista polyartriittia sairastavat potilaat</w:t>
      </w:r>
    </w:p>
    <w:p w14:paraId="64C09456" w14:textId="77777777" w:rsidR="003B7027" w:rsidRPr="0028514E" w:rsidRDefault="003B7027" w:rsidP="00883282">
      <w:pPr>
        <w:pStyle w:val="a4"/>
        <w:keepNext/>
        <w:ind w:left="0"/>
      </w:pPr>
    </w:p>
    <w:p w14:paraId="4B079C94" w14:textId="77777777" w:rsidR="003B7027" w:rsidRPr="0028514E" w:rsidRDefault="00296A74" w:rsidP="006E5F9A">
      <w:pPr>
        <w:pStyle w:val="a4"/>
        <w:ind w:left="0"/>
      </w:pPr>
      <w:r w:rsidRPr="0028514E">
        <w:t>Tiivistelmä tosilitsumabin turvallisuusprofiilista pediatrisille potilaille käyttöaiheissa polyartriitti ja yleisoireinen lastenreuma esitetään alempana. Polyartriittia ja yleisoireista lastenreumaa sairastavilla potilailla todetut haittavaikutukset olivat yleensä luonteeltaan samanlaisia kuin nivelreumapotilailla raportoidut, ks. kohta 4.8.</w:t>
      </w:r>
    </w:p>
    <w:p w14:paraId="7E0EC4D6" w14:textId="77777777" w:rsidR="00A747A8" w:rsidRPr="0028514E" w:rsidRDefault="00A747A8" w:rsidP="006E5F9A">
      <w:pPr>
        <w:pStyle w:val="a4"/>
        <w:ind w:left="0"/>
      </w:pPr>
    </w:p>
    <w:p w14:paraId="17A2353D" w14:textId="77777777" w:rsidR="003B7027" w:rsidRPr="0028514E" w:rsidRDefault="00296A74" w:rsidP="006E5F9A">
      <w:pPr>
        <w:pStyle w:val="a4"/>
        <w:ind w:left="0"/>
      </w:pPr>
      <w:r w:rsidRPr="0028514E">
        <w:t>Polyartriittia ja yleisoireista lastenreumaa sairastavilla potilailla todetut haittavaikutukset luetellaan taulukossa 3 MedDRA-elinjärjestelmän mukaan. Kunkin haittavaikutuksen vastaava yleisyysluokka perustuu seuraavaan esitystapaan: hyvin yleinen (≥ 1/10); yleinen (≥ 1/100, &lt; 1/10) ja melko harvinainen (≥ 1/1000, &lt;1/100).</w:t>
      </w:r>
    </w:p>
    <w:p w14:paraId="44E1236D" w14:textId="77777777" w:rsidR="003B7027" w:rsidRPr="0028514E" w:rsidRDefault="003B7027" w:rsidP="006E5F9A">
      <w:pPr>
        <w:pStyle w:val="a4"/>
        <w:ind w:left="0"/>
      </w:pPr>
    </w:p>
    <w:p w14:paraId="0C18E444" w14:textId="77777777" w:rsidR="003B7027" w:rsidRPr="00CA43F5" w:rsidRDefault="00296A74" w:rsidP="00920FF7">
      <w:pPr>
        <w:pStyle w:val="Tabletitle"/>
        <w:rPr>
          <w:lang w:val="fi-FI"/>
        </w:rPr>
      </w:pPr>
      <w:r w:rsidRPr="00CA43F5">
        <w:rPr>
          <w:lang w:val="fi-FI"/>
        </w:rPr>
        <w:t>Taulukko 3:</w:t>
      </w:r>
      <w:r w:rsidR="00A747A8" w:rsidRPr="00CA43F5">
        <w:rPr>
          <w:lang w:val="fi-FI"/>
        </w:rPr>
        <w:tab/>
      </w:r>
      <w:r w:rsidRPr="00CA43F5">
        <w:rPr>
          <w:lang w:val="fi-FI"/>
        </w:rPr>
        <w:t>Lista yleisoireista lastenreumaa (sJIA) tai polyartriittia (pJIA) sairastavilla potilailla kliinisissä tutkimuksissa esiintyneistä haittavaikutuksista, kun tosilitsumabia annettiin monoterapiana tai yhdessä MTX:n kanssa</w:t>
      </w:r>
    </w:p>
    <w:p w14:paraId="31F9CC1C" w14:textId="77777777" w:rsidR="00A747A8" w:rsidRPr="00CA43F5" w:rsidRDefault="00A747A8" w:rsidP="00920FF7">
      <w:pPr>
        <w:rPr>
          <w:lang w:val="fi-FI"/>
        </w:rPr>
      </w:pPr>
    </w:p>
    <w:tbl>
      <w:tblPr>
        <w:tblW w:w="4956"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234"/>
        <w:gridCol w:w="2401"/>
        <w:gridCol w:w="1581"/>
        <w:gridCol w:w="1533"/>
        <w:gridCol w:w="1235"/>
      </w:tblGrid>
      <w:tr w:rsidR="003B7027" w:rsidRPr="00777B93" w14:paraId="362DF668" w14:textId="77777777" w:rsidTr="00C96C2E">
        <w:trPr>
          <w:cantSplit/>
        </w:trPr>
        <w:tc>
          <w:tcPr>
            <w:tcW w:w="2291" w:type="dxa"/>
          </w:tcPr>
          <w:p w14:paraId="57182BFB" w14:textId="77777777" w:rsidR="003B7027" w:rsidRPr="00920FF7" w:rsidRDefault="00296A74" w:rsidP="003C43CF">
            <w:pPr>
              <w:pStyle w:val="TableParagraph"/>
              <w:suppressAutoHyphens/>
              <w:rPr>
                <w:b/>
              </w:rPr>
            </w:pPr>
            <w:r w:rsidRPr="00920FF7">
              <w:rPr>
                <w:b/>
              </w:rPr>
              <w:t>MedDRA-elinjärjestelmäluokka</w:t>
            </w:r>
          </w:p>
        </w:tc>
        <w:tc>
          <w:tcPr>
            <w:tcW w:w="2463" w:type="dxa"/>
          </w:tcPr>
          <w:p w14:paraId="555C25E8" w14:textId="77777777" w:rsidR="003B7027" w:rsidRPr="00920FF7" w:rsidRDefault="00296A74" w:rsidP="003C43CF">
            <w:pPr>
              <w:pStyle w:val="TableParagraph"/>
              <w:suppressAutoHyphens/>
              <w:rPr>
                <w:b/>
              </w:rPr>
            </w:pPr>
            <w:r w:rsidRPr="00920FF7">
              <w:rPr>
                <w:b/>
              </w:rPr>
              <w:t>Suositeltu termi</w:t>
            </w:r>
          </w:p>
        </w:tc>
        <w:tc>
          <w:tcPr>
            <w:tcW w:w="4454" w:type="dxa"/>
            <w:gridSpan w:val="3"/>
          </w:tcPr>
          <w:p w14:paraId="4B271A6F" w14:textId="77777777" w:rsidR="003B7027" w:rsidRPr="00920FF7" w:rsidRDefault="00296A74" w:rsidP="003C43CF">
            <w:pPr>
              <w:pStyle w:val="TableParagraph"/>
              <w:suppressAutoHyphens/>
              <w:jc w:val="center"/>
              <w:rPr>
                <w:b/>
              </w:rPr>
            </w:pPr>
            <w:r w:rsidRPr="00920FF7">
              <w:rPr>
                <w:b/>
              </w:rPr>
              <w:t>Yleisyys</w:t>
            </w:r>
          </w:p>
        </w:tc>
      </w:tr>
      <w:tr w:rsidR="003B7027" w:rsidRPr="00777B93" w14:paraId="674509AB" w14:textId="77777777" w:rsidTr="00C96C2E">
        <w:trPr>
          <w:cantSplit/>
        </w:trPr>
        <w:tc>
          <w:tcPr>
            <w:tcW w:w="4754" w:type="dxa"/>
            <w:gridSpan w:val="2"/>
          </w:tcPr>
          <w:p w14:paraId="1C52C4B5" w14:textId="77777777" w:rsidR="003B7027" w:rsidRPr="00920FF7" w:rsidRDefault="00296A74" w:rsidP="003C43CF">
            <w:pPr>
              <w:pStyle w:val="TableParagraph"/>
              <w:suppressAutoHyphens/>
            </w:pPr>
            <w:r w:rsidRPr="00920FF7">
              <w:t>Infektiot</w:t>
            </w:r>
          </w:p>
        </w:tc>
        <w:tc>
          <w:tcPr>
            <w:tcW w:w="1620" w:type="dxa"/>
          </w:tcPr>
          <w:p w14:paraId="2E510DD3" w14:textId="77777777" w:rsidR="003B7027" w:rsidRPr="00920FF7" w:rsidRDefault="00296A74" w:rsidP="003C43CF">
            <w:pPr>
              <w:pStyle w:val="TableParagraph"/>
              <w:suppressAutoHyphens/>
            </w:pPr>
            <w:r w:rsidRPr="00920FF7">
              <w:t>Hyvin yleinen</w:t>
            </w:r>
          </w:p>
        </w:tc>
        <w:tc>
          <w:tcPr>
            <w:tcW w:w="1570" w:type="dxa"/>
          </w:tcPr>
          <w:p w14:paraId="768C28B9" w14:textId="77777777" w:rsidR="003B7027" w:rsidRPr="00920FF7" w:rsidRDefault="00296A74" w:rsidP="003C43CF">
            <w:pPr>
              <w:pStyle w:val="TableParagraph"/>
              <w:suppressAutoHyphens/>
            </w:pPr>
            <w:r w:rsidRPr="00920FF7">
              <w:t>Yleinen</w:t>
            </w:r>
          </w:p>
        </w:tc>
        <w:tc>
          <w:tcPr>
            <w:tcW w:w="1264" w:type="dxa"/>
          </w:tcPr>
          <w:p w14:paraId="7A032F93" w14:textId="77777777" w:rsidR="003B7027" w:rsidRPr="00920FF7" w:rsidRDefault="00296A74" w:rsidP="003C43CF">
            <w:pPr>
              <w:pStyle w:val="TableParagraph"/>
              <w:suppressAutoHyphens/>
            </w:pPr>
            <w:r w:rsidRPr="00920FF7">
              <w:t>Melko</w:t>
            </w:r>
            <w:r w:rsidR="00A747A8" w:rsidRPr="00920FF7">
              <w:t xml:space="preserve"> </w:t>
            </w:r>
            <w:r w:rsidRPr="00920FF7">
              <w:t>harvinainen</w:t>
            </w:r>
          </w:p>
        </w:tc>
      </w:tr>
      <w:tr w:rsidR="003B7027" w:rsidRPr="00777B93" w14:paraId="4C129B46" w14:textId="77777777" w:rsidTr="00C96C2E">
        <w:trPr>
          <w:cantSplit/>
        </w:trPr>
        <w:tc>
          <w:tcPr>
            <w:tcW w:w="2291" w:type="dxa"/>
          </w:tcPr>
          <w:p w14:paraId="5E90DB48" w14:textId="77777777" w:rsidR="003B7027" w:rsidRPr="00920FF7" w:rsidRDefault="003B7027" w:rsidP="003C43CF">
            <w:pPr>
              <w:pStyle w:val="TableParagraph"/>
              <w:suppressAutoHyphens/>
            </w:pPr>
          </w:p>
        </w:tc>
        <w:tc>
          <w:tcPr>
            <w:tcW w:w="2463" w:type="dxa"/>
          </w:tcPr>
          <w:p w14:paraId="76394427" w14:textId="77777777" w:rsidR="003B7027" w:rsidRPr="00920FF7" w:rsidRDefault="00296A74" w:rsidP="003C43CF">
            <w:pPr>
              <w:pStyle w:val="TableParagraph"/>
              <w:suppressAutoHyphens/>
            </w:pPr>
            <w:r w:rsidRPr="00920FF7">
              <w:t>Ylähengitystieinfektiot</w:t>
            </w:r>
          </w:p>
        </w:tc>
        <w:tc>
          <w:tcPr>
            <w:tcW w:w="1620" w:type="dxa"/>
          </w:tcPr>
          <w:p w14:paraId="0DF874B2" w14:textId="77777777" w:rsidR="003B7027" w:rsidRPr="00920FF7" w:rsidRDefault="00296A74" w:rsidP="003C43CF">
            <w:pPr>
              <w:pStyle w:val="TableParagraph"/>
              <w:suppressAutoHyphens/>
            </w:pPr>
            <w:r w:rsidRPr="00920FF7">
              <w:t>pJIA, sJIA</w:t>
            </w:r>
          </w:p>
        </w:tc>
        <w:tc>
          <w:tcPr>
            <w:tcW w:w="1570" w:type="dxa"/>
          </w:tcPr>
          <w:p w14:paraId="0FA19321" w14:textId="77777777" w:rsidR="003B7027" w:rsidRPr="00920FF7" w:rsidRDefault="003B7027" w:rsidP="003C43CF">
            <w:pPr>
              <w:pStyle w:val="TableParagraph"/>
              <w:suppressAutoHyphens/>
            </w:pPr>
          </w:p>
        </w:tc>
        <w:tc>
          <w:tcPr>
            <w:tcW w:w="1264" w:type="dxa"/>
          </w:tcPr>
          <w:p w14:paraId="449610E3" w14:textId="77777777" w:rsidR="003B7027" w:rsidRPr="00920FF7" w:rsidRDefault="003B7027" w:rsidP="003C43CF">
            <w:pPr>
              <w:pStyle w:val="TableParagraph"/>
              <w:suppressAutoHyphens/>
            </w:pPr>
          </w:p>
        </w:tc>
      </w:tr>
      <w:tr w:rsidR="003B7027" w:rsidRPr="00777B93" w14:paraId="778CA422" w14:textId="77777777" w:rsidTr="00C96C2E">
        <w:trPr>
          <w:cantSplit/>
        </w:trPr>
        <w:tc>
          <w:tcPr>
            <w:tcW w:w="2291" w:type="dxa"/>
          </w:tcPr>
          <w:p w14:paraId="00DB98DC" w14:textId="77777777" w:rsidR="003B7027" w:rsidRPr="00920FF7" w:rsidRDefault="003B7027" w:rsidP="003C43CF">
            <w:pPr>
              <w:pStyle w:val="TableParagraph"/>
              <w:suppressAutoHyphens/>
            </w:pPr>
          </w:p>
        </w:tc>
        <w:tc>
          <w:tcPr>
            <w:tcW w:w="2463" w:type="dxa"/>
          </w:tcPr>
          <w:p w14:paraId="0383EDE4" w14:textId="77777777" w:rsidR="003B7027" w:rsidRPr="00920FF7" w:rsidRDefault="00296A74" w:rsidP="003C43CF">
            <w:pPr>
              <w:pStyle w:val="TableParagraph"/>
              <w:suppressAutoHyphens/>
            </w:pPr>
            <w:r w:rsidRPr="00920FF7">
              <w:t>Nasofaryngiitti</w:t>
            </w:r>
          </w:p>
        </w:tc>
        <w:tc>
          <w:tcPr>
            <w:tcW w:w="1620" w:type="dxa"/>
          </w:tcPr>
          <w:p w14:paraId="7749FF9E" w14:textId="77777777" w:rsidR="003B7027" w:rsidRPr="00920FF7" w:rsidRDefault="00296A74" w:rsidP="003C43CF">
            <w:pPr>
              <w:pStyle w:val="TableParagraph"/>
              <w:suppressAutoHyphens/>
            </w:pPr>
            <w:r w:rsidRPr="00920FF7">
              <w:t>pJIA, sJIA</w:t>
            </w:r>
          </w:p>
        </w:tc>
        <w:tc>
          <w:tcPr>
            <w:tcW w:w="1570" w:type="dxa"/>
          </w:tcPr>
          <w:p w14:paraId="6CE05A26" w14:textId="77777777" w:rsidR="003B7027" w:rsidRPr="00920FF7" w:rsidRDefault="003B7027" w:rsidP="003C43CF">
            <w:pPr>
              <w:pStyle w:val="TableParagraph"/>
              <w:suppressAutoHyphens/>
            </w:pPr>
          </w:p>
        </w:tc>
        <w:tc>
          <w:tcPr>
            <w:tcW w:w="1264" w:type="dxa"/>
          </w:tcPr>
          <w:p w14:paraId="75EF473B" w14:textId="77777777" w:rsidR="003B7027" w:rsidRPr="00920FF7" w:rsidRDefault="003B7027" w:rsidP="003C43CF">
            <w:pPr>
              <w:pStyle w:val="TableParagraph"/>
              <w:suppressAutoHyphens/>
            </w:pPr>
          </w:p>
        </w:tc>
      </w:tr>
      <w:tr w:rsidR="003B7027" w:rsidRPr="00777B93" w14:paraId="71B29BAE" w14:textId="77777777" w:rsidTr="00C96C2E">
        <w:trPr>
          <w:cantSplit/>
        </w:trPr>
        <w:tc>
          <w:tcPr>
            <w:tcW w:w="4754" w:type="dxa"/>
            <w:gridSpan w:val="2"/>
          </w:tcPr>
          <w:p w14:paraId="6981965F" w14:textId="77777777" w:rsidR="003B7027" w:rsidRPr="00920FF7" w:rsidRDefault="00296A74" w:rsidP="003C43CF">
            <w:pPr>
              <w:pStyle w:val="TableParagraph"/>
              <w:suppressAutoHyphens/>
            </w:pPr>
            <w:r w:rsidRPr="00920FF7">
              <w:t>Hermosto</w:t>
            </w:r>
          </w:p>
        </w:tc>
        <w:tc>
          <w:tcPr>
            <w:tcW w:w="1620" w:type="dxa"/>
          </w:tcPr>
          <w:p w14:paraId="2B72BB9D" w14:textId="77777777" w:rsidR="003B7027" w:rsidRPr="00920FF7" w:rsidRDefault="003B7027" w:rsidP="003C43CF">
            <w:pPr>
              <w:pStyle w:val="TableParagraph"/>
              <w:suppressAutoHyphens/>
            </w:pPr>
          </w:p>
        </w:tc>
        <w:tc>
          <w:tcPr>
            <w:tcW w:w="1570" w:type="dxa"/>
          </w:tcPr>
          <w:p w14:paraId="6B944E99" w14:textId="77777777" w:rsidR="003B7027" w:rsidRPr="00920FF7" w:rsidRDefault="003B7027" w:rsidP="003C43CF">
            <w:pPr>
              <w:pStyle w:val="TableParagraph"/>
              <w:suppressAutoHyphens/>
            </w:pPr>
          </w:p>
        </w:tc>
        <w:tc>
          <w:tcPr>
            <w:tcW w:w="1264" w:type="dxa"/>
          </w:tcPr>
          <w:p w14:paraId="3398383F" w14:textId="77777777" w:rsidR="003B7027" w:rsidRPr="00920FF7" w:rsidRDefault="003B7027" w:rsidP="003C43CF">
            <w:pPr>
              <w:pStyle w:val="TableParagraph"/>
              <w:suppressAutoHyphens/>
            </w:pPr>
          </w:p>
        </w:tc>
      </w:tr>
      <w:tr w:rsidR="003B7027" w:rsidRPr="00777B93" w14:paraId="7ECBCE17" w14:textId="77777777" w:rsidTr="00C96C2E">
        <w:trPr>
          <w:cantSplit/>
        </w:trPr>
        <w:tc>
          <w:tcPr>
            <w:tcW w:w="2291" w:type="dxa"/>
          </w:tcPr>
          <w:p w14:paraId="6C0B5765" w14:textId="77777777" w:rsidR="003B7027" w:rsidRPr="00920FF7" w:rsidRDefault="003B7027" w:rsidP="003C43CF">
            <w:pPr>
              <w:pStyle w:val="TableParagraph"/>
              <w:suppressAutoHyphens/>
            </w:pPr>
          </w:p>
        </w:tc>
        <w:tc>
          <w:tcPr>
            <w:tcW w:w="2463" w:type="dxa"/>
          </w:tcPr>
          <w:p w14:paraId="0A24C132" w14:textId="77777777" w:rsidR="003B7027" w:rsidRPr="00920FF7" w:rsidRDefault="00296A74" w:rsidP="003C43CF">
            <w:pPr>
              <w:pStyle w:val="TableParagraph"/>
              <w:suppressAutoHyphens/>
            </w:pPr>
            <w:r w:rsidRPr="00920FF7">
              <w:t>Päänsärky</w:t>
            </w:r>
          </w:p>
        </w:tc>
        <w:tc>
          <w:tcPr>
            <w:tcW w:w="1620" w:type="dxa"/>
          </w:tcPr>
          <w:p w14:paraId="3F144640" w14:textId="77777777" w:rsidR="003B7027" w:rsidRPr="00920FF7" w:rsidRDefault="00296A74" w:rsidP="003C43CF">
            <w:pPr>
              <w:pStyle w:val="TableParagraph"/>
              <w:suppressAutoHyphens/>
            </w:pPr>
            <w:r w:rsidRPr="00920FF7">
              <w:t>pJIA</w:t>
            </w:r>
          </w:p>
        </w:tc>
        <w:tc>
          <w:tcPr>
            <w:tcW w:w="1570" w:type="dxa"/>
          </w:tcPr>
          <w:p w14:paraId="07D7C9BD" w14:textId="77777777" w:rsidR="003B7027" w:rsidRPr="00920FF7" w:rsidRDefault="00296A74" w:rsidP="003C43CF">
            <w:pPr>
              <w:pStyle w:val="TableParagraph"/>
              <w:suppressAutoHyphens/>
            </w:pPr>
            <w:r w:rsidRPr="00920FF7">
              <w:t>sJIA</w:t>
            </w:r>
          </w:p>
        </w:tc>
        <w:tc>
          <w:tcPr>
            <w:tcW w:w="1264" w:type="dxa"/>
          </w:tcPr>
          <w:p w14:paraId="7C630BE2" w14:textId="77777777" w:rsidR="003B7027" w:rsidRPr="00920FF7" w:rsidRDefault="003B7027" w:rsidP="003C43CF">
            <w:pPr>
              <w:pStyle w:val="TableParagraph"/>
              <w:suppressAutoHyphens/>
            </w:pPr>
          </w:p>
        </w:tc>
      </w:tr>
      <w:tr w:rsidR="003B7027" w:rsidRPr="00777B93" w14:paraId="381CCA4D" w14:textId="77777777" w:rsidTr="00C96C2E">
        <w:trPr>
          <w:cantSplit/>
        </w:trPr>
        <w:tc>
          <w:tcPr>
            <w:tcW w:w="4754" w:type="dxa"/>
            <w:gridSpan w:val="2"/>
          </w:tcPr>
          <w:p w14:paraId="6BAE4542" w14:textId="77777777" w:rsidR="003B7027" w:rsidRPr="00920FF7" w:rsidRDefault="00296A74" w:rsidP="003C43CF">
            <w:pPr>
              <w:pStyle w:val="TableParagraph"/>
              <w:suppressAutoHyphens/>
            </w:pPr>
            <w:r w:rsidRPr="00920FF7">
              <w:t>Ruoansulatuselimistö</w:t>
            </w:r>
          </w:p>
        </w:tc>
        <w:tc>
          <w:tcPr>
            <w:tcW w:w="1620" w:type="dxa"/>
          </w:tcPr>
          <w:p w14:paraId="17A3ED64" w14:textId="77777777" w:rsidR="003B7027" w:rsidRPr="00920FF7" w:rsidRDefault="003B7027" w:rsidP="003C43CF">
            <w:pPr>
              <w:pStyle w:val="TableParagraph"/>
              <w:suppressAutoHyphens/>
            </w:pPr>
          </w:p>
        </w:tc>
        <w:tc>
          <w:tcPr>
            <w:tcW w:w="1570" w:type="dxa"/>
          </w:tcPr>
          <w:p w14:paraId="06D6C4E9" w14:textId="77777777" w:rsidR="003B7027" w:rsidRPr="00920FF7" w:rsidRDefault="003B7027" w:rsidP="003C43CF">
            <w:pPr>
              <w:pStyle w:val="TableParagraph"/>
              <w:suppressAutoHyphens/>
            </w:pPr>
          </w:p>
        </w:tc>
        <w:tc>
          <w:tcPr>
            <w:tcW w:w="1264" w:type="dxa"/>
          </w:tcPr>
          <w:p w14:paraId="784CDF3B" w14:textId="77777777" w:rsidR="003B7027" w:rsidRPr="00920FF7" w:rsidRDefault="003B7027" w:rsidP="003C43CF">
            <w:pPr>
              <w:pStyle w:val="TableParagraph"/>
              <w:suppressAutoHyphens/>
            </w:pPr>
          </w:p>
        </w:tc>
      </w:tr>
      <w:tr w:rsidR="003B7027" w:rsidRPr="00777B93" w14:paraId="0BB83325" w14:textId="77777777" w:rsidTr="00C96C2E">
        <w:trPr>
          <w:cantSplit/>
        </w:trPr>
        <w:tc>
          <w:tcPr>
            <w:tcW w:w="2291" w:type="dxa"/>
          </w:tcPr>
          <w:p w14:paraId="4389CD28" w14:textId="77777777" w:rsidR="003B7027" w:rsidRPr="00920FF7" w:rsidRDefault="003B7027" w:rsidP="003C43CF">
            <w:pPr>
              <w:pStyle w:val="TableParagraph"/>
              <w:suppressAutoHyphens/>
            </w:pPr>
          </w:p>
        </w:tc>
        <w:tc>
          <w:tcPr>
            <w:tcW w:w="2463" w:type="dxa"/>
          </w:tcPr>
          <w:p w14:paraId="18904190" w14:textId="77777777" w:rsidR="003B7027" w:rsidRPr="00920FF7" w:rsidRDefault="00296A74" w:rsidP="003C43CF">
            <w:pPr>
              <w:pStyle w:val="TableParagraph"/>
              <w:suppressAutoHyphens/>
            </w:pPr>
            <w:r w:rsidRPr="00920FF7">
              <w:t>Pahoinvointi</w:t>
            </w:r>
          </w:p>
        </w:tc>
        <w:tc>
          <w:tcPr>
            <w:tcW w:w="1620" w:type="dxa"/>
          </w:tcPr>
          <w:p w14:paraId="712FF678" w14:textId="77777777" w:rsidR="003B7027" w:rsidRPr="00920FF7" w:rsidRDefault="003B7027" w:rsidP="003C43CF">
            <w:pPr>
              <w:pStyle w:val="TableParagraph"/>
              <w:suppressAutoHyphens/>
            </w:pPr>
          </w:p>
        </w:tc>
        <w:tc>
          <w:tcPr>
            <w:tcW w:w="1570" w:type="dxa"/>
          </w:tcPr>
          <w:p w14:paraId="580F4C88" w14:textId="77777777" w:rsidR="003B7027" w:rsidRPr="00920FF7" w:rsidRDefault="00296A74" w:rsidP="003C43CF">
            <w:pPr>
              <w:pStyle w:val="TableParagraph"/>
              <w:suppressAutoHyphens/>
            </w:pPr>
            <w:r w:rsidRPr="00920FF7">
              <w:t>pJIA</w:t>
            </w:r>
          </w:p>
        </w:tc>
        <w:tc>
          <w:tcPr>
            <w:tcW w:w="1264" w:type="dxa"/>
          </w:tcPr>
          <w:p w14:paraId="5DF7EFD2" w14:textId="77777777" w:rsidR="003B7027" w:rsidRPr="00920FF7" w:rsidRDefault="003B7027" w:rsidP="003C43CF">
            <w:pPr>
              <w:pStyle w:val="TableParagraph"/>
              <w:suppressAutoHyphens/>
            </w:pPr>
          </w:p>
        </w:tc>
      </w:tr>
      <w:tr w:rsidR="003B7027" w:rsidRPr="00777B93" w14:paraId="6D4C952A" w14:textId="77777777" w:rsidTr="00C96C2E">
        <w:trPr>
          <w:cantSplit/>
        </w:trPr>
        <w:tc>
          <w:tcPr>
            <w:tcW w:w="2291" w:type="dxa"/>
          </w:tcPr>
          <w:p w14:paraId="348EBC7A" w14:textId="77777777" w:rsidR="003B7027" w:rsidRPr="00920FF7" w:rsidRDefault="003B7027" w:rsidP="003C43CF">
            <w:pPr>
              <w:pStyle w:val="TableParagraph"/>
              <w:suppressAutoHyphens/>
            </w:pPr>
          </w:p>
        </w:tc>
        <w:tc>
          <w:tcPr>
            <w:tcW w:w="2463" w:type="dxa"/>
          </w:tcPr>
          <w:p w14:paraId="62E16A56" w14:textId="77777777" w:rsidR="003B7027" w:rsidRPr="00920FF7" w:rsidRDefault="00296A74" w:rsidP="003C43CF">
            <w:pPr>
              <w:pStyle w:val="TableParagraph"/>
              <w:suppressAutoHyphens/>
            </w:pPr>
            <w:r w:rsidRPr="00920FF7">
              <w:t>Ripuli</w:t>
            </w:r>
          </w:p>
        </w:tc>
        <w:tc>
          <w:tcPr>
            <w:tcW w:w="1620" w:type="dxa"/>
          </w:tcPr>
          <w:p w14:paraId="7CB95329" w14:textId="77777777" w:rsidR="003B7027" w:rsidRPr="00920FF7" w:rsidRDefault="003B7027" w:rsidP="003C43CF">
            <w:pPr>
              <w:pStyle w:val="TableParagraph"/>
              <w:suppressAutoHyphens/>
            </w:pPr>
          </w:p>
        </w:tc>
        <w:tc>
          <w:tcPr>
            <w:tcW w:w="1570" w:type="dxa"/>
          </w:tcPr>
          <w:p w14:paraId="6CB837A4" w14:textId="77777777" w:rsidR="003B7027" w:rsidRPr="00920FF7" w:rsidRDefault="00296A74" w:rsidP="003C43CF">
            <w:pPr>
              <w:pStyle w:val="TableParagraph"/>
              <w:suppressAutoHyphens/>
            </w:pPr>
            <w:r w:rsidRPr="00920FF7">
              <w:t>pJIA, sJIA</w:t>
            </w:r>
          </w:p>
        </w:tc>
        <w:tc>
          <w:tcPr>
            <w:tcW w:w="1264" w:type="dxa"/>
          </w:tcPr>
          <w:p w14:paraId="723B7035" w14:textId="77777777" w:rsidR="003B7027" w:rsidRPr="00920FF7" w:rsidRDefault="003B7027" w:rsidP="003C43CF">
            <w:pPr>
              <w:pStyle w:val="TableParagraph"/>
              <w:suppressAutoHyphens/>
            </w:pPr>
          </w:p>
        </w:tc>
      </w:tr>
      <w:tr w:rsidR="003B7027" w:rsidRPr="00ED6BAC" w14:paraId="6ECFA53C" w14:textId="77777777" w:rsidTr="00C96C2E">
        <w:trPr>
          <w:cantSplit/>
        </w:trPr>
        <w:tc>
          <w:tcPr>
            <w:tcW w:w="4754" w:type="dxa"/>
            <w:gridSpan w:val="2"/>
          </w:tcPr>
          <w:p w14:paraId="2E036C76" w14:textId="77777777" w:rsidR="003B7027" w:rsidRPr="00920FF7" w:rsidRDefault="00296A74" w:rsidP="003C43CF">
            <w:pPr>
              <w:pStyle w:val="TableParagraph"/>
              <w:suppressAutoHyphens/>
            </w:pPr>
            <w:r w:rsidRPr="00920FF7">
              <w:t>Yleisoireet ja antopaikassa todettavat haitat</w:t>
            </w:r>
          </w:p>
        </w:tc>
        <w:tc>
          <w:tcPr>
            <w:tcW w:w="1620" w:type="dxa"/>
          </w:tcPr>
          <w:p w14:paraId="5464BC9D" w14:textId="77777777" w:rsidR="003B7027" w:rsidRPr="00920FF7" w:rsidRDefault="003B7027" w:rsidP="003C43CF">
            <w:pPr>
              <w:pStyle w:val="TableParagraph"/>
              <w:suppressAutoHyphens/>
            </w:pPr>
          </w:p>
        </w:tc>
        <w:tc>
          <w:tcPr>
            <w:tcW w:w="1570" w:type="dxa"/>
          </w:tcPr>
          <w:p w14:paraId="37A4B365" w14:textId="77777777" w:rsidR="003B7027" w:rsidRPr="00920FF7" w:rsidRDefault="003B7027" w:rsidP="003C43CF">
            <w:pPr>
              <w:pStyle w:val="TableParagraph"/>
              <w:suppressAutoHyphens/>
            </w:pPr>
          </w:p>
        </w:tc>
        <w:tc>
          <w:tcPr>
            <w:tcW w:w="1264" w:type="dxa"/>
          </w:tcPr>
          <w:p w14:paraId="4482F3CC" w14:textId="77777777" w:rsidR="003B7027" w:rsidRPr="00920FF7" w:rsidRDefault="003B7027" w:rsidP="003C43CF">
            <w:pPr>
              <w:pStyle w:val="TableParagraph"/>
              <w:suppressAutoHyphens/>
            </w:pPr>
          </w:p>
        </w:tc>
      </w:tr>
      <w:tr w:rsidR="003B7027" w:rsidRPr="00777B93" w14:paraId="668B6D14" w14:textId="77777777" w:rsidTr="00C96C2E">
        <w:trPr>
          <w:cantSplit/>
        </w:trPr>
        <w:tc>
          <w:tcPr>
            <w:tcW w:w="2291" w:type="dxa"/>
          </w:tcPr>
          <w:p w14:paraId="2F02DD9E" w14:textId="77777777" w:rsidR="003B7027" w:rsidRPr="00920FF7" w:rsidRDefault="003B7027" w:rsidP="003C43CF">
            <w:pPr>
              <w:pStyle w:val="TableParagraph"/>
              <w:suppressAutoHyphens/>
            </w:pPr>
          </w:p>
        </w:tc>
        <w:tc>
          <w:tcPr>
            <w:tcW w:w="2463" w:type="dxa"/>
          </w:tcPr>
          <w:p w14:paraId="1BFCC2C1" w14:textId="77777777" w:rsidR="003B7027" w:rsidRPr="00920FF7" w:rsidRDefault="00296A74" w:rsidP="003C43CF">
            <w:pPr>
              <w:pStyle w:val="TableParagraph"/>
              <w:suppressAutoHyphens/>
            </w:pPr>
            <w:r w:rsidRPr="00920FF7">
              <w:t>Infuusioon liittyvät reaktiot</w:t>
            </w:r>
          </w:p>
        </w:tc>
        <w:tc>
          <w:tcPr>
            <w:tcW w:w="1620" w:type="dxa"/>
          </w:tcPr>
          <w:p w14:paraId="4AC81D1C" w14:textId="77777777" w:rsidR="003B7027" w:rsidRPr="00920FF7" w:rsidRDefault="003B7027" w:rsidP="003C43CF">
            <w:pPr>
              <w:pStyle w:val="TableParagraph"/>
              <w:suppressAutoHyphens/>
            </w:pPr>
          </w:p>
        </w:tc>
        <w:tc>
          <w:tcPr>
            <w:tcW w:w="1570" w:type="dxa"/>
          </w:tcPr>
          <w:p w14:paraId="7A11A172" w14:textId="77777777" w:rsidR="003B7027" w:rsidRPr="00920FF7" w:rsidRDefault="00296A74" w:rsidP="003C43CF">
            <w:pPr>
              <w:pStyle w:val="TableParagraph"/>
              <w:suppressAutoHyphens/>
            </w:pPr>
            <w:r w:rsidRPr="00920FF7">
              <w:t>pJIA</w:t>
            </w:r>
            <w:r w:rsidRPr="00920FF7">
              <w:rPr>
                <w:vertAlign w:val="superscript"/>
              </w:rPr>
              <w:t>1</w:t>
            </w:r>
            <w:r w:rsidRPr="00920FF7">
              <w:t>, sJIA</w:t>
            </w:r>
            <w:r w:rsidRPr="00920FF7">
              <w:rPr>
                <w:vertAlign w:val="superscript"/>
              </w:rPr>
              <w:t>2</w:t>
            </w:r>
          </w:p>
        </w:tc>
        <w:tc>
          <w:tcPr>
            <w:tcW w:w="1264" w:type="dxa"/>
          </w:tcPr>
          <w:p w14:paraId="116B904C" w14:textId="77777777" w:rsidR="003B7027" w:rsidRPr="00920FF7" w:rsidRDefault="003B7027" w:rsidP="003C43CF">
            <w:pPr>
              <w:pStyle w:val="TableParagraph"/>
              <w:suppressAutoHyphens/>
            </w:pPr>
          </w:p>
        </w:tc>
      </w:tr>
      <w:tr w:rsidR="003B7027" w:rsidRPr="00777B93" w14:paraId="730774E2" w14:textId="77777777" w:rsidTr="00C96C2E">
        <w:trPr>
          <w:cantSplit/>
        </w:trPr>
        <w:tc>
          <w:tcPr>
            <w:tcW w:w="4754" w:type="dxa"/>
            <w:gridSpan w:val="2"/>
          </w:tcPr>
          <w:p w14:paraId="0DE47E52" w14:textId="77777777" w:rsidR="003B7027" w:rsidRPr="00920FF7" w:rsidRDefault="00296A74" w:rsidP="003C43CF">
            <w:pPr>
              <w:pStyle w:val="TableParagraph"/>
              <w:suppressAutoHyphens/>
            </w:pPr>
            <w:r w:rsidRPr="00920FF7">
              <w:t>Tutkimukset</w:t>
            </w:r>
          </w:p>
        </w:tc>
        <w:tc>
          <w:tcPr>
            <w:tcW w:w="1620" w:type="dxa"/>
          </w:tcPr>
          <w:p w14:paraId="11CED267" w14:textId="77777777" w:rsidR="003B7027" w:rsidRPr="00920FF7" w:rsidRDefault="003B7027" w:rsidP="003C43CF">
            <w:pPr>
              <w:pStyle w:val="TableParagraph"/>
              <w:suppressAutoHyphens/>
            </w:pPr>
          </w:p>
        </w:tc>
        <w:tc>
          <w:tcPr>
            <w:tcW w:w="1570" w:type="dxa"/>
          </w:tcPr>
          <w:p w14:paraId="466A7F40" w14:textId="77777777" w:rsidR="003B7027" w:rsidRPr="00920FF7" w:rsidRDefault="003B7027" w:rsidP="003C43CF">
            <w:pPr>
              <w:pStyle w:val="TableParagraph"/>
              <w:suppressAutoHyphens/>
            </w:pPr>
          </w:p>
        </w:tc>
        <w:tc>
          <w:tcPr>
            <w:tcW w:w="1264" w:type="dxa"/>
          </w:tcPr>
          <w:p w14:paraId="7EA09F2D" w14:textId="77777777" w:rsidR="003B7027" w:rsidRPr="00920FF7" w:rsidRDefault="003B7027" w:rsidP="003C43CF">
            <w:pPr>
              <w:pStyle w:val="TableParagraph"/>
              <w:suppressAutoHyphens/>
            </w:pPr>
          </w:p>
        </w:tc>
      </w:tr>
      <w:tr w:rsidR="003B7027" w:rsidRPr="00777B93" w14:paraId="369C2D1A" w14:textId="77777777" w:rsidTr="00C96C2E">
        <w:trPr>
          <w:cantSplit/>
        </w:trPr>
        <w:tc>
          <w:tcPr>
            <w:tcW w:w="2291" w:type="dxa"/>
          </w:tcPr>
          <w:p w14:paraId="001C05E8" w14:textId="77777777" w:rsidR="003B7027" w:rsidRPr="00920FF7" w:rsidRDefault="003B7027" w:rsidP="003C43CF">
            <w:pPr>
              <w:pStyle w:val="TableParagraph"/>
              <w:suppressAutoHyphens/>
            </w:pPr>
          </w:p>
        </w:tc>
        <w:tc>
          <w:tcPr>
            <w:tcW w:w="2463" w:type="dxa"/>
          </w:tcPr>
          <w:p w14:paraId="4E1B35E0" w14:textId="77777777" w:rsidR="003B7027" w:rsidRPr="00920FF7" w:rsidRDefault="00296A74" w:rsidP="003C43CF">
            <w:pPr>
              <w:pStyle w:val="TableParagraph"/>
              <w:suppressAutoHyphens/>
            </w:pPr>
            <w:r w:rsidRPr="00920FF7">
              <w:t>Maksan</w:t>
            </w:r>
            <w:r w:rsidR="00A747A8" w:rsidRPr="00920FF7">
              <w:t xml:space="preserve"> </w:t>
            </w:r>
            <w:r w:rsidRPr="00920FF7">
              <w:t>aminotransferaasiarvojen nousu</w:t>
            </w:r>
          </w:p>
        </w:tc>
        <w:tc>
          <w:tcPr>
            <w:tcW w:w="1620" w:type="dxa"/>
          </w:tcPr>
          <w:p w14:paraId="04EEACBE" w14:textId="77777777" w:rsidR="003B7027" w:rsidRPr="00920FF7" w:rsidRDefault="003B7027" w:rsidP="003C43CF">
            <w:pPr>
              <w:pStyle w:val="TableParagraph"/>
              <w:suppressAutoHyphens/>
            </w:pPr>
          </w:p>
        </w:tc>
        <w:tc>
          <w:tcPr>
            <w:tcW w:w="1570" w:type="dxa"/>
          </w:tcPr>
          <w:p w14:paraId="5365B922" w14:textId="77777777" w:rsidR="003B7027" w:rsidRPr="00920FF7" w:rsidRDefault="00296A74" w:rsidP="003C43CF">
            <w:pPr>
              <w:pStyle w:val="TableParagraph"/>
              <w:suppressAutoHyphens/>
            </w:pPr>
            <w:r w:rsidRPr="00920FF7">
              <w:t>pJIA</w:t>
            </w:r>
          </w:p>
        </w:tc>
        <w:tc>
          <w:tcPr>
            <w:tcW w:w="1264" w:type="dxa"/>
          </w:tcPr>
          <w:p w14:paraId="007C2B77" w14:textId="77777777" w:rsidR="003B7027" w:rsidRPr="00920FF7" w:rsidRDefault="003B7027" w:rsidP="003C43CF">
            <w:pPr>
              <w:pStyle w:val="TableParagraph"/>
              <w:suppressAutoHyphens/>
            </w:pPr>
          </w:p>
        </w:tc>
      </w:tr>
      <w:tr w:rsidR="003B7027" w:rsidRPr="00777B93" w14:paraId="5255BB7F" w14:textId="77777777" w:rsidTr="00C96C2E">
        <w:trPr>
          <w:cantSplit/>
        </w:trPr>
        <w:tc>
          <w:tcPr>
            <w:tcW w:w="2291" w:type="dxa"/>
          </w:tcPr>
          <w:p w14:paraId="207B131E" w14:textId="77777777" w:rsidR="003B7027" w:rsidRPr="00920FF7" w:rsidRDefault="003B7027" w:rsidP="003C43CF">
            <w:pPr>
              <w:pStyle w:val="TableParagraph"/>
              <w:suppressAutoHyphens/>
            </w:pPr>
          </w:p>
        </w:tc>
        <w:tc>
          <w:tcPr>
            <w:tcW w:w="2463" w:type="dxa"/>
          </w:tcPr>
          <w:p w14:paraId="2C992E95" w14:textId="77777777" w:rsidR="003B7027" w:rsidRPr="00920FF7" w:rsidRDefault="00296A74" w:rsidP="003C43CF">
            <w:pPr>
              <w:pStyle w:val="TableParagraph"/>
              <w:suppressAutoHyphens/>
            </w:pPr>
            <w:r w:rsidRPr="00920FF7">
              <w:t>Neutrofiiliarvojen lasku</w:t>
            </w:r>
          </w:p>
        </w:tc>
        <w:tc>
          <w:tcPr>
            <w:tcW w:w="1620" w:type="dxa"/>
          </w:tcPr>
          <w:p w14:paraId="0B9CC4F3" w14:textId="77777777" w:rsidR="003B7027" w:rsidRPr="00920FF7" w:rsidRDefault="00296A74" w:rsidP="003C43CF">
            <w:pPr>
              <w:pStyle w:val="TableParagraph"/>
              <w:suppressAutoHyphens/>
            </w:pPr>
            <w:r w:rsidRPr="00920FF7">
              <w:t>sJIA</w:t>
            </w:r>
          </w:p>
        </w:tc>
        <w:tc>
          <w:tcPr>
            <w:tcW w:w="1570" w:type="dxa"/>
          </w:tcPr>
          <w:p w14:paraId="183C684F" w14:textId="77777777" w:rsidR="003B7027" w:rsidRPr="00920FF7" w:rsidRDefault="00296A74" w:rsidP="003C43CF">
            <w:pPr>
              <w:pStyle w:val="TableParagraph"/>
              <w:suppressAutoHyphens/>
            </w:pPr>
            <w:r w:rsidRPr="00920FF7">
              <w:t>pJIA</w:t>
            </w:r>
          </w:p>
        </w:tc>
        <w:tc>
          <w:tcPr>
            <w:tcW w:w="1264" w:type="dxa"/>
          </w:tcPr>
          <w:p w14:paraId="607A63DB" w14:textId="77777777" w:rsidR="003B7027" w:rsidRPr="00920FF7" w:rsidRDefault="003B7027" w:rsidP="003C43CF">
            <w:pPr>
              <w:pStyle w:val="TableParagraph"/>
              <w:suppressAutoHyphens/>
            </w:pPr>
          </w:p>
        </w:tc>
      </w:tr>
      <w:tr w:rsidR="003B7027" w:rsidRPr="00777B93" w14:paraId="014837F4" w14:textId="77777777" w:rsidTr="00C96C2E">
        <w:trPr>
          <w:cantSplit/>
        </w:trPr>
        <w:tc>
          <w:tcPr>
            <w:tcW w:w="2291" w:type="dxa"/>
          </w:tcPr>
          <w:p w14:paraId="3E06E967" w14:textId="77777777" w:rsidR="003B7027" w:rsidRPr="00920FF7" w:rsidRDefault="003B7027" w:rsidP="003C43CF">
            <w:pPr>
              <w:pStyle w:val="TableParagraph"/>
              <w:suppressAutoHyphens/>
            </w:pPr>
          </w:p>
        </w:tc>
        <w:tc>
          <w:tcPr>
            <w:tcW w:w="2463" w:type="dxa"/>
          </w:tcPr>
          <w:p w14:paraId="2A34EE55" w14:textId="77777777" w:rsidR="003B7027" w:rsidRPr="00920FF7" w:rsidRDefault="00296A74" w:rsidP="003C43CF">
            <w:pPr>
              <w:pStyle w:val="TableParagraph"/>
              <w:suppressAutoHyphens/>
            </w:pPr>
            <w:r w:rsidRPr="00920FF7">
              <w:t>Trombosyyttiarvojen</w:t>
            </w:r>
            <w:r w:rsidR="00A747A8" w:rsidRPr="00920FF7">
              <w:t xml:space="preserve"> </w:t>
            </w:r>
            <w:r w:rsidRPr="00920FF7">
              <w:t>lasku</w:t>
            </w:r>
          </w:p>
        </w:tc>
        <w:tc>
          <w:tcPr>
            <w:tcW w:w="1620" w:type="dxa"/>
          </w:tcPr>
          <w:p w14:paraId="4BA80B85" w14:textId="77777777" w:rsidR="003B7027" w:rsidRPr="00920FF7" w:rsidRDefault="003B7027" w:rsidP="003C43CF">
            <w:pPr>
              <w:pStyle w:val="TableParagraph"/>
              <w:suppressAutoHyphens/>
            </w:pPr>
          </w:p>
        </w:tc>
        <w:tc>
          <w:tcPr>
            <w:tcW w:w="1570" w:type="dxa"/>
          </w:tcPr>
          <w:p w14:paraId="08CEC297" w14:textId="77777777" w:rsidR="003B7027" w:rsidRPr="00920FF7" w:rsidRDefault="00296A74" w:rsidP="003C43CF">
            <w:pPr>
              <w:pStyle w:val="TableParagraph"/>
              <w:suppressAutoHyphens/>
            </w:pPr>
            <w:r w:rsidRPr="00920FF7">
              <w:t>sJIA</w:t>
            </w:r>
          </w:p>
        </w:tc>
        <w:tc>
          <w:tcPr>
            <w:tcW w:w="1264" w:type="dxa"/>
          </w:tcPr>
          <w:p w14:paraId="7F0BC317" w14:textId="77777777" w:rsidR="003B7027" w:rsidRPr="00920FF7" w:rsidRDefault="00296A74" w:rsidP="003C43CF">
            <w:pPr>
              <w:pStyle w:val="TableParagraph"/>
              <w:suppressAutoHyphens/>
            </w:pPr>
            <w:r w:rsidRPr="00920FF7">
              <w:t>pJIA</w:t>
            </w:r>
          </w:p>
        </w:tc>
      </w:tr>
      <w:tr w:rsidR="003B7027" w:rsidRPr="00777B93" w14:paraId="2F80F1F0" w14:textId="77777777" w:rsidTr="00C96C2E">
        <w:trPr>
          <w:cantSplit/>
        </w:trPr>
        <w:tc>
          <w:tcPr>
            <w:tcW w:w="2291" w:type="dxa"/>
          </w:tcPr>
          <w:p w14:paraId="4A974303" w14:textId="77777777" w:rsidR="003B7027" w:rsidRPr="00920FF7" w:rsidRDefault="003B7027" w:rsidP="003C43CF">
            <w:pPr>
              <w:pStyle w:val="TableParagraph"/>
              <w:suppressAutoHyphens/>
            </w:pPr>
          </w:p>
        </w:tc>
        <w:tc>
          <w:tcPr>
            <w:tcW w:w="2463" w:type="dxa"/>
          </w:tcPr>
          <w:p w14:paraId="27F2ACD9" w14:textId="77777777" w:rsidR="003B7027" w:rsidRPr="00920FF7" w:rsidRDefault="00296A74" w:rsidP="003C43CF">
            <w:pPr>
              <w:pStyle w:val="TableParagraph"/>
              <w:suppressAutoHyphens/>
            </w:pPr>
            <w:r w:rsidRPr="00920FF7">
              <w:t>Kohonnut kolesteroli</w:t>
            </w:r>
          </w:p>
        </w:tc>
        <w:tc>
          <w:tcPr>
            <w:tcW w:w="1620" w:type="dxa"/>
          </w:tcPr>
          <w:p w14:paraId="23DDCF36" w14:textId="77777777" w:rsidR="003B7027" w:rsidRPr="00920FF7" w:rsidRDefault="003B7027" w:rsidP="003C43CF">
            <w:pPr>
              <w:pStyle w:val="TableParagraph"/>
              <w:suppressAutoHyphens/>
            </w:pPr>
          </w:p>
        </w:tc>
        <w:tc>
          <w:tcPr>
            <w:tcW w:w="1570" w:type="dxa"/>
          </w:tcPr>
          <w:p w14:paraId="0F62FDF2" w14:textId="77777777" w:rsidR="003B7027" w:rsidRPr="00920FF7" w:rsidRDefault="00296A74" w:rsidP="003C43CF">
            <w:pPr>
              <w:pStyle w:val="TableParagraph"/>
              <w:suppressAutoHyphens/>
            </w:pPr>
            <w:r w:rsidRPr="00920FF7">
              <w:t>sJIA</w:t>
            </w:r>
          </w:p>
        </w:tc>
        <w:tc>
          <w:tcPr>
            <w:tcW w:w="1264" w:type="dxa"/>
          </w:tcPr>
          <w:p w14:paraId="63B4F0A6" w14:textId="77777777" w:rsidR="003B7027" w:rsidRPr="00920FF7" w:rsidRDefault="00296A74" w:rsidP="003C43CF">
            <w:pPr>
              <w:pStyle w:val="TableParagraph"/>
              <w:suppressAutoHyphens/>
            </w:pPr>
            <w:r w:rsidRPr="00920FF7">
              <w:t>pJIA</w:t>
            </w:r>
          </w:p>
        </w:tc>
      </w:tr>
    </w:tbl>
    <w:p w14:paraId="00CE51AB" w14:textId="77777777" w:rsidR="003B7027" w:rsidRPr="00CA43F5" w:rsidRDefault="00296A74" w:rsidP="00920FF7">
      <w:pPr>
        <w:tabs>
          <w:tab w:val="left" w:pos="1263"/>
        </w:tabs>
        <w:ind w:left="284" w:hanging="284"/>
        <w:rPr>
          <w:sz w:val="18"/>
          <w:lang w:val="fi-FI"/>
        </w:rPr>
      </w:pPr>
      <w:r w:rsidRPr="0028514E">
        <w:rPr>
          <w:rFonts w:eastAsia="Times New Roman"/>
          <w:sz w:val="18"/>
          <w:szCs w:val="18"/>
          <w:lang w:val="fi-FI" w:eastAsia="en-US"/>
        </w:rPr>
        <w:t>1.</w:t>
      </w:r>
      <w:r w:rsidRPr="0028514E">
        <w:rPr>
          <w:rFonts w:eastAsia="Times New Roman"/>
          <w:sz w:val="18"/>
          <w:szCs w:val="18"/>
          <w:lang w:val="fi-FI" w:eastAsia="en-US"/>
        </w:rPr>
        <w:tab/>
      </w:r>
      <w:r w:rsidRPr="00CA43F5">
        <w:rPr>
          <w:sz w:val="18"/>
          <w:lang w:val="fi-FI"/>
        </w:rPr>
        <w:t>Polyartiittipotilailla raportoituihin infuusioreaktiotapauksiin sisältyi mm. päänsärkyä, pahoinvointia ja hypotensiota</w:t>
      </w:r>
    </w:p>
    <w:p w14:paraId="061FB98F" w14:textId="77777777" w:rsidR="003B7027" w:rsidRPr="00CA43F5" w:rsidRDefault="00296A74" w:rsidP="00920FF7">
      <w:pPr>
        <w:tabs>
          <w:tab w:val="left" w:pos="1265"/>
        </w:tabs>
        <w:ind w:left="284" w:hanging="284"/>
        <w:rPr>
          <w:sz w:val="18"/>
          <w:lang w:val="fi-FI"/>
        </w:rPr>
      </w:pPr>
      <w:r w:rsidRPr="0028514E">
        <w:rPr>
          <w:rFonts w:eastAsia="Times New Roman"/>
          <w:sz w:val="18"/>
          <w:szCs w:val="18"/>
          <w:lang w:val="fi-FI" w:eastAsia="en-US"/>
        </w:rPr>
        <w:t>2.</w:t>
      </w:r>
      <w:r w:rsidRPr="0028514E">
        <w:rPr>
          <w:rFonts w:eastAsia="Times New Roman"/>
          <w:sz w:val="18"/>
          <w:szCs w:val="18"/>
          <w:lang w:val="fi-FI" w:eastAsia="en-US"/>
        </w:rPr>
        <w:tab/>
      </w:r>
      <w:r w:rsidRPr="00CA43F5">
        <w:rPr>
          <w:sz w:val="18"/>
          <w:lang w:val="fi-FI"/>
        </w:rPr>
        <w:t>Yleisoireista lastenreumaa sairastavilla potilailla raportoituihin infuusioreaktiotapauksiin sisältyi mm. ihottumaa, nokkosihottumaa, ripulia, epigastrista kipua, nivelkipua ja päänsärkyä</w:t>
      </w:r>
    </w:p>
    <w:p w14:paraId="0A1E4B6A" w14:textId="77777777" w:rsidR="00A747A8" w:rsidRPr="00CA43F5" w:rsidRDefault="00A747A8" w:rsidP="006E5F9A">
      <w:pPr>
        <w:rPr>
          <w:i/>
          <w:lang w:val="fi-FI"/>
        </w:rPr>
      </w:pPr>
    </w:p>
    <w:p w14:paraId="473FE3C7" w14:textId="77777777" w:rsidR="003B7027" w:rsidRPr="00CA43F5" w:rsidRDefault="00296A74" w:rsidP="006E5F9A">
      <w:pPr>
        <w:rPr>
          <w:i/>
          <w:lang w:val="fi-FI"/>
        </w:rPr>
      </w:pPr>
      <w:r w:rsidRPr="00CA43F5">
        <w:rPr>
          <w:i/>
          <w:lang w:val="fi-FI"/>
        </w:rPr>
        <w:t>Polyartriittipotilaat</w:t>
      </w:r>
    </w:p>
    <w:p w14:paraId="791221B0" w14:textId="215BC65D" w:rsidR="003B7027" w:rsidRPr="0028514E" w:rsidRDefault="00296A74" w:rsidP="006E5F9A">
      <w:pPr>
        <w:pStyle w:val="a4"/>
        <w:ind w:left="0"/>
      </w:pPr>
      <w:r w:rsidRPr="0028514E">
        <w:t xml:space="preserve">Laskimoon annosteltavan </w:t>
      </w:r>
      <w:r w:rsidR="00525031">
        <w:t>tosilitsumabin</w:t>
      </w:r>
      <w:r w:rsidR="00525031" w:rsidRPr="0028514E">
        <w:t xml:space="preserve"> </w:t>
      </w:r>
      <w:r w:rsidRPr="0028514E">
        <w:t>turvallisuusprofiilia polyartriitin hoidossa on tutkittu 188 potilaalla, iältään 2–17-vuotiaita. Potilasvuosien määrä oli yhteensä 184,4. Haittavaikutusten yleisyys polyartriittipotilailla on esitetty taulukossa 3. Polyartriittipotilailla todetut haittavaikutukset olivat luonteeltaan samanlaisia kuin nivelreumapotilailla ja yleisoireista lastenreumaa sairastavilla potilailla, ks. kohta 4.8. Aikuisiin nivelreumapotilaisiin verrattuna polyartriittipotilailla raportoitiin yleisemmin nasofaryngiittia, päänsärkyä, pahoinvointia ja neutrofiiliarvojen laskua. Kolesteroliarvojen nousua raportoitiin harvemmin polyartriittipotilailla kuin aikuisilla nivelreumapotilailla.</w:t>
      </w:r>
    </w:p>
    <w:p w14:paraId="47A34B88" w14:textId="77777777" w:rsidR="00A747A8" w:rsidRPr="0028514E" w:rsidRDefault="00A747A8" w:rsidP="006E5F9A">
      <w:pPr>
        <w:pStyle w:val="a4"/>
        <w:ind w:left="0"/>
      </w:pPr>
    </w:p>
    <w:p w14:paraId="5E957E24" w14:textId="77777777" w:rsidR="003B7027" w:rsidRPr="00CA43F5" w:rsidRDefault="00296A74" w:rsidP="00883282">
      <w:pPr>
        <w:keepNext/>
        <w:rPr>
          <w:i/>
          <w:lang w:val="fi-FI"/>
        </w:rPr>
      </w:pPr>
      <w:r w:rsidRPr="00CA43F5">
        <w:rPr>
          <w:i/>
          <w:lang w:val="fi-FI"/>
        </w:rPr>
        <w:t>Infektiot</w:t>
      </w:r>
    </w:p>
    <w:p w14:paraId="28150DD6" w14:textId="77777777" w:rsidR="003B7027" w:rsidRPr="0028514E" w:rsidRDefault="00296A74" w:rsidP="006E5F9A">
      <w:pPr>
        <w:pStyle w:val="a4"/>
        <w:ind w:left="0"/>
      </w:pPr>
      <w:r w:rsidRPr="0028514E">
        <w:t>Infektioiden esiintyvyys kaikilla tosilitsumabia saaneilla potilailla oli 163,7 tapausta 100 potilasvuotta kohti. Yleisimmät havaitut tapahtumat olivat nasofaryngiitti ja ylempien hengitysteiden infektiot.</w:t>
      </w:r>
      <w:r w:rsidR="00A747A8" w:rsidRPr="0028514E">
        <w:t xml:space="preserve"> </w:t>
      </w:r>
      <w:r w:rsidRPr="0028514E">
        <w:t>Vakavien infektioiden esiintyvyys oli suurempi &lt; 30 kg:n painoisilla 10 mg/kg tosilitsumabiannoksia saaneilla potilailla (12,2 tapausta 100 potilasvuotta kohden) verrattuna ≥ 30 kg:n painoisiin 8 mg/kg tosilitsumabiannoksia saaneisiin potilaisiin (4,0 tapausta 100 potilasvuotta kohden). Hoidon keskeyttämiseen johtaneiden infektioiden ilmaantuvuus oli myös suurempi &lt; 30 kg:n painoisilla</w:t>
      </w:r>
      <w:r w:rsidR="00A747A8" w:rsidRPr="0028514E">
        <w:t xml:space="preserve"> </w:t>
      </w:r>
      <w:r w:rsidRPr="0028514E">
        <w:t>10 mg/kg tosilitsumabiannoksia saaneilla potilailla (21,4 %) verrattuna ≥ 30 kg:n painoisiin 8 mg/kg tosilitsumabiannoksia saaneisiin potilaisiin (7,6 %).</w:t>
      </w:r>
    </w:p>
    <w:p w14:paraId="4AC08DA7" w14:textId="77777777" w:rsidR="00A747A8" w:rsidRPr="0028514E" w:rsidRDefault="00A747A8" w:rsidP="006E5F9A">
      <w:pPr>
        <w:pStyle w:val="a4"/>
        <w:ind w:left="0"/>
      </w:pPr>
    </w:p>
    <w:p w14:paraId="58072160" w14:textId="77777777" w:rsidR="003B7027" w:rsidRPr="00CA43F5" w:rsidRDefault="00296A74" w:rsidP="006E5F9A">
      <w:pPr>
        <w:keepNext/>
        <w:keepLines/>
        <w:rPr>
          <w:i/>
          <w:lang w:val="fi-FI"/>
        </w:rPr>
      </w:pPr>
      <w:r w:rsidRPr="00CA43F5">
        <w:rPr>
          <w:i/>
          <w:lang w:val="fi-FI"/>
        </w:rPr>
        <w:lastRenderedPageBreak/>
        <w:t>Infuusioon liittyvät reaktiot</w:t>
      </w:r>
    </w:p>
    <w:p w14:paraId="24983452" w14:textId="77777777" w:rsidR="003B7027" w:rsidRPr="0028514E" w:rsidRDefault="00296A74" w:rsidP="006E5F9A">
      <w:pPr>
        <w:pStyle w:val="a4"/>
        <w:ind w:left="0"/>
      </w:pPr>
      <w:r w:rsidRPr="0028514E">
        <w:t>Infuusioon liittyviksi reaktioiksi määritellään polyartriittipotilailla kaikki haittatapahtumat, jotka ilmaantuvat infuusion aikana tai 24 tunnin kuluessa sen antamisesta. Kaikista tosilitsumabia saaneista potilaista 11 potilaalla (5,9 %) esiintyi infuusioon liittynyt reaktio infuusion aikana ja 38 potilaalla (20,2 %) infuusioon liittynyt reaktio ilmaantui 24 tunnin kuluessa infuusion antamisesta. Yleisimpiä infuusion aikana esiintyneitä tapahtumia olivat päänsärky, pahoinvointi ja hypotensio. Yleisimpiä tapahtumia 24 tunnin kuluessa infuusion antamisesta olivat huimaus ja hypotensio. Infuusion annon aikana tai 24 tunnin kuluessa infuusion antamisesta esiintyneet haittavaikutukset olivat yleensä luonteeltaan samankaltaisia kuin nivelreumaa tai yleisoireista lastenreumaa sairastavilla potilailla, ks. kohta 4.8.</w:t>
      </w:r>
    </w:p>
    <w:p w14:paraId="7E1BFC76" w14:textId="77777777" w:rsidR="00A747A8" w:rsidRPr="0028514E" w:rsidRDefault="00A747A8" w:rsidP="006E5F9A">
      <w:pPr>
        <w:pStyle w:val="a4"/>
        <w:ind w:left="0"/>
      </w:pPr>
    </w:p>
    <w:p w14:paraId="12B1306F" w14:textId="77777777" w:rsidR="003B7027" w:rsidRPr="0028514E" w:rsidRDefault="00296A74" w:rsidP="006E5F9A">
      <w:pPr>
        <w:pStyle w:val="a4"/>
        <w:ind w:left="0"/>
      </w:pPr>
      <w:r w:rsidRPr="0028514E">
        <w:t>Tosilitsumabiin liittyviä ja hoidon keskeyttämistä vaativia kliinisesti merkittäviä yliherkkyysreaktioita ei esiintynyt.</w:t>
      </w:r>
    </w:p>
    <w:p w14:paraId="329BC5A7" w14:textId="77777777" w:rsidR="00A747A8" w:rsidRPr="0028514E" w:rsidRDefault="00A747A8" w:rsidP="006E5F9A">
      <w:pPr>
        <w:pStyle w:val="a4"/>
        <w:ind w:left="0"/>
      </w:pPr>
    </w:p>
    <w:p w14:paraId="68F49752" w14:textId="77777777" w:rsidR="003B7027" w:rsidRPr="00CA43F5" w:rsidRDefault="00296A74" w:rsidP="006E5F9A">
      <w:pPr>
        <w:rPr>
          <w:i/>
          <w:lang w:val="fi-FI"/>
        </w:rPr>
      </w:pPr>
      <w:r w:rsidRPr="00CA43F5">
        <w:rPr>
          <w:i/>
          <w:lang w:val="fi-FI"/>
        </w:rPr>
        <w:t>Neutrofiilit</w:t>
      </w:r>
    </w:p>
    <w:p w14:paraId="0A5E19FB" w14:textId="77777777" w:rsidR="003B7027" w:rsidRPr="0028514E" w:rsidRDefault="00296A74" w:rsidP="006E5F9A">
      <w:pPr>
        <w:pStyle w:val="a4"/>
        <w:ind w:left="0"/>
      </w:pPr>
      <w:r w:rsidRPr="0028514E">
        <w:t>Kaikkien tosilitsumabia saaneiden potilaiden tavanomaisessa laboratorioseurannassa 3,7 %:lla potilaista esiintyi neutrofiiliarvojen laskua tason 1 x 10</w:t>
      </w:r>
      <w:r w:rsidRPr="0028514E">
        <w:rPr>
          <w:vertAlign w:val="superscript"/>
        </w:rPr>
        <w:t>9</w:t>
      </w:r>
      <w:r w:rsidRPr="0028514E">
        <w:t>/l alapuolelle.</w:t>
      </w:r>
    </w:p>
    <w:p w14:paraId="571768F5" w14:textId="77777777" w:rsidR="00A747A8" w:rsidRPr="0028514E" w:rsidRDefault="00A747A8" w:rsidP="006E5F9A">
      <w:pPr>
        <w:pStyle w:val="a4"/>
        <w:ind w:left="0"/>
      </w:pPr>
    </w:p>
    <w:p w14:paraId="38225060" w14:textId="77777777" w:rsidR="003B7027" w:rsidRPr="00CA43F5" w:rsidRDefault="00296A74" w:rsidP="006E5F9A">
      <w:pPr>
        <w:rPr>
          <w:i/>
          <w:lang w:val="fi-FI"/>
        </w:rPr>
      </w:pPr>
      <w:r w:rsidRPr="00CA43F5">
        <w:rPr>
          <w:i/>
          <w:lang w:val="fi-FI"/>
        </w:rPr>
        <w:t>Trombosyytit</w:t>
      </w:r>
    </w:p>
    <w:p w14:paraId="177256C2" w14:textId="77777777" w:rsidR="003B7027" w:rsidRPr="0028514E" w:rsidRDefault="00296A74" w:rsidP="006E5F9A">
      <w:pPr>
        <w:pStyle w:val="a4"/>
        <w:ind w:left="0"/>
      </w:pPr>
      <w:r w:rsidRPr="0028514E">
        <w:t>Kaikkien tosilitsumabia saaneiden potilaiden tavanomaisissa laboratorioseurannoissa 1 %:lla potilaista</w:t>
      </w:r>
      <w:r w:rsidR="00A747A8" w:rsidRPr="0028514E">
        <w:t xml:space="preserve"> </w:t>
      </w:r>
      <w:r w:rsidRPr="0028514E">
        <w:t>esiintyi trombosyyttiarvon laskua tasoon ≤ 50 x 10</w:t>
      </w:r>
      <w:r w:rsidRPr="0028514E">
        <w:rPr>
          <w:vertAlign w:val="superscript"/>
        </w:rPr>
        <w:t>3</w:t>
      </w:r>
      <w:r w:rsidRPr="0028514E">
        <w:t>/μl, mutta tähän ei liittynyt verenvuototapahtumia.</w:t>
      </w:r>
    </w:p>
    <w:p w14:paraId="187708D3" w14:textId="77777777" w:rsidR="003B7027" w:rsidRPr="0028514E" w:rsidRDefault="003B7027" w:rsidP="006E5F9A">
      <w:pPr>
        <w:pStyle w:val="a4"/>
        <w:ind w:left="0"/>
      </w:pPr>
    </w:p>
    <w:p w14:paraId="299A50E8" w14:textId="77777777" w:rsidR="003B7027" w:rsidRPr="00CA43F5" w:rsidRDefault="00296A74" w:rsidP="006E5F9A">
      <w:pPr>
        <w:rPr>
          <w:i/>
          <w:lang w:val="fi-FI"/>
        </w:rPr>
      </w:pPr>
      <w:r w:rsidRPr="00CA43F5">
        <w:rPr>
          <w:i/>
          <w:lang w:val="fi-FI"/>
        </w:rPr>
        <w:t>Maksan aminotransferaasiarvojen nousu</w:t>
      </w:r>
    </w:p>
    <w:p w14:paraId="201EAE59" w14:textId="77777777" w:rsidR="003B7027" w:rsidRPr="0028514E" w:rsidRDefault="00296A74" w:rsidP="006E5F9A">
      <w:pPr>
        <w:pStyle w:val="a4"/>
        <w:ind w:left="0"/>
      </w:pPr>
      <w:r w:rsidRPr="0028514E">
        <w:t>Kaikkien tosilitsumabia saaneiden potilaiden tavanomaisissa laboratorioseurannoissa todettiin maksan aminotransferaasiarvojen nousua tasolle ≥ 3 x viitevälin yläraja 3,7 %:lla (ALAT) ja &lt; 1 %:lla (ASAT) potilaista.</w:t>
      </w:r>
    </w:p>
    <w:p w14:paraId="54134C8B" w14:textId="77777777" w:rsidR="00A747A8" w:rsidRPr="0028514E" w:rsidRDefault="00A747A8" w:rsidP="006E5F9A">
      <w:pPr>
        <w:pStyle w:val="a4"/>
        <w:ind w:left="0"/>
      </w:pPr>
    </w:p>
    <w:p w14:paraId="036C63E4" w14:textId="77777777" w:rsidR="003B7027" w:rsidRPr="00CA43F5" w:rsidRDefault="00296A74" w:rsidP="006E5F9A">
      <w:pPr>
        <w:rPr>
          <w:i/>
          <w:lang w:val="fi-FI"/>
        </w:rPr>
      </w:pPr>
      <w:r w:rsidRPr="00CA43F5">
        <w:rPr>
          <w:i/>
          <w:lang w:val="fi-FI"/>
        </w:rPr>
        <w:t>Veren rasva-arvot</w:t>
      </w:r>
    </w:p>
    <w:p w14:paraId="7040CAD0" w14:textId="18C1CB9D" w:rsidR="003B7027" w:rsidRPr="0028514E" w:rsidRDefault="00296A74" w:rsidP="006E5F9A">
      <w:pPr>
        <w:pStyle w:val="a4"/>
        <w:ind w:left="0"/>
      </w:pPr>
      <w:r w:rsidRPr="0028514E">
        <w:t xml:space="preserve">Laskimoon annosteltavaa </w:t>
      </w:r>
      <w:r w:rsidR="00525031">
        <w:t>tosilitsumabia</w:t>
      </w:r>
      <w:r w:rsidR="00525031" w:rsidRPr="0028514E">
        <w:t xml:space="preserve"> </w:t>
      </w:r>
      <w:r w:rsidRPr="0028514E">
        <w:t>koskeneen tutkimuksen WA19977 tavanomaisissa laboratorioseurannoissa veren LDL-kolesterolipitoisuus oli jossakin vaiheessa tutkimushoidon aikana kohonnut arvoon ≥ 130 mg/dl 3,4 %:lla potilaista ja kokonaiskolesterolipitoisuus oli kohonnut arvoon</w:t>
      </w:r>
      <w:r w:rsidR="00A747A8" w:rsidRPr="0028514E">
        <w:t xml:space="preserve"> </w:t>
      </w:r>
      <w:r w:rsidRPr="0028514E">
        <w:t>≥ 200 mg/dl 10,4 %:lla potilaista.</w:t>
      </w:r>
    </w:p>
    <w:p w14:paraId="00B1751E" w14:textId="77777777" w:rsidR="00A747A8" w:rsidRPr="00CA43F5" w:rsidRDefault="00A747A8" w:rsidP="006E5F9A">
      <w:pPr>
        <w:rPr>
          <w:i/>
          <w:lang w:val="fi-FI"/>
        </w:rPr>
      </w:pPr>
    </w:p>
    <w:p w14:paraId="32E6B493" w14:textId="77777777" w:rsidR="003B7027" w:rsidRPr="00CA43F5" w:rsidRDefault="00296A74" w:rsidP="006E5F9A">
      <w:pPr>
        <w:rPr>
          <w:i/>
          <w:lang w:val="fi-FI"/>
        </w:rPr>
      </w:pPr>
      <w:r w:rsidRPr="00CA43F5">
        <w:rPr>
          <w:i/>
          <w:lang w:val="fi-FI"/>
        </w:rPr>
        <w:t>Yleisoireista lastenreumaa sairastavat potilaat</w:t>
      </w:r>
    </w:p>
    <w:p w14:paraId="57AA397A" w14:textId="53AA1D32" w:rsidR="003B7027" w:rsidRPr="0028514E" w:rsidRDefault="00296A74" w:rsidP="006E5F9A">
      <w:pPr>
        <w:pStyle w:val="a4"/>
        <w:ind w:left="0"/>
      </w:pPr>
      <w:r w:rsidRPr="0028514E">
        <w:t xml:space="preserve">Laskimoon annosteltavan </w:t>
      </w:r>
      <w:r w:rsidR="00525031">
        <w:t>tosilitsumabin</w:t>
      </w:r>
      <w:r w:rsidR="00525031" w:rsidRPr="0028514E">
        <w:t xml:space="preserve"> </w:t>
      </w:r>
      <w:r w:rsidRPr="0028514E">
        <w:t xml:space="preserve">turvallisuusprofiilia yleisoireisessa lastenreumassa on tutkittu 112 potilaalla, iältään 2–17-vuotiaita. Tutkimuksen 12 viikkoa kestäneessä kaksoissokkoutetussa, kontrollivaiheessa 75 potilasta sai tosilitsumabihoitoa (8 mg/kg tai 12 mg/kg painon mukaan). 12 viikon jälkeen tai vaihdettuaan lumelääkkeestä </w:t>
      </w:r>
      <w:r w:rsidR="00525031">
        <w:t>tosilitsumabiin</w:t>
      </w:r>
      <w:r w:rsidR="00525031" w:rsidRPr="0028514E">
        <w:t xml:space="preserve"> </w:t>
      </w:r>
      <w:r w:rsidRPr="0028514E">
        <w:t>taudin pahenemisen vuoksi potilaat hoidettiin avoimessa jatkotutkimuksessa.</w:t>
      </w:r>
    </w:p>
    <w:p w14:paraId="386BED00" w14:textId="77777777" w:rsidR="00A747A8" w:rsidRPr="0028514E" w:rsidRDefault="00A747A8" w:rsidP="006E5F9A">
      <w:pPr>
        <w:pStyle w:val="a4"/>
        <w:ind w:left="0"/>
      </w:pPr>
    </w:p>
    <w:p w14:paraId="1F6FFBE8" w14:textId="77777777" w:rsidR="003B7027" w:rsidRPr="0028514E" w:rsidRDefault="00296A74" w:rsidP="006E5F9A">
      <w:pPr>
        <w:pStyle w:val="a4"/>
        <w:ind w:left="0"/>
      </w:pPr>
      <w:r w:rsidRPr="0028514E">
        <w:t>Yleisoireista lastenreumaa sairastavilla potilailla todetut haittavaikutukset olivat yleensä luonteeltaan samanlaisia kuin nivelreumapotilailla, ks. kohta 4.8. Haittavaikutusten yleisyys yleisoireista lastenreumaa sairastavilla potilailla on esitetty taulukossa 3. Verrattuna aikuisiin nivelreumapotilaisiin yleisoireista lastenreumaa sairastavilla potilailla raportoitiin yleisemmin nasofaryngiittia, neutrofiiliarvojen laskua, maksan aminotransferaasiarvojen nousua ja ripulia. Kolesteroliarvojen nousua raportoitiin harvemmin yleisoireista lastenreumaa sairastavilla potilailla kuin aikuisilla nivelreumapotilailla.</w:t>
      </w:r>
    </w:p>
    <w:p w14:paraId="261FC421" w14:textId="77777777" w:rsidR="003B7027" w:rsidRPr="0028514E" w:rsidRDefault="003B7027" w:rsidP="006E5F9A">
      <w:pPr>
        <w:pStyle w:val="a4"/>
        <w:ind w:left="0"/>
      </w:pPr>
    </w:p>
    <w:p w14:paraId="2BB3FF74" w14:textId="77777777" w:rsidR="003B7027" w:rsidRPr="00CA43F5" w:rsidRDefault="00296A74" w:rsidP="006E5F9A">
      <w:pPr>
        <w:keepNext/>
        <w:rPr>
          <w:i/>
          <w:lang w:val="fi-FI"/>
        </w:rPr>
      </w:pPr>
      <w:r w:rsidRPr="00CA43F5">
        <w:rPr>
          <w:i/>
          <w:lang w:val="fi-FI"/>
        </w:rPr>
        <w:t>Infektiot</w:t>
      </w:r>
    </w:p>
    <w:p w14:paraId="335BDA56" w14:textId="402EE952" w:rsidR="003B7027" w:rsidRPr="0028514E" w:rsidRDefault="00296A74" w:rsidP="006E5F9A">
      <w:pPr>
        <w:pStyle w:val="a4"/>
        <w:ind w:left="0"/>
      </w:pPr>
      <w:r w:rsidRPr="0028514E">
        <w:t xml:space="preserve">12 viikkoa kestäneessä kontrollivaiheessa infektioiden kokonaisesiintyvyys laskimoon annosteltavaa </w:t>
      </w:r>
      <w:r w:rsidR="00525031">
        <w:t>tosilitsumabia</w:t>
      </w:r>
      <w:r w:rsidR="00525031" w:rsidRPr="0028514E">
        <w:t xml:space="preserve"> </w:t>
      </w:r>
      <w:r w:rsidRPr="0028514E">
        <w:t>saaneessa ryhmässä oli 344,7 tapausta 100 potilasvuotta kohti. Lumelääkeryhmässä esiintyvyys oli 287,0 tapausta 100 potilasvuotta kohti. Tutkimuksen avoimessa jatkovaiheessa infektioiden kokonaisesiintyvyys on pysynyt samalla tasolla, 306,6 tapausta 100 potilasvuotta kohti.</w:t>
      </w:r>
    </w:p>
    <w:p w14:paraId="65D3DCDF" w14:textId="77777777" w:rsidR="00A747A8" w:rsidRPr="0028514E" w:rsidRDefault="00A747A8" w:rsidP="006E5F9A">
      <w:pPr>
        <w:pStyle w:val="a4"/>
        <w:ind w:left="0"/>
      </w:pPr>
    </w:p>
    <w:p w14:paraId="0BCD49BB" w14:textId="62B9C6AE" w:rsidR="003B7027" w:rsidRPr="0028514E" w:rsidRDefault="00296A74" w:rsidP="006E5F9A">
      <w:pPr>
        <w:pStyle w:val="a4"/>
        <w:ind w:left="0"/>
      </w:pPr>
      <w:r w:rsidRPr="0028514E">
        <w:t xml:space="preserve">12 viikkoa kestäneessä kontrollivaiheessa vakavien infektioiden esiintyvyys laskimoon annosteltavaa </w:t>
      </w:r>
      <w:r w:rsidR="00525031">
        <w:t>tosilitsumabia</w:t>
      </w:r>
      <w:r w:rsidR="00525031" w:rsidRPr="0028514E">
        <w:t xml:space="preserve"> </w:t>
      </w:r>
      <w:r w:rsidRPr="0028514E">
        <w:t>saaneessa ryhmässä oli 11,5 tapausta 100 potilasvuotta kohti. Avoimessa jatkotutkimuksessa vakavien infektioiden kokonaismäärä oli vuoden kuluttua samalla tasolla eli</w:t>
      </w:r>
      <w:r w:rsidR="008A3DEA" w:rsidRPr="0028514E">
        <w:t xml:space="preserve"> </w:t>
      </w:r>
      <w:r w:rsidRPr="0028514E">
        <w:t xml:space="preserve">11,3 </w:t>
      </w:r>
      <w:r w:rsidRPr="0028514E">
        <w:lastRenderedPageBreak/>
        <w:t>infektiota 100 potilasvuotta kohti. Raportoidut vakavat infektiot olivat samankaltaisia kuin nivelreumassa raportoidut, lisäksi raportoitiin vesirokkoa ja välikorvantulehdusta.</w:t>
      </w:r>
    </w:p>
    <w:p w14:paraId="5D9241EE" w14:textId="77777777" w:rsidR="003B7027" w:rsidRPr="0028514E" w:rsidRDefault="003B7027" w:rsidP="006E5F9A">
      <w:pPr>
        <w:pStyle w:val="a4"/>
        <w:ind w:left="0"/>
      </w:pPr>
    </w:p>
    <w:p w14:paraId="4EF82DBD" w14:textId="77777777" w:rsidR="003B7027" w:rsidRPr="00CA43F5" w:rsidRDefault="00296A74" w:rsidP="006E5F9A">
      <w:pPr>
        <w:rPr>
          <w:i/>
          <w:lang w:val="fi-FI"/>
        </w:rPr>
      </w:pPr>
      <w:r w:rsidRPr="00CA43F5">
        <w:rPr>
          <w:i/>
          <w:lang w:val="fi-FI"/>
        </w:rPr>
        <w:t>Infuusioon liittyvät reaktiot</w:t>
      </w:r>
    </w:p>
    <w:p w14:paraId="21FF832E" w14:textId="77777777" w:rsidR="003B7027" w:rsidRPr="0028514E" w:rsidRDefault="00296A74" w:rsidP="006E5F9A">
      <w:pPr>
        <w:pStyle w:val="a4"/>
        <w:ind w:left="0"/>
      </w:pPr>
      <w:r w:rsidRPr="0028514E">
        <w:t>Infuusioon liittyviksi reaktioiksi määritellään kaikki haittatapahtumat, jotka ilmaantuvat infuusion aikana tai 24 tunnin kuluessa sen antamisesta. 12 viikkoa kestäneessä kontrollivaiheessa</w:t>
      </w:r>
      <w:r w:rsidR="00A747A8" w:rsidRPr="0028514E">
        <w:t xml:space="preserve"> </w:t>
      </w:r>
      <w:r w:rsidRPr="0028514E">
        <w:t>4 % tosilitsumabiryhmän potilaista koki reaktion infuusion aikana. Yhtä tapahtumaa (angioedeema) pidettiin vakavana ja henkeä uhkaavana, ja potilas keskeytti tutkimushoidon.</w:t>
      </w:r>
    </w:p>
    <w:p w14:paraId="6258352E" w14:textId="77777777" w:rsidR="00A747A8" w:rsidRPr="0028514E" w:rsidRDefault="00A747A8" w:rsidP="006E5F9A">
      <w:pPr>
        <w:pStyle w:val="a4"/>
        <w:ind w:left="0"/>
      </w:pPr>
    </w:p>
    <w:p w14:paraId="6CFD0BC3" w14:textId="77777777" w:rsidR="003B7027" w:rsidRPr="0028514E" w:rsidRDefault="00296A74" w:rsidP="006E5F9A">
      <w:pPr>
        <w:pStyle w:val="a4"/>
        <w:ind w:left="0"/>
      </w:pPr>
      <w:r w:rsidRPr="0028514E">
        <w:t>12 viikkoa kestäneessä kontrollivaiheessa 16 % tosilitsumabiryhmän potilaista ja</w:t>
      </w:r>
      <w:r w:rsidR="00A747A8" w:rsidRPr="0028514E">
        <w:t xml:space="preserve"> </w:t>
      </w:r>
      <w:r w:rsidRPr="0028514E">
        <w:t>5,4 % lumelääkeryhmän potilaista sai infuusioon liittyvän reaktion 24 tunnin kuluessa infuusiosta. Tosilitsumabiryhmässä infuusioreaktio-oireisiin sisältyi mm. ihottumaa, nokkosihottumaa, ripulia, epigastrista kipua, nivelkipua ja päänsärkyä. Yhtä näistä oireista, nokkosihottumaa, pidettiin vakavana. Oireet eivät rajoittuneet vain edellä mainittuihin.</w:t>
      </w:r>
    </w:p>
    <w:p w14:paraId="42B920D1" w14:textId="77777777" w:rsidR="00A747A8" w:rsidRPr="0028514E" w:rsidRDefault="00A747A8" w:rsidP="006E5F9A">
      <w:pPr>
        <w:pStyle w:val="a4"/>
        <w:ind w:left="0"/>
      </w:pPr>
    </w:p>
    <w:p w14:paraId="532CB7D5" w14:textId="77777777" w:rsidR="003B7027" w:rsidRPr="0028514E" w:rsidRDefault="00296A74" w:rsidP="006E5F9A">
      <w:pPr>
        <w:pStyle w:val="a4"/>
        <w:ind w:left="0"/>
      </w:pPr>
      <w:r w:rsidRPr="0028514E">
        <w:t>Tutkimuksen kontrollivaiheessa ja sen avoimessa seurantavaiheessa raportoitiin yhdellä tosilitsumabia saaneella potilaalla 112:sta (&lt; 1 %) tosilitsumabiin liittyviä ja hoidon keskeyttämistä vaativia kliinisesti merkittäviä allergisia reaktioita.</w:t>
      </w:r>
    </w:p>
    <w:p w14:paraId="75955246" w14:textId="77777777" w:rsidR="003B7027" w:rsidRPr="0028514E" w:rsidRDefault="003B7027" w:rsidP="006E5F9A">
      <w:pPr>
        <w:pStyle w:val="a4"/>
        <w:ind w:left="0"/>
      </w:pPr>
    </w:p>
    <w:p w14:paraId="3AB84E1B" w14:textId="77777777" w:rsidR="003B7027" w:rsidRPr="00CA43F5" w:rsidRDefault="00296A74" w:rsidP="006E5F9A">
      <w:pPr>
        <w:rPr>
          <w:i/>
          <w:lang w:val="fi-FI"/>
        </w:rPr>
      </w:pPr>
      <w:r w:rsidRPr="00CA43F5">
        <w:rPr>
          <w:i/>
          <w:lang w:val="fi-FI"/>
        </w:rPr>
        <w:t>Neutrofiilit</w:t>
      </w:r>
    </w:p>
    <w:p w14:paraId="4B993F65" w14:textId="77777777" w:rsidR="003B7027" w:rsidRPr="0028514E" w:rsidRDefault="00296A74" w:rsidP="006E5F9A">
      <w:pPr>
        <w:pStyle w:val="a4"/>
        <w:ind w:left="0"/>
      </w:pPr>
      <w:r w:rsidRPr="0028514E">
        <w:t>Kontrollivaiheen 12 viikon aikana tehdyssä tavanomaisessa laboratorioseurannassa 7 %:lla tosilitsumabiryhmän potilaista esiintyi neutrofiiliarvojen laskua tason 1 x 10</w:t>
      </w:r>
      <w:r w:rsidRPr="0028514E">
        <w:rPr>
          <w:vertAlign w:val="superscript"/>
        </w:rPr>
        <w:t>9</w:t>
      </w:r>
      <w:r w:rsidRPr="0028514E">
        <w:t>/l alapuolelle. Lumelääkeryhmässä ei havaittu neutrofiiliarvojen alenemista.</w:t>
      </w:r>
    </w:p>
    <w:p w14:paraId="5121DA82" w14:textId="77777777" w:rsidR="00A747A8" w:rsidRPr="0028514E" w:rsidRDefault="00A747A8" w:rsidP="003C43CF">
      <w:pPr>
        <w:pStyle w:val="a4"/>
        <w:ind w:left="0"/>
      </w:pPr>
    </w:p>
    <w:p w14:paraId="1AC89EBF" w14:textId="77777777" w:rsidR="003B7027" w:rsidRPr="0028514E" w:rsidRDefault="00296A74" w:rsidP="006E5F9A">
      <w:pPr>
        <w:pStyle w:val="a4"/>
        <w:ind w:left="0"/>
      </w:pPr>
      <w:r w:rsidRPr="0028514E">
        <w:t>Avoimessa jatkotutkimuksessa neutrofiiliarvot laskivat tason 1 x 10</w:t>
      </w:r>
      <w:r w:rsidRPr="0028514E">
        <w:rPr>
          <w:vertAlign w:val="superscript"/>
        </w:rPr>
        <w:t>9</w:t>
      </w:r>
      <w:r w:rsidRPr="0028514E">
        <w:t>/l alapuolelle 15 %:lla tosilitsumabiryhmän potilaista.</w:t>
      </w:r>
    </w:p>
    <w:p w14:paraId="1D7EBFFC" w14:textId="77777777" w:rsidR="00A747A8" w:rsidRPr="0028514E" w:rsidRDefault="00A747A8" w:rsidP="006E5F9A">
      <w:pPr>
        <w:pStyle w:val="a4"/>
        <w:ind w:left="0"/>
      </w:pPr>
    </w:p>
    <w:p w14:paraId="2297DBAC" w14:textId="77777777" w:rsidR="003B7027" w:rsidRPr="00CA43F5" w:rsidRDefault="00296A74" w:rsidP="006E5F9A">
      <w:pPr>
        <w:rPr>
          <w:i/>
          <w:lang w:val="fi-FI"/>
        </w:rPr>
      </w:pPr>
      <w:r w:rsidRPr="00CA43F5">
        <w:rPr>
          <w:i/>
          <w:lang w:val="fi-FI"/>
        </w:rPr>
        <w:t>Trombosyytit</w:t>
      </w:r>
    </w:p>
    <w:p w14:paraId="36D32702" w14:textId="77777777" w:rsidR="003B7027" w:rsidRPr="0028514E" w:rsidRDefault="00296A74" w:rsidP="006E5F9A">
      <w:pPr>
        <w:pStyle w:val="a4"/>
        <w:ind w:left="0"/>
      </w:pPr>
      <w:r w:rsidRPr="0028514E">
        <w:t>Kontrollivaiheen 12 viikon aikana tehdyssä tavanomaisessa laboratorioseurannassa 3 %:lla lumelääkeryhmän potilaista ja 1 %:lla tosilitsumabiryhmän potilaista esiintyi trombosyyttiarvon laskua tason 100 x 10</w:t>
      </w:r>
      <w:r w:rsidRPr="0028514E">
        <w:rPr>
          <w:vertAlign w:val="superscript"/>
        </w:rPr>
        <w:t>3</w:t>
      </w:r>
      <w:r w:rsidRPr="0028514E">
        <w:t>/μl alapuolelle.</w:t>
      </w:r>
    </w:p>
    <w:p w14:paraId="5D8C432E" w14:textId="77777777" w:rsidR="003B7027" w:rsidRPr="0028514E" w:rsidRDefault="003B7027" w:rsidP="006E5F9A">
      <w:pPr>
        <w:pStyle w:val="a4"/>
        <w:ind w:left="0"/>
      </w:pPr>
    </w:p>
    <w:p w14:paraId="68FA122D" w14:textId="77777777" w:rsidR="003B7027" w:rsidRPr="0028514E" w:rsidRDefault="00296A74" w:rsidP="006E5F9A">
      <w:pPr>
        <w:pStyle w:val="a4"/>
        <w:ind w:left="0"/>
      </w:pPr>
      <w:r w:rsidRPr="0028514E">
        <w:t>Avoimessa jatkotutkimuksessa trombosyyttiarvot laskivat tason 100 x 10</w:t>
      </w:r>
      <w:r w:rsidRPr="0028514E">
        <w:rPr>
          <w:vertAlign w:val="superscript"/>
        </w:rPr>
        <w:t>3</w:t>
      </w:r>
      <w:r w:rsidRPr="0028514E">
        <w:t>/μl alapuolelle 3 %:lla tosilitsumabia saaneista potilaista. Trombosyyttiarvon laskuun ei liittynyt verenvuototapahtumia.</w:t>
      </w:r>
    </w:p>
    <w:p w14:paraId="5C9839B6" w14:textId="77777777" w:rsidR="00A747A8" w:rsidRPr="0028514E" w:rsidRDefault="00A747A8" w:rsidP="006E5F9A">
      <w:pPr>
        <w:pStyle w:val="a4"/>
        <w:ind w:left="0"/>
      </w:pPr>
    </w:p>
    <w:p w14:paraId="56EAF480" w14:textId="77777777" w:rsidR="003B7027" w:rsidRPr="00CA43F5" w:rsidRDefault="00296A74" w:rsidP="006E5F9A">
      <w:pPr>
        <w:rPr>
          <w:i/>
          <w:lang w:val="fi-FI"/>
        </w:rPr>
      </w:pPr>
      <w:r w:rsidRPr="00CA43F5">
        <w:rPr>
          <w:i/>
          <w:lang w:val="fi-FI"/>
        </w:rPr>
        <w:t>Maksan aminotransferaasiarvojen nousu</w:t>
      </w:r>
    </w:p>
    <w:p w14:paraId="0EB2B63C" w14:textId="77777777" w:rsidR="003B7027" w:rsidRPr="0028514E" w:rsidRDefault="00296A74" w:rsidP="006E5F9A">
      <w:pPr>
        <w:pStyle w:val="a4"/>
        <w:ind w:left="0"/>
      </w:pPr>
      <w:r w:rsidRPr="0028514E">
        <w:t>Kontrollivaiheen 12 viikon aikana tehdyssä tavanomaisessa laboratorioseurannassa maksan aminotransferaasiarvojen nousua tasolle ≥ 3 x viitevälin yläraja todettiin 5 %:lla (ALAT) ja 3 %:lla (ASAT) tosilitsumabia saaneista potilaista. Lumelääkeryhmässä maksan aminotransferaasiarvot eivät nousseet (0 %).</w:t>
      </w:r>
    </w:p>
    <w:p w14:paraId="7905C634" w14:textId="77777777" w:rsidR="00A747A8" w:rsidRPr="0028514E" w:rsidRDefault="00A747A8" w:rsidP="006E5F9A">
      <w:pPr>
        <w:pStyle w:val="a4"/>
        <w:ind w:left="0"/>
      </w:pPr>
    </w:p>
    <w:p w14:paraId="6D91B1BF" w14:textId="77777777" w:rsidR="003B7027" w:rsidRPr="0028514E" w:rsidRDefault="00296A74" w:rsidP="006E5F9A">
      <w:pPr>
        <w:pStyle w:val="a4"/>
        <w:ind w:left="0"/>
      </w:pPr>
      <w:r w:rsidRPr="0028514E">
        <w:t>Avoimessa jatkotutkimuksessa aminotransferaasiarvojen nousua tasolle ≥ 3 x viitevälin yläraja esiintyi 12 %:lla (ALAT) ja 4 %:lla (ASAT) tosilitsumabia saaneista potilaista.</w:t>
      </w:r>
    </w:p>
    <w:p w14:paraId="095CEC25" w14:textId="77777777" w:rsidR="00A747A8" w:rsidRPr="0028514E" w:rsidRDefault="00A747A8" w:rsidP="006E5F9A">
      <w:pPr>
        <w:pStyle w:val="a4"/>
        <w:ind w:left="0"/>
      </w:pPr>
    </w:p>
    <w:p w14:paraId="4CDBEF61" w14:textId="77777777" w:rsidR="003B7027" w:rsidRPr="00CA43F5" w:rsidRDefault="00296A74" w:rsidP="006E5F9A">
      <w:pPr>
        <w:rPr>
          <w:i/>
          <w:lang w:val="fi-FI"/>
        </w:rPr>
      </w:pPr>
      <w:r w:rsidRPr="00CA43F5">
        <w:rPr>
          <w:i/>
          <w:lang w:val="fi-FI"/>
        </w:rPr>
        <w:t>Immunoglobuliini G</w:t>
      </w:r>
    </w:p>
    <w:p w14:paraId="2C7B2EF6" w14:textId="77777777" w:rsidR="003B7027" w:rsidRPr="0028514E" w:rsidRDefault="00296A74" w:rsidP="006E5F9A">
      <w:pPr>
        <w:pStyle w:val="a4"/>
        <w:ind w:left="0"/>
      </w:pPr>
      <w:r w:rsidRPr="0028514E">
        <w:t>IgG-pitoisuudet laskevat hoidon aikana. Laskua viitevälin alapuolelle havaittiin 15 potilaalla jossakin vaiheessa tutkimuksen aikana.</w:t>
      </w:r>
    </w:p>
    <w:p w14:paraId="0CC55B3A" w14:textId="77777777" w:rsidR="00A747A8" w:rsidRPr="0028514E" w:rsidRDefault="00A747A8" w:rsidP="006E5F9A">
      <w:pPr>
        <w:pStyle w:val="a4"/>
        <w:ind w:left="0"/>
      </w:pPr>
    </w:p>
    <w:p w14:paraId="0A497AF8" w14:textId="77777777" w:rsidR="003B7027" w:rsidRPr="00CA43F5" w:rsidRDefault="00296A74" w:rsidP="006E5F9A">
      <w:pPr>
        <w:rPr>
          <w:i/>
          <w:lang w:val="fi-FI"/>
        </w:rPr>
      </w:pPr>
      <w:r w:rsidRPr="00CA43F5">
        <w:rPr>
          <w:i/>
          <w:lang w:val="fi-FI"/>
        </w:rPr>
        <w:t>Veren rasva-arvot</w:t>
      </w:r>
    </w:p>
    <w:p w14:paraId="3FFF26BA" w14:textId="77777777" w:rsidR="003B7027" w:rsidRPr="0028514E" w:rsidRDefault="00296A74" w:rsidP="006E5F9A">
      <w:pPr>
        <w:pStyle w:val="a4"/>
        <w:ind w:left="0"/>
      </w:pPr>
      <w:r w:rsidRPr="0028514E">
        <w:t>Kontrollivaiheen 12 viikon aikana (tutkimus WA18221) tehdyssä tavanomaisessa laboratorioseurannassa veren LDL-kolesterolipitoisuus oli jossakin vaiheessa tutkimushoidon aikana kohonnut arvoon ≥ 130 mg/dl 13,4 %:lla potilaista ja kokonaiskolesterolipitoisuus oli kohonnut arvoon ≥ 200 mg/dl 33,3 %:lla potilaista.</w:t>
      </w:r>
    </w:p>
    <w:p w14:paraId="3A7D94F9" w14:textId="77777777" w:rsidR="00A747A8" w:rsidRPr="0028514E" w:rsidRDefault="00A747A8" w:rsidP="006E5F9A">
      <w:pPr>
        <w:pStyle w:val="a4"/>
        <w:ind w:left="0"/>
      </w:pPr>
    </w:p>
    <w:p w14:paraId="7EC8E168" w14:textId="77777777" w:rsidR="003B7027" w:rsidRPr="0028514E" w:rsidRDefault="00296A74" w:rsidP="006E5F9A">
      <w:pPr>
        <w:pStyle w:val="a4"/>
        <w:ind w:left="0"/>
      </w:pPr>
      <w:r w:rsidRPr="0028514E">
        <w:t>Avoimessa jatkotutkimuksessa (tutkimus WA18221) veren LDL-kolesterolipitoisuus oli jossakin vaiheessa tutkimushoidon aikana kohonnut arvoon ≥ 130 mg/dl 13,2 %:lla potilaista ja kokonaiskolesterolipitoisuus oli kohonnut arvoon ≥ 200 mg/dl 27,7 %:lla potilaista.</w:t>
      </w:r>
    </w:p>
    <w:p w14:paraId="7B7C4186" w14:textId="77777777" w:rsidR="003B7027" w:rsidRPr="0028514E" w:rsidRDefault="003B7027" w:rsidP="006E5F9A">
      <w:pPr>
        <w:pStyle w:val="a4"/>
        <w:ind w:left="0"/>
      </w:pPr>
    </w:p>
    <w:p w14:paraId="68EA9D80" w14:textId="77777777" w:rsidR="003B7027" w:rsidRPr="0028514E" w:rsidRDefault="00296A74" w:rsidP="00E57787">
      <w:pPr>
        <w:pStyle w:val="a4"/>
        <w:keepNext/>
        <w:keepLines/>
        <w:ind w:left="0"/>
      </w:pPr>
      <w:r w:rsidRPr="0028514E">
        <w:rPr>
          <w:u w:val="single"/>
        </w:rPr>
        <w:t>Potilaat, joilla on sytokiinien vapautumisoireyhtymä</w:t>
      </w:r>
    </w:p>
    <w:p w14:paraId="0BA92007" w14:textId="77777777" w:rsidR="003B7027" w:rsidRPr="0028514E" w:rsidRDefault="00296A74" w:rsidP="006E5F9A">
      <w:pPr>
        <w:pStyle w:val="a4"/>
        <w:ind w:left="0"/>
      </w:pPr>
      <w:r w:rsidRPr="0028514E">
        <w:t>Tosilitsumabin turvallisuutta sytokiinien vapautumisoireyhtymän hoitoon on selvitetty kliinisten tutkimustietojen retrospektiivisessä analyysissä. Kyseisissä kliinisissä tutkimuksissa 51 potilasta sai kimeeristä antigeenireseptoria ilmentävien T-solujen (CAR-T-solujen) aikaansaaman vaikea-asteisen tai hengenvaarallisen sytokiinien vapautumisoireyhtymän hoitoon tosilitsumabiannoksia 8 mg/kg (12 mg/kg, jos potilas painoi alle 30 kg) laskimoon, minkä lisäksi joko annettiin tai ei annettu suuria kortikosteroidiannoksia. Annettujen tosilitsumabiannosten lukumäärän mediaani oli 1 annos (vaihteluväli 1–4 annosta).</w:t>
      </w:r>
    </w:p>
    <w:p w14:paraId="723E6EED" w14:textId="77777777" w:rsidR="00A747A8" w:rsidRDefault="00A747A8" w:rsidP="006E5F9A">
      <w:pPr>
        <w:pStyle w:val="a4"/>
        <w:ind w:left="0"/>
      </w:pPr>
    </w:p>
    <w:p w14:paraId="1B598473" w14:textId="55E79E74" w:rsidR="00525031" w:rsidRPr="00CA43F5" w:rsidRDefault="00525031" w:rsidP="006E5F9A">
      <w:pPr>
        <w:pStyle w:val="a4"/>
        <w:ind w:left="0"/>
        <w:rPr>
          <w:u w:val="single"/>
        </w:rPr>
      </w:pPr>
      <w:r>
        <w:rPr>
          <w:u w:val="single"/>
        </w:rPr>
        <w:t>Immunogeenisuus</w:t>
      </w:r>
    </w:p>
    <w:p w14:paraId="320FA9CA" w14:textId="617BAD2F" w:rsidR="00525031" w:rsidRDefault="00525031" w:rsidP="006E5F9A">
      <w:pPr>
        <w:pStyle w:val="a4"/>
        <w:ind w:left="0"/>
      </w:pPr>
      <w:r>
        <w:t>Tosilitsumabihoidon aikana voi kehittyä anti-tosilitsumabivasta-aineita. V</w:t>
      </w:r>
      <w:r w:rsidRPr="0028514E">
        <w:t>asta-aineiden muodostumisen ja kliinisen hoitovasteen tai haittatapahtumien välillä</w:t>
      </w:r>
      <w:r>
        <w:t xml:space="preserve"> voidaan havaita yhteys.</w:t>
      </w:r>
    </w:p>
    <w:p w14:paraId="19D84F79" w14:textId="77777777" w:rsidR="00525031" w:rsidRPr="0028514E" w:rsidRDefault="00525031" w:rsidP="006E5F9A">
      <w:pPr>
        <w:pStyle w:val="a4"/>
        <w:ind w:left="0"/>
      </w:pPr>
    </w:p>
    <w:p w14:paraId="603277C0" w14:textId="77777777" w:rsidR="003B7027" w:rsidRPr="0028514E" w:rsidRDefault="00296A74" w:rsidP="006E5F9A">
      <w:pPr>
        <w:pStyle w:val="a4"/>
        <w:ind w:left="0"/>
      </w:pPr>
      <w:r w:rsidRPr="0028514E">
        <w:rPr>
          <w:u w:val="single"/>
        </w:rPr>
        <w:t>Epäillyistä haittavaikutuksista ilmoittaminen</w:t>
      </w:r>
    </w:p>
    <w:p w14:paraId="0B28F21F" w14:textId="77777777" w:rsidR="003B7027" w:rsidRPr="0028514E" w:rsidRDefault="00296A74" w:rsidP="006E5F9A">
      <w:pPr>
        <w:pStyle w:val="a4"/>
        <w:ind w:left="0"/>
      </w:pPr>
      <w:r w:rsidRPr="0028514E">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fldChar w:fldCharType="begin"/>
      </w:r>
      <w:r>
        <w:instrText>HYPERLINK "https://www.ema.europa.eu/documents/template-form/appendix-v-adverse-drug-reaction-reporting-details_en.doc" \h</w:instrText>
      </w:r>
      <w:r>
        <w:fldChar w:fldCharType="separate"/>
      </w:r>
      <w:r w:rsidRPr="0028514E">
        <w:rPr>
          <w:color w:val="0000FF"/>
          <w:u w:val="single" w:color="0000FF"/>
          <w:shd w:val="clear" w:color="auto" w:fill="C1C1C1"/>
        </w:rPr>
        <w:t>liitteessä V</w:t>
      </w:r>
      <w:r>
        <w:fldChar w:fldCharType="end"/>
      </w:r>
      <w:r w:rsidRPr="0028514E">
        <w:rPr>
          <w:color w:val="0000FF"/>
          <w:u w:val="single" w:color="0000FF"/>
          <w:shd w:val="clear" w:color="auto" w:fill="C1C1C1"/>
        </w:rPr>
        <w:t xml:space="preserve"> </w:t>
      </w:r>
      <w:r w:rsidRPr="0028514E">
        <w:rPr>
          <w:color w:val="000000"/>
          <w:shd w:val="clear" w:color="auto" w:fill="C1C1C1"/>
        </w:rPr>
        <w:t>luetellun kansallisen ilmoitusjärjestelmän kautta.</w:t>
      </w:r>
    </w:p>
    <w:p w14:paraId="3CDD3BEB" w14:textId="77777777" w:rsidR="003B7027" w:rsidRPr="0028514E" w:rsidRDefault="003B7027" w:rsidP="006E5F9A">
      <w:pPr>
        <w:pStyle w:val="a4"/>
        <w:ind w:left="0"/>
      </w:pPr>
    </w:p>
    <w:p w14:paraId="0E508A1B" w14:textId="77777777" w:rsidR="003B7027" w:rsidRPr="0028514E" w:rsidRDefault="00296A74" w:rsidP="00920FF7">
      <w:pPr>
        <w:pStyle w:val="2"/>
        <w:tabs>
          <w:tab w:val="clear" w:pos="603"/>
        </w:tabs>
      </w:pPr>
      <w:r w:rsidRPr="0028514E">
        <w:t>4.9</w:t>
      </w:r>
      <w:r w:rsidRPr="0028514E">
        <w:tab/>
        <w:t>Yliannostus</w:t>
      </w:r>
    </w:p>
    <w:p w14:paraId="42CED838" w14:textId="77777777" w:rsidR="00A747A8" w:rsidRPr="0028514E" w:rsidRDefault="00A747A8" w:rsidP="00FF1202"/>
    <w:p w14:paraId="1449AED8" w14:textId="7B7EC978" w:rsidR="003B7027" w:rsidRPr="0028514E" w:rsidRDefault="00296A74" w:rsidP="003C43CF">
      <w:pPr>
        <w:pStyle w:val="a4"/>
        <w:ind w:left="0"/>
      </w:pPr>
      <w:r w:rsidRPr="0028514E">
        <w:t xml:space="preserve">Tietoja </w:t>
      </w:r>
      <w:r w:rsidR="00525031">
        <w:t>tosilitsumabin</w:t>
      </w:r>
      <w:r w:rsidR="00525031" w:rsidRPr="0028514E">
        <w:t xml:space="preserve"> </w:t>
      </w:r>
      <w:r w:rsidRPr="0028514E">
        <w:t>yliannostuksesta on rajoitetusti. Yksi tahaton yliannostustapaus on raportoitu. Siinä multippelia myeloomaa sairastava potilas sai kerta-annoksena 40 mg/kg. Haittavaikutuksia ei havaittu.</w:t>
      </w:r>
    </w:p>
    <w:p w14:paraId="69C5476B" w14:textId="77777777" w:rsidR="003B7027" w:rsidRPr="0028514E" w:rsidRDefault="003B7027" w:rsidP="006E5F9A">
      <w:pPr>
        <w:pStyle w:val="a4"/>
        <w:ind w:left="0"/>
      </w:pPr>
    </w:p>
    <w:p w14:paraId="5051C17E" w14:textId="77777777" w:rsidR="003B7027" w:rsidRPr="0028514E" w:rsidRDefault="00296A74" w:rsidP="006E5F9A">
      <w:pPr>
        <w:pStyle w:val="a4"/>
        <w:ind w:left="0"/>
      </w:pPr>
      <w:r w:rsidRPr="0028514E">
        <w:t>Vakavia haittavaikutuksia ei havaittu, kun terveille koehenkilöille annettiin kerta-annoksena enintään 28 mg/kg, mutta annostusta rajoittavaa neutropeniaa todettiin.</w:t>
      </w:r>
    </w:p>
    <w:p w14:paraId="6B78CEA5" w14:textId="77777777" w:rsidR="00A747A8" w:rsidRPr="0028514E" w:rsidRDefault="00A747A8" w:rsidP="006E5F9A">
      <w:pPr>
        <w:pStyle w:val="a4"/>
        <w:ind w:left="0"/>
      </w:pPr>
    </w:p>
    <w:p w14:paraId="149C81E9" w14:textId="77777777" w:rsidR="003B7027" w:rsidRPr="00CA43F5" w:rsidRDefault="00296A74" w:rsidP="006E5F9A">
      <w:pPr>
        <w:rPr>
          <w:b/>
          <w:lang w:val="fi-FI"/>
        </w:rPr>
      </w:pPr>
      <w:r w:rsidRPr="00CA43F5">
        <w:rPr>
          <w:b/>
          <w:u w:val="single"/>
          <w:lang w:val="fi-FI"/>
        </w:rPr>
        <w:t>Pediatriset potilaat</w:t>
      </w:r>
    </w:p>
    <w:p w14:paraId="533085C2" w14:textId="77777777" w:rsidR="00D53489" w:rsidRPr="0028514E" w:rsidRDefault="00D53489" w:rsidP="006E5F9A">
      <w:pPr>
        <w:pStyle w:val="a4"/>
        <w:ind w:left="0"/>
      </w:pPr>
    </w:p>
    <w:p w14:paraId="07885393" w14:textId="77777777" w:rsidR="003B7027" w:rsidRPr="0028514E" w:rsidRDefault="00296A74" w:rsidP="006E5F9A">
      <w:pPr>
        <w:pStyle w:val="a4"/>
        <w:ind w:left="0"/>
      </w:pPr>
      <w:r w:rsidRPr="0028514E">
        <w:t>Yliannostustapauksia ei ole havaittu pediatrisilla potilailla.</w:t>
      </w:r>
    </w:p>
    <w:p w14:paraId="13FAD7B1" w14:textId="77777777" w:rsidR="003B7027" w:rsidRPr="0028514E" w:rsidRDefault="003B7027" w:rsidP="006E5F9A">
      <w:pPr>
        <w:pStyle w:val="a4"/>
        <w:ind w:left="0"/>
      </w:pPr>
    </w:p>
    <w:p w14:paraId="19315800" w14:textId="77777777" w:rsidR="003B7027" w:rsidRPr="0028514E" w:rsidRDefault="003B7027" w:rsidP="006E5F9A">
      <w:pPr>
        <w:pStyle w:val="a4"/>
        <w:ind w:left="0"/>
      </w:pPr>
    </w:p>
    <w:p w14:paraId="1509C268" w14:textId="77777777" w:rsidR="003B7027" w:rsidRPr="0028514E" w:rsidRDefault="00296A74" w:rsidP="005A5DBD">
      <w:pPr>
        <w:pStyle w:val="1"/>
        <w:keepNext/>
      </w:pPr>
      <w:r w:rsidRPr="0028514E">
        <w:t>5.</w:t>
      </w:r>
      <w:r w:rsidRPr="0028514E">
        <w:tab/>
        <w:t>FARMAKOLOGISET OMINAISUUDET</w:t>
      </w:r>
    </w:p>
    <w:p w14:paraId="3273D16B" w14:textId="77777777" w:rsidR="00A747A8" w:rsidRPr="009A3CB5" w:rsidRDefault="00A747A8" w:rsidP="00FF1202">
      <w:pPr>
        <w:rPr>
          <w:lang w:val="fi-FI"/>
        </w:rPr>
      </w:pPr>
    </w:p>
    <w:p w14:paraId="2035D435" w14:textId="77777777" w:rsidR="003B7027" w:rsidRPr="0028514E" w:rsidRDefault="00296A74" w:rsidP="004101CF">
      <w:pPr>
        <w:pStyle w:val="2"/>
        <w:keepNext/>
        <w:tabs>
          <w:tab w:val="clear" w:pos="603"/>
        </w:tabs>
      </w:pPr>
      <w:r w:rsidRPr="0028514E">
        <w:t>5.1</w:t>
      </w:r>
      <w:r w:rsidRPr="0028514E">
        <w:tab/>
        <w:t>Farmakodynamiikka</w:t>
      </w:r>
    </w:p>
    <w:p w14:paraId="4C1AC307" w14:textId="77777777" w:rsidR="00A747A8" w:rsidRPr="009A3CB5" w:rsidRDefault="00A747A8" w:rsidP="001C1F69">
      <w:pPr>
        <w:rPr>
          <w:lang w:val="fi-FI"/>
        </w:rPr>
      </w:pPr>
    </w:p>
    <w:p w14:paraId="39B8D236" w14:textId="77777777" w:rsidR="003B7027" w:rsidRPr="0028514E" w:rsidRDefault="00296A74" w:rsidP="006E5F9A">
      <w:pPr>
        <w:pStyle w:val="a4"/>
        <w:ind w:left="0"/>
      </w:pPr>
      <w:r w:rsidRPr="0028514E">
        <w:t>Farmakoterapeuttinen ryhmä: Immunosuppressiiviset lääkeaineet, interleukiinin estäjät, ATC-koodi: L04AC07.</w:t>
      </w:r>
    </w:p>
    <w:p w14:paraId="02654653" w14:textId="77777777" w:rsidR="003B7027" w:rsidRDefault="003B7027" w:rsidP="006E5F9A">
      <w:pPr>
        <w:pStyle w:val="a4"/>
        <w:ind w:left="0"/>
      </w:pPr>
    </w:p>
    <w:p w14:paraId="2CB41AAA" w14:textId="394F3DF2" w:rsidR="00525031" w:rsidRDefault="00525031" w:rsidP="006E5F9A">
      <w:pPr>
        <w:pStyle w:val="a4"/>
        <w:ind w:left="0"/>
      </w:pPr>
      <w:r>
        <w:t xml:space="preserve">Avtozma </w:t>
      </w:r>
      <w:r w:rsidRPr="00AF361E">
        <w:t xml:space="preserve">on ns. biosimilaari lääkevalmiste. Yksityiskohtaisempaa tietoa on saatavilla Euroopan </w:t>
      </w:r>
      <w:r w:rsidRPr="00E42192">
        <w:t>lääkeviraston verkkosivulta:</w:t>
      </w:r>
      <w:r w:rsidRPr="00C70B85">
        <w:t xml:space="preserve"> </w:t>
      </w:r>
      <w:hyperlink r:id="rId13" w:history="1">
        <w:r w:rsidRPr="0057197A">
          <w:rPr>
            <w:rStyle w:val="ad"/>
            <w:rFonts w:eastAsia="SimSun"/>
          </w:rPr>
          <w:t>https://www.ema.europa.eu</w:t>
        </w:r>
      </w:hyperlink>
      <w:r w:rsidRPr="00E42192">
        <w:t>.</w:t>
      </w:r>
    </w:p>
    <w:p w14:paraId="6C4F5ABC" w14:textId="77777777" w:rsidR="00525031" w:rsidRPr="0028514E" w:rsidRDefault="00525031" w:rsidP="006E5F9A">
      <w:pPr>
        <w:pStyle w:val="a4"/>
        <w:ind w:left="0"/>
      </w:pPr>
    </w:p>
    <w:p w14:paraId="0247966D" w14:textId="77777777" w:rsidR="003B7027" w:rsidRPr="0028514E" w:rsidRDefault="00296A74" w:rsidP="00BF6076">
      <w:pPr>
        <w:pStyle w:val="a4"/>
        <w:keepNext/>
        <w:ind w:left="0"/>
      </w:pPr>
      <w:r w:rsidRPr="0028514E">
        <w:rPr>
          <w:u w:val="single"/>
        </w:rPr>
        <w:t>Vaikutusmekanismi</w:t>
      </w:r>
    </w:p>
    <w:p w14:paraId="0F6296E4" w14:textId="77777777" w:rsidR="003B7027" w:rsidRPr="0028514E" w:rsidRDefault="00296A74" w:rsidP="006E5F9A">
      <w:pPr>
        <w:pStyle w:val="a4"/>
        <w:ind w:left="0"/>
      </w:pPr>
      <w:r w:rsidRPr="0028514E">
        <w:t>Tosilitsumabi sitoutuu spesifisesti sekä liukoisiin että kalvoon sitoutuneisiin IL-6-reseptoreihin (sIL-6 ja mIL-6R). Tosilitsumabin on osoitettu estävän sIL-6R- ja mIL-6R-reseptorien kautta tapahtuvaa signaalinvälitystä. IL-6 on pleiotrooppinen tulehdusta vahvistava sytokiini, jota tuottavat useat eri solutyypit, kuten T- ja B-solut, monosyytit ja fibroblastit. IL-6 osallistuu erilaisiin fysiologisiin tapahtumaketjuihin, joita ovat esimerkiksi T-solun aktivoituminen, immunoglobuliinierityksen käynnistyminen, akuutin vaiheen proteiinisynteesin käynnistyminen maksassa ja hematopoieesin stimuloituminen. IL-6 on yhdistetty erilaisten sairauksien, kuten tulehdussairauksien, osteoporoosin ja kasvainten, patogeneesiin.</w:t>
      </w:r>
    </w:p>
    <w:p w14:paraId="54435149" w14:textId="77777777" w:rsidR="003207C4" w:rsidRPr="0028514E" w:rsidRDefault="003207C4" w:rsidP="006E5F9A">
      <w:pPr>
        <w:pStyle w:val="a4"/>
        <w:ind w:left="0"/>
      </w:pPr>
    </w:p>
    <w:p w14:paraId="35923308" w14:textId="77777777" w:rsidR="003B7027" w:rsidRPr="0028514E" w:rsidRDefault="00296A74" w:rsidP="006E5F9A">
      <w:pPr>
        <w:pStyle w:val="a4"/>
        <w:ind w:left="0"/>
      </w:pPr>
      <w:r w:rsidRPr="0028514E">
        <w:t>Farmakodynaamiset vaikutukset</w:t>
      </w:r>
    </w:p>
    <w:p w14:paraId="44BC958B" w14:textId="77777777" w:rsidR="003B7027" w:rsidRPr="0028514E" w:rsidRDefault="00296A74" w:rsidP="006E5F9A">
      <w:pPr>
        <w:pStyle w:val="a4"/>
        <w:ind w:left="0"/>
      </w:pPr>
      <w:r w:rsidRPr="0028514E">
        <w:t xml:space="preserve">Nivelreumapotilailla tehdyissä kliinisissä tosilitsumabitutkimuksissa havaittiin CRP:n (C-reaktiivisen proteiinin), laskon (La), seerumin amyloidi A:n (SAA) ja fibrinogeenin nopea lasku. Akuutin vaiheen </w:t>
      </w:r>
      <w:r w:rsidRPr="0028514E">
        <w:lastRenderedPageBreak/>
        <w:t>proteiineihin kohdistuvan vaikutuksen mukaisesti tosilitsumabihoitoon liittyi myös trombosyyttiarvon lasku normaalialueen sisällä. Hemoglobiiniarvon nousua havaittiin, sillä tosilitsumabi heikentää IL-6:n vaikutuksia hepsidiinin tuotantoon, mikä lisää raudan saatavuutta. Tosilitsumabihoitoa saaneilla potilailla CRP-arvon lasku normaalialueelle havaittiin jo toisella hoitoviikolla, ja lasku säilyi koko hoidon ajan.</w:t>
      </w:r>
    </w:p>
    <w:p w14:paraId="11C1D4F5" w14:textId="77777777" w:rsidR="00A747A8" w:rsidRPr="0028514E" w:rsidRDefault="00A747A8" w:rsidP="006E5F9A">
      <w:pPr>
        <w:pStyle w:val="a4"/>
        <w:ind w:left="0"/>
      </w:pPr>
    </w:p>
    <w:p w14:paraId="54137E37" w14:textId="77777777" w:rsidR="003B7027" w:rsidRPr="0028514E" w:rsidRDefault="00296A74" w:rsidP="006E5F9A">
      <w:pPr>
        <w:pStyle w:val="a4"/>
        <w:ind w:left="0"/>
      </w:pPr>
      <w:r w:rsidRPr="0028514E">
        <w:t>Kun tosilitsumabia annettiin annoksilla 2–28 mg/kg terveille vapaaehtoisille koehenkilöille, heidän neutrofiiliarvonsa laskivat alimmalle tasolleen 3–5 päivän kuluttua infuusiosta. Sen jälkeen neutrofiiliarvot palautuivat hoitoa edeltävälle tasolle annosriippuvaisesti. Nivelreumapotilailla havaittiin neutrofiiliarvojen muuttuvan vastaavalla tavalla tosilitsumabin annon jälkeen (ks. kohta 4.8).</w:t>
      </w:r>
    </w:p>
    <w:p w14:paraId="0ADDDB33" w14:textId="77777777" w:rsidR="003B7027" w:rsidRPr="0028514E" w:rsidRDefault="003B7027" w:rsidP="006E5F9A">
      <w:pPr>
        <w:pStyle w:val="a4"/>
        <w:ind w:left="0"/>
      </w:pPr>
    </w:p>
    <w:p w14:paraId="7C2EF77C" w14:textId="77777777" w:rsidR="003B7027" w:rsidRPr="0028514E" w:rsidRDefault="00296A74" w:rsidP="006E5F9A">
      <w:pPr>
        <w:pStyle w:val="a4"/>
        <w:ind w:left="0"/>
      </w:pPr>
      <w:r w:rsidRPr="0028514E">
        <w:t>COVID-19-potilailla, joille annettiin yksi 8 mg/kg tosilitsumabiannos laskimoon, CRP-arvon havaittiin laskeneen normaaleihin viitearvoihin jo 7. päivänä.</w:t>
      </w:r>
    </w:p>
    <w:p w14:paraId="30D94696" w14:textId="77777777" w:rsidR="003B7027" w:rsidRPr="0028514E" w:rsidRDefault="003B7027" w:rsidP="006E5F9A">
      <w:pPr>
        <w:pStyle w:val="a4"/>
        <w:ind w:left="0"/>
      </w:pPr>
    </w:p>
    <w:p w14:paraId="1A75A9C2" w14:textId="77777777" w:rsidR="003B7027" w:rsidRPr="0028514E" w:rsidRDefault="00296A74" w:rsidP="006E5F9A">
      <w:pPr>
        <w:pStyle w:val="a4"/>
        <w:ind w:left="0"/>
      </w:pPr>
      <w:r w:rsidRPr="0028514E">
        <w:rPr>
          <w:u w:val="single"/>
        </w:rPr>
        <w:t>Nivelreumapotilaat</w:t>
      </w:r>
    </w:p>
    <w:p w14:paraId="2EFE32F9" w14:textId="77777777" w:rsidR="003B7027" w:rsidRPr="0028514E" w:rsidRDefault="003B7027" w:rsidP="006E5F9A">
      <w:pPr>
        <w:pStyle w:val="a4"/>
        <w:ind w:left="0"/>
      </w:pPr>
    </w:p>
    <w:p w14:paraId="68F63679" w14:textId="77777777" w:rsidR="003B7027" w:rsidRPr="0028514E" w:rsidRDefault="00296A74" w:rsidP="006E5F9A">
      <w:pPr>
        <w:pStyle w:val="a4"/>
        <w:ind w:left="0"/>
      </w:pPr>
      <w:r w:rsidRPr="0028514E">
        <w:rPr>
          <w:u w:val="single"/>
        </w:rPr>
        <w:t>Kliininen teho ja turvallisuus</w:t>
      </w:r>
    </w:p>
    <w:p w14:paraId="4894ACC1" w14:textId="77777777" w:rsidR="003B7027" w:rsidRPr="0028514E" w:rsidRDefault="00296A74" w:rsidP="006E5F9A">
      <w:pPr>
        <w:pStyle w:val="a4"/>
        <w:ind w:left="0"/>
      </w:pPr>
      <w:r w:rsidRPr="0028514E">
        <w:t>Tosilitsumabin tehoa arvioitiin viidessä satunnaistetussa kaksoissokkoutetussa monikeskustutkimuksessa nivelreuman oireiden lievittymisen perusteella. Tutkimuksiin I–V otettiin</w:t>
      </w:r>
      <w:r w:rsidR="00A747A8" w:rsidRPr="0028514E">
        <w:t xml:space="preserve"> </w:t>
      </w:r>
      <w:r w:rsidR="003207C4" w:rsidRPr="0028514E">
        <w:t>≥</w:t>
      </w:r>
      <w:r w:rsidRPr="0028514E">
        <w:t xml:space="preserve"> 18-vuotiaita potilaita, joilla oli ACR-kriteerien (American College of Rheumatology) mukaan diagnosoitu aktiivinen nivelreuma ja lähtötilanteessa vähintään kahdeksan aristavaa ja kuusi turvonnutta niveltä.</w:t>
      </w:r>
    </w:p>
    <w:p w14:paraId="0AB43811" w14:textId="77777777" w:rsidR="00A747A8" w:rsidRPr="0028514E" w:rsidRDefault="00A747A8" w:rsidP="006E5F9A">
      <w:pPr>
        <w:pStyle w:val="a4"/>
        <w:ind w:left="0"/>
      </w:pPr>
    </w:p>
    <w:p w14:paraId="3ED79062" w14:textId="77777777" w:rsidR="003B7027" w:rsidRPr="0028514E" w:rsidRDefault="00296A74" w:rsidP="006E5F9A">
      <w:pPr>
        <w:pStyle w:val="a4"/>
        <w:ind w:left="0"/>
      </w:pPr>
      <w:r w:rsidRPr="0028514E">
        <w:t>Tutkimuksessa I tosilitsumabi annettiin laskimoon neljän viikon välein monoterapiana. Tutkimuksissa II, III ja V tosilitsumabi annettiin laskimoon neljän viikon välein yhdessä MTX:n kanssa. Vertailuna käytettiin lumevalmisteen ja MTX:n yhdistelmää. Tutkimuksessa IV tosilitsumabi annettiin laskimoon neljän viikon välein yhdessä muiden DMARDien kanssa. Vertailuna käytettiin lumevalmisteen ja muiden DMARDien yhdistelmää. Kaikissa viidessä tutkimuksessa ensisijainen päätetapahtuma oli niiden potilaiden osuus, jotka saavuttivat ACR20-vasteen viikkoon 24 mennessä.</w:t>
      </w:r>
    </w:p>
    <w:p w14:paraId="6ECADFE2" w14:textId="77777777" w:rsidR="003B7027" w:rsidRPr="0028514E" w:rsidRDefault="003B7027" w:rsidP="006E5F9A">
      <w:pPr>
        <w:pStyle w:val="a4"/>
        <w:ind w:left="0"/>
      </w:pPr>
    </w:p>
    <w:p w14:paraId="77FBCA99" w14:textId="77777777" w:rsidR="003B7027" w:rsidRPr="0028514E" w:rsidRDefault="00296A74" w:rsidP="006E5F9A">
      <w:pPr>
        <w:pStyle w:val="a4"/>
        <w:ind w:left="0"/>
      </w:pPr>
      <w:r w:rsidRPr="0028514E">
        <w:t>Tutkimuksessa I arvioitiin 673 potilasta, jotka eivät olleet saaneet MTX:a satunnaistamista edeltäneiden kuuden kuukauden aikana ja joiden aikaisempaa MTX-hoitoa ei oltu keskeytetty</w:t>
      </w:r>
      <w:r w:rsidR="00A747A8" w:rsidRPr="0028514E">
        <w:t xml:space="preserve"> </w:t>
      </w:r>
      <w:r w:rsidRPr="0028514E">
        <w:t>kliinisesti merkittävien toksisten vaikutusten tai hoidon tehottomuuden vuoksi. Valtaosa (67 %) potilaista ei ollut aikaisemmin saanut MTX:a. Tosilitsumabia annettiin 8 mg/kg neljän viikon välein monoterapiana. Vertailuryhmä sai MTX:a viikon välein (viikkoannos titrattiin 7,5 mg:sta enintään 20 mg:aan kahdeksan viikon jakson aikana).</w:t>
      </w:r>
    </w:p>
    <w:p w14:paraId="11984632" w14:textId="77777777" w:rsidR="003B7027" w:rsidRPr="0028514E" w:rsidRDefault="003B7027" w:rsidP="006E5F9A">
      <w:pPr>
        <w:pStyle w:val="a4"/>
        <w:ind w:left="0"/>
      </w:pPr>
    </w:p>
    <w:p w14:paraId="19C9B453" w14:textId="77777777" w:rsidR="003B7027" w:rsidRPr="0028514E" w:rsidRDefault="00296A74" w:rsidP="006E5F9A">
      <w:pPr>
        <w:pStyle w:val="a4"/>
        <w:ind w:left="0"/>
      </w:pPr>
      <w:r w:rsidRPr="0028514E">
        <w:t>Tutkimus II kesti kaksi vuotta, ja siihen kuului suunniteltu analyysi viikkojen 24, 52 ja 104 kohdalla. Tutkimuksessa arvioitiin 1196 potilasta, joille MTX ei ollut tuottanut riittävää hoitovastetta.</w:t>
      </w:r>
      <w:r w:rsidR="00A747A8" w:rsidRPr="0028514E">
        <w:t xml:space="preserve"> </w:t>
      </w:r>
      <w:r w:rsidRPr="0028514E">
        <w:t>Tosilitsumabiannos 4 mg/kg tai 8 mg/kg tai lumevalmiste annettiin sokkoutetusti neljän viikon välein 52 viikon ajan yhdistettynä vakaaseen MTX-annokseen (10–25 mg viikossa). Avoimessa vaiheessa, viikon 52 jälkeen, kaikilla potilailla oli mahdollisuus saada tosilitsumabihoitoa 8 mg/kg. Niistä potilaista, jotka olivat mukana tutkimuksen loppuun asti ja jotka oli satunnaistettu saamaan lumevalmistetta ja MTX:a, 86 % sai avoimessa vaiheessa tosilitsumabia 8 mg/kg tutkimuksen toisena vuonna. Ensisijainen päätetapahtuma 24 viikon kohdalla tehdyssä analyysissä oli ACR20-vasteen kriteerit täyttävien potilaiden suhteellinen osuus. Viikoilla 52 ja 104 muut ensisijaiset päätetapahtumat olivat nivelvaurioiden estyminen ja fyysisen toimintakyvyn paraneminen.</w:t>
      </w:r>
    </w:p>
    <w:p w14:paraId="6A17848E" w14:textId="77777777" w:rsidR="00A747A8" w:rsidRPr="0028514E" w:rsidRDefault="00A747A8" w:rsidP="006E5F9A">
      <w:pPr>
        <w:pStyle w:val="a4"/>
        <w:ind w:left="0"/>
      </w:pPr>
    </w:p>
    <w:p w14:paraId="23452277" w14:textId="77777777" w:rsidR="003B7027" w:rsidRPr="0028514E" w:rsidRDefault="00296A74" w:rsidP="006E5F9A">
      <w:pPr>
        <w:pStyle w:val="a4"/>
        <w:ind w:left="0"/>
      </w:pPr>
      <w:r w:rsidRPr="0028514E">
        <w:t>Tutkimuksessa III arvioitiin 623 potilasta, joille MTX ei ollut tuonut riittävää hoitovastetta. Tosilitsumabiannos 4 mg/kg tai 8 mg/kg tai lumevalmiste annettiin neljän viikon välein yhdistettynä vakaaseen MTX-annokseen (10–25 mg viikossa).</w:t>
      </w:r>
    </w:p>
    <w:p w14:paraId="2E47F1C5" w14:textId="77777777" w:rsidR="003B7027" w:rsidRPr="0028514E" w:rsidRDefault="003B7027" w:rsidP="006E5F9A">
      <w:pPr>
        <w:pStyle w:val="a4"/>
        <w:ind w:left="0"/>
      </w:pPr>
    </w:p>
    <w:p w14:paraId="1912D16F" w14:textId="77777777" w:rsidR="003B7027" w:rsidRPr="0028514E" w:rsidRDefault="00296A74" w:rsidP="006E5F9A">
      <w:pPr>
        <w:pStyle w:val="a4"/>
        <w:ind w:left="0"/>
      </w:pPr>
      <w:r w:rsidRPr="0028514E">
        <w:t>Tutkimuksessa IV arvioitiin 1220 potilasta, jotka eivät olleet saavuttaneet riittävää hoitovastetta nykyisellä reumalääkityksellään, johon kuului vähintään yksi DMARD. Tosilitsumabiannos 8 mg/kg tai lumevalmiste annettiin neljän viikon välein yhdistettynä DMARDien vakaaseen annokseen.</w:t>
      </w:r>
    </w:p>
    <w:p w14:paraId="01F95204" w14:textId="77777777" w:rsidR="00A747A8" w:rsidRPr="0028514E" w:rsidRDefault="00A747A8" w:rsidP="006E5F9A">
      <w:pPr>
        <w:pStyle w:val="a4"/>
        <w:ind w:left="0"/>
      </w:pPr>
    </w:p>
    <w:p w14:paraId="54CC09E4" w14:textId="77777777" w:rsidR="003B7027" w:rsidRPr="0028514E" w:rsidRDefault="00296A74" w:rsidP="006E5F9A">
      <w:pPr>
        <w:pStyle w:val="a4"/>
        <w:ind w:left="0"/>
      </w:pPr>
      <w:r w:rsidRPr="0028514E">
        <w:lastRenderedPageBreak/>
        <w:t>Tutkimuksessa V arvioitiin 499 potilasta, joille yksi tai useampi TNF-estäjä ei ollut tuonut riittävää hoitovastetta tai jotka eivät sietäneet näitä lääkkeitä. Hoito TNF-estäjillä lopetettiin ennen satunnaistamista. Tosilitsumabiannos 4 mg/kg tai 8 mg/kg tai lumevalmiste annettiin neljän viikon välein yhdistettynä vakaaseen MTX-annokseen (10–25 mg viikossa).</w:t>
      </w:r>
    </w:p>
    <w:p w14:paraId="32A450A4" w14:textId="77777777" w:rsidR="00A747A8" w:rsidRPr="0028514E" w:rsidRDefault="00A747A8" w:rsidP="006E5F9A">
      <w:pPr>
        <w:pStyle w:val="a4"/>
        <w:ind w:left="0"/>
      </w:pPr>
    </w:p>
    <w:p w14:paraId="64B661C4" w14:textId="77777777" w:rsidR="003B7027" w:rsidRPr="00CA43F5" w:rsidRDefault="00296A74" w:rsidP="006E5F9A">
      <w:pPr>
        <w:rPr>
          <w:i/>
          <w:lang w:val="fi-FI"/>
        </w:rPr>
      </w:pPr>
      <w:r w:rsidRPr="00CA43F5">
        <w:rPr>
          <w:i/>
          <w:lang w:val="fi-FI"/>
        </w:rPr>
        <w:t>Kliininen vaste</w:t>
      </w:r>
    </w:p>
    <w:p w14:paraId="43D19344" w14:textId="77777777" w:rsidR="003B7027" w:rsidRPr="0028514E" w:rsidRDefault="00296A74" w:rsidP="006E5F9A">
      <w:pPr>
        <w:pStyle w:val="a4"/>
        <w:ind w:left="0"/>
      </w:pPr>
      <w:r w:rsidRPr="0028514E">
        <w:t>Kaikissa tutkimuksissa kuuden kuukauden ACR20-, ACR50- ja ACR70-vasteet olivat tilastollisesti merkitsevästi suuremmat tosilitsumabia 8 mg/kg saaneiden potilaiden ryhmissä kuin vertailuryhmissä (taulukko 4). Tutkimuksessa I tosilitsumabi 8 mg/kg todettiin tehokkaammaksi kuin vaikuttava vertailuaine MTX.</w:t>
      </w:r>
    </w:p>
    <w:p w14:paraId="5A0B633B" w14:textId="77777777" w:rsidR="00A747A8" w:rsidRPr="0028514E" w:rsidRDefault="00A747A8" w:rsidP="006E5F9A">
      <w:pPr>
        <w:pStyle w:val="a4"/>
        <w:ind w:left="0"/>
      </w:pPr>
    </w:p>
    <w:p w14:paraId="01EAABE0" w14:textId="77777777" w:rsidR="003B7027" w:rsidRPr="0028514E" w:rsidRDefault="00296A74" w:rsidP="006E5F9A">
      <w:pPr>
        <w:pStyle w:val="a4"/>
        <w:ind w:left="0"/>
      </w:pPr>
      <w:r w:rsidRPr="0028514E">
        <w:t>Hoitoteho oli sama riippumatta potilaiden reumatekijästatuksesta, iästä, sukupuolesta, etnisestä taustasta, aikaisempien hoitojen lukumäärästä tai taudin tilasta. Vaikutus alkoi nopeasti (jo toisella hoitoviikolla), ja vaste suureni jatkuvasti hoidon keston myötä. Avoimissa jatkotutkimuksissa vasteen on todettu kestävän yli 3 vuotta.</w:t>
      </w:r>
    </w:p>
    <w:p w14:paraId="22D050E5" w14:textId="77777777" w:rsidR="003B7027" w:rsidRPr="0028514E" w:rsidRDefault="003B7027" w:rsidP="006E5F9A">
      <w:pPr>
        <w:pStyle w:val="a4"/>
        <w:ind w:left="0"/>
      </w:pPr>
    </w:p>
    <w:p w14:paraId="2CBC3497" w14:textId="77777777" w:rsidR="003B7027" w:rsidRPr="0028514E" w:rsidRDefault="00296A74" w:rsidP="006E5F9A">
      <w:pPr>
        <w:pStyle w:val="a4"/>
        <w:ind w:left="0"/>
      </w:pPr>
      <w:r w:rsidRPr="0028514E">
        <w:t>Kaikissa tutkimuksissa tosilitsumabiannosta 8 mg/kg saaneilla potilailla todettiin merkitsevää paranemista ACR-vasteen kaikissa yksittäisissä osatekijöissä (aristavien ja turvonneiden nivelten lukumäärä, potilaan ja lääkärin yleisarvio, toimintakykyä mittaava pistearvo, kivun arviointi ja CRP- arvo) verrattuna potilaisiin, jotka saivat lumevalmistetta yhdessä MTX:in tai muiden DMARDien kanssa.</w:t>
      </w:r>
    </w:p>
    <w:p w14:paraId="4B3A55B4" w14:textId="77777777" w:rsidR="00A747A8" w:rsidRPr="0028514E" w:rsidRDefault="00A747A8" w:rsidP="006E5F9A">
      <w:pPr>
        <w:pStyle w:val="a4"/>
        <w:ind w:left="0"/>
      </w:pPr>
    </w:p>
    <w:p w14:paraId="17F6B3DC" w14:textId="77777777" w:rsidR="003B7027" w:rsidRPr="0028514E" w:rsidRDefault="00296A74" w:rsidP="006E5F9A">
      <w:pPr>
        <w:pStyle w:val="a4"/>
        <w:ind w:left="0"/>
      </w:pPr>
      <w:r w:rsidRPr="0028514E">
        <w:t>Tutkimuksissa I–V potilaiden keskimääräinen DAS28 (Disease Activity Score) -indeksi hoidon alussa oli 6,5–6,8. DAS28-indeksin merkitsevää laskua (keskimääräinen parannus) havaittiin tosilitsumabilla hoidetuilla potilailla verrattuna kontrolliryhmän potilaisiin. Tosilitsumabilla hoidetuilla potilailla DAS28 laski 3,1–3,4 yksikköä ja kontrolliryhmässä 1,3–2,1 yksikköä. Tosilitsumabihoitoa saaneista potilaista 28–34 % saavutti DAS28-remission viikolla 24 (DAS28 &lt; 2,6). Osuus oli huomattavasti suurempi kuin kontrolliryhmässä, jossa vastaava luku oli 1–12 %. Tutkimuksessa II, 65 % potilaista saavutti DAS28 &lt;2,6 viikolla 104. Vastaava luku viikolla 52 oli 48 % ja viikolla 24 33 %.</w:t>
      </w:r>
    </w:p>
    <w:p w14:paraId="6E5EADC0" w14:textId="77777777" w:rsidR="003B7027" w:rsidRPr="0028514E" w:rsidRDefault="003B7027" w:rsidP="006E5F9A">
      <w:pPr>
        <w:pStyle w:val="a4"/>
        <w:ind w:left="0"/>
      </w:pPr>
    </w:p>
    <w:p w14:paraId="413C8CBF" w14:textId="77777777" w:rsidR="003B7027" w:rsidRPr="0028514E" w:rsidRDefault="00296A74" w:rsidP="006E5F9A">
      <w:pPr>
        <w:pStyle w:val="a4"/>
        <w:ind w:left="0"/>
      </w:pPr>
      <w:r w:rsidRPr="0028514E">
        <w:t>Tutkimusten II, III ja IV yhdistetyssä analyysissä ACR20-, ACR50- ja ACR70-vasteiden saavuttaneiden potilaiden osuus oli merkitsevästi suurempi ryhmässä, joka sai tosilitsumabia 8 mg/kg yhdessä DMARDien kanssa (59 %, 37 % ja 18 %), kuin ryhmässä, joka sai tosilitsumabia 4 mg/kg</w:t>
      </w:r>
      <w:r w:rsidR="00A747A8" w:rsidRPr="0028514E">
        <w:t xml:space="preserve"> </w:t>
      </w:r>
      <w:r w:rsidRPr="0028514E">
        <w:t>yhdessä DMARDien kanssa (50 %, 27 % ja 11 %; p &lt; 0,03). Vastaavasti DAS28-remission (DAS28</w:t>
      </w:r>
      <w:r w:rsidR="00A747A8" w:rsidRPr="0028514E">
        <w:t xml:space="preserve"> </w:t>
      </w:r>
      <w:r w:rsidRPr="0028514E">
        <w:t>&lt; 2,6) saavuttaneiden potilaiden osuus oli merkitsevästi suurempi tosilitsumabia 8 mg/kg ja DMARDeja saaneessa ryhmässä (31 %) kuin tosilitsumabia 4 mg/kg ja DMARDeja saaneessa ryhmässä (16 %, p &lt; 0,0001).</w:t>
      </w:r>
    </w:p>
    <w:p w14:paraId="4AF047BD" w14:textId="77777777" w:rsidR="003B7027" w:rsidRPr="0028514E" w:rsidRDefault="003B7027" w:rsidP="006E5F9A">
      <w:pPr>
        <w:pStyle w:val="a4"/>
        <w:ind w:left="0"/>
      </w:pPr>
    </w:p>
    <w:p w14:paraId="7EFCFB04" w14:textId="77777777" w:rsidR="003B7027" w:rsidRPr="00CA43F5" w:rsidRDefault="00296A74" w:rsidP="00BF6076">
      <w:pPr>
        <w:pStyle w:val="Tabletitle"/>
        <w:keepNext/>
        <w:rPr>
          <w:lang w:val="fi-FI"/>
        </w:rPr>
      </w:pPr>
      <w:r w:rsidRPr="00CA43F5">
        <w:rPr>
          <w:lang w:val="fi-FI"/>
        </w:rPr>
        <w:t>Taulukko 4.</w:t>
      </w:r>
      <w:r w:rsidR="00A747A8" w:rsidRPr="00CA43F5">
        <w:rPr>
          <w:lang w:val="fi-FI"/>
        </w:rPr>
        <w:tab/>
      </w:r>
      <w:r w:rsidRPr="00CA43F5">
        <w:rPr>
          <w:lang w:val="fi-FI"/>
        </w:rPr>
        <w:t>ACR-vasteet kontrolloiduissa tutkimuksissa, joissa vertailuaineina olivat lumevalmiste / MTX / DMARDit, (% potilaista)</w:t>
      </w:r>
    </w:p>
    <w:p w14:paraId="4A36D518" w14:textId="77777777" w:rsidR="00A747A8" w:rsidRPr="00CA43F5" w:rsidRDefault="00A747A8" w:rsidP="00BF6076">
      <w:pPr>
        <w:keepNext/>
        <w:rPr>
          <w:lang w:val="fi-FI"/>
        </w:rPr>
      </w:pPr>
    </w:p>
    <w:tbl>
      <w:tblPr>
        <w:tblW w:w="500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8" w:type="dxa"/>
          <w:bottom w:w="29" w:type="dxa"/>
          <w:right w:w="28" w:type="dxa"/>
        </w:tblCellMar>
        <w:tblLook w:val="01E0" w:firstRow="1" w:lastRow="1" w:firstColumn="1" w:lastColumn="1" w:noHBand="0" w:noVBand="0"/>
      </w:tblPr>
      <w:tblGrid>
        <w:gridCol w:w="526"/>
        <w:gridCol w:w="855"/>
        <w:gridCol w:w="829"/>
        <w:gridCol w:w="968"/>
        <w:gridCol w:w="829"/>
        <w:gridCol w:w="830"/>
        <w:gridCol w:w="691"/>
        <w:gridCol w:w="936"/>
        <w:gridCol w:w="1000"/>
        <w:gridCol w:w="829"/>
        <w:gridCol w:w="771"/>
      </w:tblGrid>
      <w:tr w:rsidR="003B7027" w:rsidRPr="00D440EB" w14:paraId="3B995C94" w14:textId="77777777" w:rsidTr="00D440EB">
        <w:trPr>
          <w:cantSplit/>
          <w:tblHeader/>
        </w:trPr>
        <w:tc>
          <w:tcPr>
            <w:tcW w:w="537" w:type="dxa"/>
          </w:tcPr>
          <w:p w14:paraId="3499D150" w14:textId="77777777" w:rsidR="003B7027" w:rsidRPr="00D440EB" w:rsidRDefault="003B7027" w:rsidP="00BF6076">
            <w:pPr>
              <w:pStyle w:val="TableParagraph"/>
              <w:keepNext/>
              <w:suppressAutoHyphens/>
              <w:rPr>
                <w:sz w:val="18"/>
                <w:szCs w:val="18"/>
              </w:rPr>
            </w:pPr>
          </w:p>
        </w:tc>
        <w:tc>
          <w:tcPr>
            <w:tcW w:w="1726" w:type="dxa"/>
            <w:gridSpan w:val="2"/>
          </w:tcPr>
          <w:p w14:paraId="0BFFAA81" w14:textId="77777777" w:rsidR="003B7027" w:rsidRPr="00D440EB" w:rsidRDefault="00296A74" w:rsidP="00BF6076">
            <w:pPr>
              <w:pStyle w:val="TableParagraph"/>
              <w:keepNext/>
              <w:suppressAutoHyphens/>
              <w:jc w:val="center"/>
              <w:rPr>
                <w:b/>
                <w:sz w:val="18"/>
                <w:szCs w:val="18"/>
              </w:rPr>
            </w:pPr>
            <w:r w:rsidRPr="00D440EB">
              <w:rPr>
                <w:b/>
                <w:sz w:val="18"/>
                <w:szCs w:val="18"/>
              </w:rPr>
              <w:t>Tutkimus I AMBITION</w:t>
            </w:r>
          </w:p>
        </w:tc>
        <w:tc>
          <w:tcPr>
            <w:tcW w:w="1843" w:type="dxa"/>
            <w:gridSpan w:val="2"/>
          </w:tcPr>
          <w:p w14:paraId="6A3CD26E" w14:textId="77777777" w:rsidR="003B7027" w:rsidRPr="00D440EB" w:rsidRDefault="00296A74" w:rsidP="00BF6076">
            <w:pPr>
              <w:pStyle w:val="TableParagraph"/>
              <w:keepNext/>
              <w:suppressAutoHyphens/>
              <w:jc w:val="center"/>
              <w:rPr>
                <w:b/>
                <w:sz w:val="18"/>
                <w:szCs w:val="18"/>
              </w:rPr>
            </w:pPr>
            <w:r w:rsidRPr="00D440EB">
              <w:rPr>
                <w:b/>
                <w:sz w:val="18"/>
                <w:szCs w:val="18"/>
              </w:rPr>
              <w:t xml:space="preserve">Tutkimus II </w:t>
            </w:r>
            <w:r w:rsidR="003207C4" w:rsidRPr="00D440EB">
              <w:rPr>
                <w:b/>
                <w:sz w:val="18"/>
                <w:szCs w:val="18"/>
              </w:rPr>
              <w:br/>
            </w:r>
            <w:r w:rsidRPr="00D440EB">
              <w:rPr>
                <w:b/>
                <w:sz w:val="18"/>
                <w:szCs w:val="18"/>
              </w:rPr>
              <w:t>LITHE</w:t>
            </w:r>
          </w:p>
        </w:tc>
        <w:tc>
          <w:tcPr>
            <w:tcW w:w="1559" w:type="dxa"/>
            <w:gridSpan w:val="2"/>
          </w:tcPr>
          <w:p w14:paraId="3A61AF50" w14:textId="77777777" w:rsidR="003B7027" w:rsidRPr="00D440EB" w:rsidRDefault="00296A74" w:rsidP="00BF6076">
            <w:pPr>
              <w:pStyle w:val="TableParagraph"/>
              <w:keepNext/>
              <w:suppressAutoHyphens/>
              <w:jc w:val="center"/>
              <w:rPr>
                <w:b/>
                <w:sz w:val="18"/>
                <w:szCs w:val="18"/>
              </w:rPr>
            </w:pPr>
            <w:r w:rsidRPr="00D440EB">
              <w:rPr>
                <w:b/>
                <w:sz w:val="18"/>
                <w:szCs w:val="18"/>
              </w:rPr>
              <w:t>Tutkimus III OPTION</w:t>
            </w:r>
          </w:p>
        </w:tc>
        <w:tc>
          <w:tcPr>
            <w:tcW w:w="1985" w:type="dxa"/>
            <w:gridSpan w:val="2"/>
          </w:tcPr>
          <w:p w14:paraId="508F5260" w14:textId="77777777" w:rsidR="003B7027" w:rsidRPr="00D440EB" w:rsidRDefault="00296A74" w:rsidP="00BF6076">
            <w:pPr>
              <w:pStyle w:val="TableParagraph"/>
              <w:keepNext/>
              <w:suppressAutoHyphens/>
              <w:jc w:val="center"/>
              <w:rPr>
                <w:b/>
                <w:sz w:val="18"/>
                <w:szCs w:val="18"/>
              </w:rPr>
            </w:pPr>
            <w:r w:rsidRPr="00D440EB">
              <w:rPr>
                <w:b/>
                <w:sz w:val="18"/>
                <w:szCs w:val="18"/>
              </w:rPr>
              <w:t>Tutkimus IV TOWARD</w:t>
            </w:r>
          </w:p>
        </w:tc>
        <w:tc>
          <w:tcPr>
            <w:tcW w:w="1640" w:type="dxa"/>
            <w:gridSpan w:val="2"/>
          </w:tcPr>
          <w:p w14:paraId="2557FD33" w14:textId="77777777" w:rsidR="003B7027" w:rsidRPr="00D440EB" w:rsidRDefault="00296A74" w:rsidP="00BF6076">
            <w:pPr>
              <w:pStyle w:val="TableParagraph"/>
              <w:keepNext/>
              <w:suppressAutoHyphens/>
              <w:jc w:val="center"/>
              <w:rPr>
                <w:b/>
                <w:sz w:val="18"/>
                <w:szCs w:val="18"/>
              </w:rPr>
            </w:pPr>
            <w:r w:rsidRPr="00D440EB">
              <w:rPr>
                <w:b/>
                <w:sz w:val="18"/>
                <w:szCs w:val="18"/>
              </w:rPr>
              <w:t>Tutkimus V RADIATE</w:t>
            </w:r>
          </w:p>
        </w:tc>
      </w:tr>
      <w:tr w:rsidR="003B7027" w:rsidRPr="00D440EB" w14:paraId="16E2A5BF" w14:textId="77777777" w:rsidTr="00D440EB">
        <w:trPr>
          <w:cantSplit/>
          <w:tblHeader/>
        </w:trPr>
        <w:tc>
          <w:tcPr>
            <w:tcW w:w="537" w:type="dxa"/>
          </w:tcPr>
          <w:p w14:paraId="05816572" w14:textId="77777777" w:rsidR="003B7027" w:rsidRPr="00D440EB" w:rsidRDefault="00296A74" w:rsidP="003C43CF">
            <w:pPr>
              <w:pStyle w:val="TableParagraph"/>
              <w:suppressAutoHyphens/>
              <w:jc w:val="center"/>
              <w:rPr>
                <w:b/>
                <w:sz w:val="18"/>
                <w:szCs w:val="18"/>
              </w:rPr>
            </w:pPr>
            <w:r w:rsidRPr="00D440EB">
              <w:rPr>
                <w:b/>
                <w:sz w:val="18"/>
                <w:szCs w:val="18"/>
              </w:rPr>
              <w:t>Vko</w:t>
            </w:r>
          </w:p>
        </w:tc>
        <w:tc>
          <w:tcPr>
            <w:tcW w:w="876" w:type="dxa"/>
          </w:tcPr>
          <w:p w14:paraId="501D8B6C" w14:textId="77777777" w:rsidR="003B7027" w:rsidRPr="00D440EB" w:rsidRDefault="00296A74" w:rsidP="003C43CF">
            <w:pPr>
              <w:pStyle w:val="TableParagraph"/>
              <w:suppressAutoHyphens/>
              <w:jc w:val="center"/>
              <w:rPr>
                <w:b/>
                <w:sz w:val="18"/>
                <w:szCs w:val="18"/>
              </w:rPr>
            </w:pPr>
            <w:r w:rsidRPr="00D440EB">
              <w:rPr>
                <w:b/>
                <w:sz w:val="18"/>
                <w:szCs w:val="18"/>
              </w:rPr>
              <w:t>TCZ</w:t>
            </w:r>
          </w:p>
          <w:p w14:paraId="187A933E" w14:textId="77777777" w:rsidR="003B7027" w:rsidRPr="00D440EB" w:rsidRDefault="00296A74" w:rsidP="003C43CF">
            <w:pPr>
              <w:pStyle w:val="TableParagraph"/>
              <w:suppressAutoHyphens/>
              <w:jc w:val="center"/>
              <w:rPr>
                <w:b/>
                <w:sz w:val="18"/>
                <w:szCs w:val="18"/>
              </w:rPr>
            </w:pPr>
            <w:r w:rsidRPr="00D440EB">
              <w:rPr>
                <w:b/>
                <w:sz w:val="18"/>
                <w:szCs w:val="18"/>
              </w:rPr>
              <w:t>8 mg/kg</w:t>
            </w:r>
          </w:p>
        </w:tc>
        <w:tc>
          <w:tcPr>
            <w:tcW w:w="850" w:type="dxa"/>
          </w:tcPr>
          <w:p w14:paraId="316F5F4E" w14:textId="77777777" w:rsidR="003B7027" w:rsidRPr="00D440EB" w:rsidRDefault="00296A74" w:rsidP="003C43CF">
            <w:pPr>
              <w:pStyle w:val="TableParagraph"/>
              <w:suppressAutoHyphens/>
              <w:jc w:val="center"/>
              <w:rPr>
                <w:b/>
                <w:sz w:val="18"/>
                <w:szCs w:val="18"/>
              </w:rPr>
            </w:pPr>
            <w:r w:rsidRPr="00D440EB">
              <w:rPr>
                <w:b/>
                <w:sz w:val="18"/>
                <w:szCs w:val="18"/>
              </w:rPr>
              <w:t>MTX</w:t>
            </w:r>
          </w:p>
        </w:tc>
        <w:tc>
          <w:tcPr>
            <w:tcW w:w="993" w:type="dxa"/>
          </w:tcPr>
          <w:p w14:paraId="18A80C81" w14:textId="77777777" w:rsidR="003B7027" w:rsidRPr="00D440EB" w:rsidRDefault="00296A74" w:rsidP="003C43CF">
            <w:pPr>
              <w:pStyle w:val="TableParagraph"/>
              <w:suppressAutoHyphens/>
              <w:jc w:val="center"/>
              <w:rPr>
                <w:b/>
                <w:sz w:val="18"/>
                <w:szCs w:val="18"/>
              </w:rPr>
            </w:pPr>
            <w:r w:rsidRPr="00D440EB">
              <w:rPr>
                <w:b/>
                <w:sz w:val="18"/>
                <w:szCs w:val="18"/>
              </w:rPr>
              <w:t>TCZ</w:t>
            </w:r>
          </w:p>
          <w:p w14:paraId="01F46A30" w14:textId="77777777" w:rsidR="003B7027" w:rsidRPr="00D440EB" w:rsidRDefault="00296A74" w:rsidP="003C43CF">
            <w:pPr>
              <w:pStyle w:val="TableParagraph"/>
              <w:suppressAutoHyphens/>
              <w:jc w:val="center"/>
              <w:rPr>
                <w:b/>
                <w:sz w:val="18"/>
                <w:szCs w:val="18"/>
              </w:rPr>
            </w:pPr>
            <w:r w:rsidRPr="00D440EB">
              <w:rPr>
                <w:b/>
                <w:sz w:val="18"/>
                <w:szCs w:val="18"/>
              </w:rPr>
              <w:t>8 mg/kg + MTX</w:t>
            </w:r>
          </w:p>
        </w:tc>
        <w:tc>
          <w:tcPr>
            <w:tcW w:w="850" w:type="dxa"/>
          </w:tcPr>
          <w:p w14:paraId="189A6531" w14:textId="77777777" w:rsidR="003B7027" w:rsidRPr="00D440EB" w:rsidRDefault="00296A74" w:rsidP="003C43CF">
            <w:pPr>
              <w:pStyle w:val="TableParagraph"/>
              <w:suppressAutoHyphens/>
              <w:jc w:val="center"/>
              <w:rPr>
                <w:b/>
                <w:sz w:val="18"/>
                <w:szCs w:val="18"/>
              </w:rPr>
            </w:pPr>
            <w:r w:rsidRPr="00D440EB">
              <w:rPr>
                <w:b/>
                <w:sz w:val="18"/>
                <w:szCs w:val="18"/>
              </w:rPr>
              <w:t>Lume</w:t>
            </w:r>
          </w:p>
          <w:p w14:paraId="7628D3A7" w14:textId="77777777" w:rsidR="003B7027" w:rsidRPr="00D440EB" w:rsidRDefault="00296A74" w:rsidP="003C43CF">
            <w:pPr>
              <w:pStyle w:val="TableParagraph"/>
              <w:suppressAutoHyphens/>
              <w:jc w:val="center"/>
              <w:rPr>
                <w:b/>
                <w:sz w:val="18"/>
                <w:szCs w:val="18"/>
              </w:rPr>
            </w:pPr>
            <w:r w:rsidRPr="00D440EB">
              <w:rPr>
                <w:b/>
                <w:sz w:val="18"/>
                <w:szCs w:val="18"/>
              </w:rPr>
              <w:t>+ MTX</w:t>
            </w:r>
          </w:p>
        </w:tc>
        <w:tc>
          <w:tcPr>
            <w:tcW w:w="851" w:type="dxa"/>
          </w:tcPr>
          <w:p w14:paraId="174CB01F" w14:textId="77777777" w:rsidR="003B7027" w:rsidRPr="00D440EB" w:rsidRDefault="00296A74" w:rsidP="003C43CF">
            <w:pPr>
              <w:pStyle w:val="TableParagraph"/>
              <w:suppressAutoHyphens/>
              <w:jc w:val="center"/>
              <w:rPr>
                <w:b/>
                <w:sz w:val="18"/>
                <w:szCs w:val="18"/>
              </w:rPr>
            </w:pPr>
            <w:r w:rsidRPr="00D440EB">
              <w:rPr>
                <w:b/>
                <w:sz w:val="18"/>
                <w:szCs w:val="18"/>
              </w:rPr>
              <w:t>TCZ</w:t>
            </w:r>
          </w:p>
          <w:p w14:paraId="740D51E0" w14:textId="77777777" w:rsidR="003B7027" w:rsidRPr="00D440EB" w:rsidRDefault="00296A74" w:rsidP="003C43CF">
            <w:pPr>
              <w:pStyle w:val="TableParagraph"/>
              <w:suppressAutoHyphens/>
              <w:jc w:val="center"/>
              <w:rPr>
                <w:b/>
                <w:sz w:val="18"/>
                <w:szCs w:val="18"/>
              </w:rPr>
            </w:pPr>
            <w:r w:rsidRPr="00D440EB">
              <w:rPr>
                <w:b/>
                <w:sz w:val="18"/>
                <w:szCs w:val="18"/>
              </w:rPr>
              <w:t>8 mg/kg</w:t>
            </w:r>
          </w:p>
          <w:p w14:paraId="3E0AFC8E" w14:textId="77777777" w:rsidR="003B7027" w:rsidRPr="00D440EB" w:rsidRDefault="00296A74" w:rsidP="003C43CF">
            <w:pPr>
              <w:pStyle w:val="TableParagraph"/>
              <w:suppressAutoHyphens/>
              <w:jc w:val="center"/>
              <w:rPr>
                <w:b/>
                <w:sz w:val="18"/>
                <w:szCs w:val="18"/>
              </w:rPr>
            </w:pPr>
            <w:r w:rsidRPr="00D440EB">
              <w:rPr>
                <w:b/>
                <w:sz w:val="18"/>
                <w:szCs w:val="18"/>
              </w:rPr>
              <w:t>+ MTX</w:t>
            </w:r>
          </w:p>
        </w:tc>
        <w:tc>
          <w:tcPr>
            <w:tcW w:w="708" w:type="dxa"/>
          </w:tcPr>
          <w:p w14:paraId="4687A8EE" w14:textId="77777777" w:rsidR="003B7027" w:rsidRPr="00D440EB" w:rsidRDefault="00296A74" w:rsidP="003C43CF">
            <w:pPr>
              <w:pStyle w:val="TableParagraph"/>
              <w:suppressAutoHyphens/>
              <w:jc w:val="center"/>
              <w:rPr>
                <w:b/>
                <w:sz w:val="18"/>
                <w:szCs w:val="18"/>
              </w:rPr>
            </w:pPr>
            <w:r w:rsidRPr="00D440EB">
              <w:rPr>
                <w:b/>
                <w:sz w:val="18"/>
                <w:szCs w:val="18"/>
              </w:rPr>
              <w:t>Lume + MTX</w:t>
            </w:r>
          </w:p>
        </w:tc>
        <w:tc>
          <w:tcPr>
            <w:tcW w:w="960" w:type="dxa"/>
          </w:tcPr>
          <w:p w14:paraId="5D688807" w14:textId="77777777" w:rsidR="003B7027" w:rsidRPr="00D440EB" w:rsidRDefault="00296A74" w:rsidP="003C43CF">
            <w:pPr>
              <w:pStyle w:val="TableParagraph"/>
              <w:suppressAutoHyphens/>
              <w:jc w:val="center"/>
              <w:rPr>
                <w:b/>
                <w:sz w:val="18"/>
                <w:szCs w:val="18"/>
              </w:rPr>
            </w:pPr>
            <w:r w:rsidRPr="00D440EB">
              <w:rPr>
                <w:b/>
                <w:sz w:val="18"/>
                <w:szCs w:val="18"/>
              </w:rPr>
              <w:t>TCZ</w:t>
            </w:r>
          </w:p>
          <w:p w14:paraId="0E375F05" w14:textId="77777777" w:rsidR="003B7027" w:rsidRPr="00D440EB" w:rsidRDefault="00296A74" w:rsidP="003C43CF">
            <w:pPr>
              <w:pStyle w:val="TableParagraph"/>
              <w:suppressAutoHyphens/>
              <w:jc w:val="center"/>
              <w:rPr>
                <w:b/>
                <w:sz w:val="18"/>
                <w:szCs w:val="18"/>
              </w:rPr>
            </w:pPr>
            <w:r w:rsidRPr="00D440EB">
              <w:rPr>
                <w:b/>
                <w:sz w:val="18"/>
                <w:szCs w:val="18"/>
              </w:rPr>
              <w:t>8 mg/kg + DMARD</w:t>
            </w:r>
          </w:p>
        </w:tc>
        <w:tc>
          <w:tcPr>
            <w:tcW w:w="1025" w:type="dxa"/>
          </w:tcPr>
          <w:p w14:paraId="7D44FA8F" w14:textId="77777777" w:rsidR="003B7027" w:rsidRPr="00D440EB" w:rsidRDefault="00296A74" w:rsidP="003C43CF">
            <w:pPr>
              <w:pStyle w:val="TableParagraph"/>
              <w:suppressAutoHyphens/>
              <w:jc w:val="center"/>
              <w:rPr>
                <w:b/>
                <w:sz w:val="18"/>
                <w:szCs w:val="18"/>
              </w:rPr>
            </w:pPr>
            <w:r w:rsidRPr="00D440EB">
              <w:rPr>
                <w:b/>
                <w:sz w:val="18"/>
                <w:szCs w:val="18"/>
              </w:rPr>
              <w:t>Lume+ DMARD</w:t>
            </w:r>
          </w:p>
        </w:tc>
        <w:tc>
          <w:tcPr>
            <w:tcW w:w="850" w:type="dxa"/>
          </w:tcPr>
          <w:p w14:paraId="5A4D458C" w14:textId="77777777" w:rsidR="003B7027" w:rsidRPr="00D440EB" w:rsidRDefault="00296A74" w:rsidP="003C43CF">
            <w:pPr>
              <w:pStyle w:val="TableParagraph"/>
              <w:suppressAutoHyphens/>
              <w:jc w:val="center"/>
              <w:rPr>
                <w:b/>
                <w:sz w:val="18"/>
                <w:szCs w:val="18"/>
              </w:rPr>
            </w:pPr>
            <w:r w:rsidRPr="00D440EB">
              <w:rPr>
                <w:b/>
                <w:sz w:val="18"/>
                <w:szCs w:val="18"/>
              </w:rPr>
              <w:t>TCZ</w:t>
            </w:r>
          </w:p>
          <w:p w14:paraId="6171E09A" w14:textId="77777777" w:rsidR="003B7027" w:rsidRPr="00D440EB" w:rsidRDefault="00296A74" w:rsidP="003C43CF">
            <w:pPr>
              <w:pStyle w:val="TableParagraph"/>
              <w:suppressAutoHyphens/>
              <w:jc w:val="center"/>
              <w:rPr>
                <w:b/>
                <w:sz w:val="18"/>
                <w:szCs w:val="18"/>
              </w:rPr>
            </w:pPr>
            <w:r w:rsidRPr="00D440EB">
              <w:rPr>
                <w:b/>
                <w:sz w:val="18"/>
                <w:szCs w:val="18"/>
              </w:rPr>
              <w:t>8 mg/kg</w:t>
            </w:r>
          </w:p>
          <w:p w14:paraId="68C25E7E" w14:textId="77777777" w:rsidR="003B7027" w:rsidRPr="00D440EB" w:rsidRDefault="00296A74" w:rsidP="003C43CF">
            <w:pPr>
              <w:pStyle w:val="TableParagraph"/>
              <w:suppressAutoHyphens/>
              <w:jc w:val="center"/>
              <w:rPr>
                <w:b/>
                <w:sz w:val="18"/>
                <w:szCs w:val="18"/>
              </w:rPr>
            </w:pPr>
            <w:r w:rsidRPr="00D440EB">
              <w:rPr>
                <w:b/>
                <w:sz w:val="18"/>
                <w:szCs w:val="18"/>
              </w:rPr>
              <w:t>+ MTX</w:t>
            </w:r>
          </w:p>
        </w:tc>
        <w:tc>
          <w:tcPr>
            <w:tcW w:w="790" w:type="dxa"/>
          </w:tcPr>
          <w:p w14:paraId="03AFECDB" w14:textId="77777777" w:rsidR="003B7027" w:rsidRPr="00D440EB" w:rsidRDefault="00296A74" w:rsidP="003C43CF">
            <w:pPr>
              <w:pStyle w:val="TableParagraph"/>
              <w:suppressAutoHyphens/>
              <w:jc w:val="center"/>
              <w:rPr>
                <w:b/>
                <w:sz w:val="18"/>
                <w:szCs w:val="18"/>
              </w:rPr>
            </w:pPr>
            <w:r w:rsidRPr="00D440EB">
              <w:rPr>
                <w:b/>
                <w:sz w:val="18"/>
                <w:szCs w:val="18"/>
              </w:rPr>
              <w:t>Lume</w:t>
            </w:r>
          </w:p>
          <w:p w14:paraId="0F1E4250" w14:textId="77777777" w:rsidR="003B7027" w:rsidRPr="00D440EB" w:rsidRDefault="00296A74" w:rsidP="003C43CF">
            <w:pPr>
              <w:pStyle w:val="TableParagraph"/>
              <w:suppressAutoHyphens/>
              <w:jc w:val="center"/>
              <w:rPr>
                <w:b/>
                <w:sz w:val="18"/>
                <w:szCs w:val="18"/>
              </w:rPr>
            </w:pPr>
            <w:r w:rsidRPr="00D440EB">
              <w:rPr>
                <w:b/>
                <w:sz w:val="18"/>
                <w:szCs w:val="18"/>
              </w:rPr>
              <w:t>+ MTX</w:t>
            </w:r>
          </w:p>
        </w:tc>
      </w:tr>
      <w:tr w:rsidR="003B7027" w:rsidRPr="00D440EB" w14:paraId="12741FE9" w14:textId="77777777" w:rsidTr="00D440EB">
        <w:trPr>
          <w:cantSplit/>
          <w:tblHeader/>
        </w:trPr>
        <w:tc>
          <w:tcPr>
            <w:tcW w:w="537" w:type="dxa"/>
          </w:tcPr>
          <w:p w14:paraId="0FFD4A16" w14:textId="77777777" w:rsidR="003B7027" w:rsidRPr="00D440EB" w:rsidRDefault="003B7027" w:rsidP="003C43CF">
            <w:pPr>
              <w:pStyle w:val="TableParagraph"/>
              <w:suppressAutoHyphens/>
              <w:rPr>
                <w:sz w:val="18"/>
                <w:szCs w:val="18"/>
              </w:rPr>
            </w:pPr>
          </w:p>
        </w:tc>
        <w:tc>
          <w:tcPr>
            <w:tcW w:w="876" w:type="dxa"/>
          </w:tcPr>
          <w:p w14:paraId="030FDC3A" w14:textId="77777777" w:rsidR="003B7027" w:rsidRPr="00D440EB" w:rsidRDefault="00296A74" w:rsidP="003C43CF">
            <w:pPr>
              <w:pStyle w:val="TableParagraph"/>
              <w:suppressAutoHyphens/>
              <w:jc w:val="center"/>
              <w:rPr>
                <w:b/>
                <w:sz w:val="18"/>
                <w:szCs w:val="18"/>
              </w:rPr>
            </w:pPr>
            <w:r w:rsidRPr="00D440EB">
              <w:rPr>
                <w:b/>
                <w:sz w:val="18"/>
                <w:szCs w:val="18"/>
              </w:rPr>
              <w:t>N = 286</w:t>
            </w:r>
          </w:p>
        </w:tc>
        <w:tc>
          <w:tcPr>
            <w:tcW w:w="850" w:type="dxa"/>
          </w:tcPr>
          <w:p w14:paraId="12805352" w14:textId="77777777" w:rsidR="003B7027" w:rsidRPr="00D440EB" w:rsidRDefault="00296A74" w:rsidP="003C43CF">
            <w:pPr>
              <w:pStyle w:val="TableParagraph"/>
              <w:suppressAutoHyphens/>
              <w:jc w:val="center"/>
              <w:rPr>
                <w:b/>
                <w:sz w:val="18"/>
                <w:szCs w:val="18"/>
              </w:rPr>
            </w:pPr>
            <w:r w:rsidRPr="00D440EB">
              <w:rPr>
                <w:b/>
                <w:sz w:val="18"/>
                <w:szCs w:val="18"/>
              </w:rPr>
              <w:t>N = 284</w:t>
            </w:r>
          </w:p>
        </w:tc>
        <w:tc>
          <w:tcPr>
            <w:tcW w:w="993" w:type="dxa"/>
          </w:tcPr>
          <w:p w14:paraId="600937BF" w14:textId="77777777" w:rsidR="003B7027" w:rsidRPr="00D440EB" w:rsidRDefault="00296A74" w:rsidP="003C43CF">
            <w:pPr>
              <w:pStyle w:val="TableParagraph"/>
              <w:suppressAutoHyphens/>
              <w:jc w:val="center"/>
              <w:rPr>
                <w:b/>
                <w:sz w:val="18"/>
                <w:szCs w:val="18"/>
              </w:rPr>
            </w:pPr>
            <w:r w:rsidRPr="00D440EB">
              <w:rPr>
                <w:b/>
                <w:sz w:val="18"/>
                <w:szCs w:val="18"/>
              </w:rPr>
              <w:t>N = 398</w:t>
            </w:r>
          </w:p>
        </w:tc>
        <w:tc>
          <w:tcPr>
            <w:tcW w:w="850" w:type="dxa"/>
          </w:tcPr>
          <w:p w14:paraId="5CAC8BC0" w14:textId="77777777" w:rsidR="003B7027" w:rsidRPr="00D440EB" w:rsidRDefault="00296A74" w:rsidP="003C43CF">
            <w:pPr>
              <w:pStyle w:val="TableParagraph"/>
              <w:suppressAutoHyphens/>
              <w:jc w:val="center"/>
              <w:rPr>
                <w:b/>
                <w:sz w:val="18"/>
                <w:szCs w:val="18"/>
              </w:rPr>
            </w:pPr>
            <w:r w:rsidRPr="00D440EB">
              <w:rPr>
                <w:b/>
                <w:sz w:val="18"/>
                <w:szCs w:val="18"/>
              </w:rPr>
              <w:t>N = 393</w:t>
            </w:r>
          </w:p>
        </w:tc>
        <w:tc>
          <w:tcPr>
            <w:tcW w:w="851" w:type="dxa"/>
          </w:tcPr>
          <w:p w14:paraId="627A3E22" w14:textId="77777777" w:rsidR="003B7027" w:rsidRPr="00D440EB" w:rsidRDefault="00296A74" w:rsidP="003C43CF">
            <w:pPr>
              <w:pStyle w:val="TableParagraph"/>
              <w:suppressAutoHyphens/>
              <w:jc w:val="center"/>
              <w:rPr>
                <w:b/>
                <w:sz w:val="18"/>
                <w:szCs w:val="18"/>
              </w:rPr>
            </w:pPr>
            <w:r w:rsidRPr="00D440EB">
              <w:rPr>
                <w:b/>
                <w:sz w:val="18"/>
                <w:szCs w:val="18"/>
              </w:rPr>
              <w:t>N = 205</w:t>
            </w:r>
          </w:p>
        </w:tc>
        <w:tc>
          <w:tcPr>
            <w:tcW w:w="708" w:type="dxa"/>
          </w:tcPr>
          <w:p w14:paraId="06AE8216" w14:textId="77777777" w:rsidR="003B7027" w:rsidRPr="00D440EB" w:rsidRDefault="00296A74" w:rsidP="003C43CF">
            <w:pPr>
              <w:pStyle w:val="TableParagraph"/>
              <w:suppressAutoHyphens/>
              <w:jc w:val="center"/>
              <w:rPr>
                <w:b/>
                <w:sz w:val="18"/>
                <w:szCs w:val="18"/>
              </w:rPr>
            </w:pPr>
            <w:r w:rsidRPr="00D440EB">
              <w:rPr>
                <w:b/>
                <w:sz w:val="18"/>
                <w:szCs w:val="18"/>
              </w:rPr>
              <w:t>N = 204</w:t>
            </w:r>
          </w:p>
        </w:tc>
        <w:tc>
          <w:tcPr>
            <w:tcW w:w="960" w:type="dxa"/>
          </w:tcPr>
          <w:p w14:paraId="6FC13066" w14:textId="77777777" w:rsidR="003B7027" w:rsidRPr="00D440EB" w:rsidRDefault="00296A74" w:rsidP="003C43CF">
            <w:pPr>
              <w:pStyle w:val="TableParagraph"/>
              <w:suppressAutoHyphens/>
              <w:jc w:val="center"/>
              <w:rPr>
                <w:b/>
                <w:sz w:val="18"/>
                <w:szCs w:val="18"/>
              </w:rPr>
            </w:pPr>
            <w:r w:rsidRPr="00D440EB">
              <w:rPr>
                <w:b/>
                <w:sz w:val="18"/>
                <w:szCs w:val="18"/>
              </w:rPr>
              <w:t>N = 803</w:t>
            </w:r>
          </w:p>
        </w:tc>
        <w:tc>
          <w:tcPr>
            <w:tcW w:w="1025" w:type="dxa"/>
          </w:tcPr>
          <w:p w14:paraId="616AB1EA" w14:textId="77777777" w:rsidR="003B7027" w:rsidRPr="00D440EB" w:rsidRDefault="00296A74" w:rsidP="003C43CF">
            <w:pPr>
              <w:pStyle w:val="TableParagraph"/>
              <w:suppressAutoHyphens/>
              <w:jc w:val="center"/>
              <w:rPr>
                <w:b/>
                <w:sz w:val="18"/>
                <w:szCs w:val="18"/>
              </w:rPr>
            </w:pPr>
            <w:r w:rsidRPr="00D440EB">
              <w:rPr>
                <w:b/>
                <w:sz w:val="18"/>
                <w:szCs w:val="18"/>
              </w:rPr>
              <w:t>N = 413</w:t>
            </w:r>
          </w:p>
        </w:tc>
        <w:tc>
          <w:tcPr>
            <w:tcW w:w="850" w:type="dxa"/>
          </w:tcPr>
          <w:p w14:paraId="55383765" w14:textId="77777777" w:rsidR="003B7027" w:rsidRPr="00D440EB" w:rsidRDefault="00296A74" w:rsidP="003C43CF">
            <w:pPr>
              <w:pStyle w:val="TableParagraph"/>
              <w:suppressAutoHyphens/>
              <w:jc w:val="center"/>
              <w:rPr>
                <w:b/>
                <w:sz w:val="18"/>
                <w:szCs w:val="18"/>
              </w:rPr>
            </w:pPr>
            <w:r w:rsidRPr="00D440EB">
              <w:rPr>
                <w:b/>
                <w:sz w:val="18"/>
                <w:szCs w:val="18"/>
              </w:rPr>
              <w:t>N = 170</w:t>
            </w:r>
          </w:p>
        </w:tc>
        <w:tc>
          <w:tcPr>
            <w:tcW w:w="790" w:type="dxa"/>
          </w:tcPr>
          <w:p w14:paraId="68B21247" w14:textId="77777777" w:rsidR="003B7027" w:rsidRPr="00D440EB" w:rsidRDefault="00296A74" w:rsidP="003C43CF">
            <w:pPr>
              <w:pStyle w:val="TableParagraph"/>
              <w:suppressAutoHyphens/>
              <w:jc w:val="center"/>
              <w:rPr>
                <w:b/>
                <w:sz w:val="18"/>
                <w:szCs w:val="18"/>
              </w:rPr>
            </w:pPr>
            <w:r w:rsidRPr="00D440EB">
              <w:rPr>
                <w:b/>
                <w:sz w:val="18"/>
                <w:szCs w:val="18"/>
              </w:rPr>
              <w:t>N = 158</w:t>
            </w:r>
          </w:p>
        </w:tc>
      </w:tr>
      <w:tr w:rsidR="003B7027" w:rsidRPr="00D440EB" w14:paraId="698D29A4" w14:textId="77777777" w:rsidTr="00D440EB">
        <w:trPr>
          <w:cantSplit/>
        </w:trPr>
        <w:tc>
          <w:tcPr>
            <w:tcW w:w="9290" w:type="dxa"/>
            <w:gridSpan w:val="11"/>
          </w:tcPr>
          <w:p w14:paraId="0BF8F9A0" w14:textId="77777777" w:rsidR="003B7027" w:rsidRPr="00D440EB" w:rsidRDefault="00296A74" w:rsidP="003C43CF">
            <w:pPr>
              <w:pStyle w:val="TableParagraph"/>
              <w:suppressAutoHyphens/>
              <w:jc w:val="center"/>
              <w:rPr>
                <w:b/>
                <w:sz w:val="18"/>
                <w:szCs w:val="18"/>
              </w:rPr>
            </w:pPr>
            <w:r w:rsidRPr="00D440EB">
              <w:rPr>
                <w:b/>
                <w:sz w:val="18"/>
                <w:szCs w:val="18"/>
              </w:rPr>
              <w:t>ACR 20</w:t>
            </w:r>
          </w:p>
        </w:tc>
      </w:tr>
      <w:tr w:rsidR="003B7027" w:rsidRPr="00D440EB" w14:paraId="31E895A3" w14:textId="77777777" w:rsidTr="00D440EB">
        <w:trPr>
          <w:cantSplit/>
        </w:trPr>
        <w:tc>
          <w:tcPr>
            <w:tcW w:w="537" w:type="dxa"/>
          </w:tcPr>
          <w:p w14:paraId="67837375" w14:textId="77777777" w:rsidR="003B7027" w:rsidRPr="00D440EB" w:rsidRDefault="00296A74" w:rsidP="003C43CF">
            <w:pPr>
              <w:pStyle w:val="TableParagraph"/>
              <w:suppressAutoHyphens/>
              <w:jc w:val="center"/>
              <w:rPr>
                <w:sz w:val="18"/>
                <w:szCs w:val="18"/>
              </w:rPr>
            </w:pPr>
            <w:r w:rsidRPr="00D440EB">
              <w:rPr>
                <w:sz w:val="18"/>
                <w:szCs w:val="18"/>
              </w:rPr>
              <w:t>24</w:t>
            </w:r>
          </w:p>
        </w:tc>
        <w:tc>
          <w:tcPr>
            <w:tcW w:w="876" w:type="dxa"/>
          </w:tcPr>
          <w:p w14:paraId="38F14B83" w14:textId="77777777" w:rsidR="003B7027" w:rsidRPr="00D440EB" w:rsidRDefault="00296A74" w:rsidP="003C43CF">
            <w:pPr>
              <w:pStyle w:val="TableParagraph"/>
              <w:suppressAutoHyphens/>
              <w:jc w:val="center"/>
              <w:rPr>
                <w:sz w:val="18"/>
                <w:szCs w:val="18"/>
              </w:rPr>
            </w:pPr>
            <w:r w:rsidRPr="00D440EB">
              <w:rPr>
                <w:sz w:val="18"/>
                <w:szCs w:val="18"/>
              </w:rPr>
              <w:t>70 %***</w:t>
            </w:r>
          </w:p>
        </w:tc>
        <w:tc>
          <w:tcPr>
            <w:tcW w:w="850" w:type="dxa"/>
          </w:tcPr>
          <w:p w14:paraId="1BEAABAC" w14:textId="77777777" w:rsidR="003B7027" w:rsidRPr="00D440EB" w:rsidRDefault="00296A74" w:rsidP="003C43CF">
            <w:pPr>
              <w:pStyle w:val="TableParagraph"/>
              <w:suppressAutoHyphens/>
              <w:jc w:val="center"/>
              <w:rPr>
                <w:sz w:val="18"/>
                <w:szCs w:val="18"/>
              </w:rPr>
            </w:pPr>
            <w:r w:rsidRPr="00D440EB">
              <w:rPr>
                <w:sz w:val="18"/>
                <w:szCs w:val="18"/>
              </w:rPr>
              <w:t>52 %</w:t>
            </w:r>
          </w:p>
        </w:tc>
        <w:tc>
          <w:tcPr>
            <w:tcW w:w="993" w:type="dxa"/>
          </w:tcPr>
          <w:p w14:paraId="14C8991D" w14:textId="77777777" w:rsidR="003B7027" w:rsidRPr="00D440EB" w:rsidRDefault="00296A74" w:rsidP="003C43CF">
            <w:pPr>
              <w:pStyle w:val="TableParagraph"/>
              <w:suppressAutoHyphens/>
              <w:jc w:val="center"/>
              <w:rPr>
                <w:sz w:val="18"/>
                <w:szCs w:val="18"/>
              </w:rPr>
            </w:pPr>
            <w:r w:rsidRPr="00D440EB">
              <w:rPr>
                <w:sz w:val="18"/>
                <w:szCs w:val="18"/>
              </w:rPr>
              <w:t>56 %***</w:t>
            </w:r>
          </w:p>
        </w:tc>
        <w:tc>
          <w:tcPr>
            <w:tcW w:w="850" w:type="dxa"/>
          </w:tcPr>
          <w:p w14:paraId="6EA6A6C7" w14:textId="77777777" w:rsidR="003B7027" w:rsidRPr="00D440EB" w:rsidRDefault="00296A74" w:rsidP="003C43CF">
            <w:pPr>
              <w:pStyle w:val="TableParagraph"/>
              <w:suppressAutoHyphens/>
              <w:jc w:val="center"/>
              <w:rPr>
                <w:sz w:val="18"/>
                <w:szCs w:val="18"/>
              </w:rPr>
            </w:pPr>
            <w:r w:rsidRPr="00D440EB">
              <w:rPr>
                <w:sz w:val="18"/>
                <w:szCs w:val="18"/>
              </w:rPr>
              <w:t>27 %</w:t>
            </w:r>
          </w:p>
        </w:tc>
        <w:tc>
          <w:tcPr>
            <w:tcW w:w="851" w:type="dxa"/>
          </w:tcPr>
          <w:p w14:paraId="0A5917CF" w14:textId="77777777" w:rsidR="003B7027" w:rsidRPr="00D440EB" w:rsidRDefault="00296A74" w:rsidP="003C43CF">
            <w:pPr>
              <w:pStyle w:val="TableParagraph"/>
              <w:suppressAutoHyphens/>
              <w:jc w:val="center"/>
              <w:rPr>
                <w:sz w:val="18"/>
                <w:szCs w:val="18"/>
              </w:rPr>
            </w:pPr>
            <w:r w:rsidRPr="00D440EB">
              <w:rPr>
                <w:sz w:val="18"/>
                <w:szCs w:val="18"/>
              </w:rPr>
              <w:t>59 %***</w:t>
            </w:r>
          </w:p>
        </w:tc>
        <w:tc>
          <w:tcPr>
            <w:tcW w:w="708" w:type="dxa"/>
          </w:tcPr>
          <w:p w14:paraId="16F308E3" w14:textId="77777777" w:rsidR="003B7027" w:rsidRPr="00D440EB" w:rsidRDefault="00296A74" w:rsidP="003C43CF">
            <w:pPr>
              <w:pStyle w:val="TableParagraph"/>
              <w:suppressAutoHyphens/>
              <w:jc w:val="center"/>
              <w:rPr>
                <w:sz w:val="18"/>
                <w:szCs w:val="18"/>
              </w:rPr>
            </w:pPr>
            <w:r w:rsidRPr="00D440EB">
              <w:rPr>
                <w:sz w:val="18"/>
                <w:szCs w:val="18"/>
              </w:rPr>
              <w:t>26 %</w:t>
            </w:r>
          </w:p>
        </w:tc>
        <w:tc>
          <w:tcPr>
            <w:tcW w:w="960" w:type="dxa"/>
          </w:tcPr>
          <w:p w14:paraId="04A8B825" w14:textId="77777777" w:rsidR="003B7027" w:rsidRPr="00D440EB" w:rsidRDefault="00296A74" w:rsidP="003C43CF">
            <w:pPr>
              <w:pStyle w:val="TableParagraph"/>
              <w:suppressAutoHyphens/>
              <w:jc w:val="center"/>
              <w:rPr>
                <w:sz w:val="18"/>
                <w:szCs w:val="18"/>
              </w:rPr>
            </w:pPr>
            <w:r w:rsidRPr="00D440EB">
              <w:rPr>
                <w:sz w:val="18"/>
                <w:szCs w:val="18"/>
              </w:rPr>
              <w:t>61 %***</w:t>
            </w:r>
          </w:p>
        </w:tc>
        <w:tc>
          <w:tcPr>
            <w:tcW w:w="1025" w:type="dxa"/>
          </w:tcPr>
          <w:p w14:paraId="57AD2873" w14:textId="77777777" w:rsidR="003B7027" w:rsidRPr="00D440EB" w:rsidRDefault="00296A74" w:rsidP="003C43CF">
            <w:pPr>
              <w:pStyle w:val="TableParagraph"/>
              <w:suppressAutoHyphens/>
              <w:jc w:val="center"/>
              <w:rPr>
                <w:sz w:val="18"/>
                <w:szCs w:val="18"/>
              </w:rPr>
            </w:pPr>
            <w:r w:rsidRPr="00D440EB">
              <w:rPr>
                <w:sz w:val="18"/>
                <w:szCs w:val="18"/>
              </w:rPr>
              <w:t>24 %</w:t>
            </w:r>
          </w:p>
        </w:tc>
        <w:tc>
          <w:tcPr>
            <w:tcW w:w="850" w:type="dxa"/>
          </w:tcPr>
          <w:p w14:paraId="28F5A8C8" w14:textId="77777777" w:rsidR="003B7027" w:rsidRPr="00D440EB" w:rsidRDefault="00296A74" w:rsidP="003C43CF">
            <w:pPr>
              <w:pStyle w:val="TableParagraph"/>
              <w:suppressAutoHyphens/>
              <w:jc w:val="center"/>
              <w:rPr>
                <w:sz w:val="18"/>
                <w:szCs w:val="18"/>
              </w:rPr>
            </w:pPr>
            <w:r w:rsidRPr="00D440EB">
              <w:rPr>
                <w:sz w:val="18"/>
                <w:szCs w:val="18"/>
              </w:rPr>
              <w:t>50 %***</w:t>
            </w:r>
          </w:p>
        </w:tc>
        <w:tc>
          <w:tcPr>
            <w:tcW w:w="790" w:type="dxa"/>
          </w:tcPr>
          <w:p w14:paraId="7358D4CC" w14:textId="77777777" w:rsidR="003B7027" w:rsidRPr="00D440EB" w:rsidRDefault="00296A74" w:rsidP="003C43CF">
            <w:pPr>
              <w:pStyle w:val="TableParagraph"/>
              <w:suppressAutoHyphens/>
              <w:jc w:val="center"/>
              <w:rPr>
                <w:sz w:val="18"/>
                <w:szCs w:val="18"/>
              </w:rPr>
            </w:pPr>
            <w:r w:rsidRPr="00D440EB">
              <w:rPr>
                <w:sz w:val="18"/>
                <w:szCs w:val="18"/>
              </w:rPr>
              <w:t>10 %</w:t>
            </w:r>
          </w:p>
        </w:tc>
      </w:tr>
      <w:tr w:rsidR="003B7027" w:rsidRPr="00D440EB" w14:paraId="1B116D31" w14:textId="77777777" w:rsidTr="00D440EB">
        <w:trPr>
          <w:cantSplit/>
        </w:trPr>
        <w:tc>
          <w:tcPr>
            <w:tcW w:w="537" w:type="dxa"/>
          </w:tcPr>
          <w:p w14:paraId="42C16E0C" w14:textId="77777777" w:rsidR="003B7027" w:rsidRPr="00D440EB" w:rsidRDefault="00296A74" w:rsidP="003C43CF">
            <w:pPr>
              <w:pStyle w:val="TableParagraph"/>
              <w:suppressAutoHyphens/>
              <w:jc w:val="center"/>
              <w:rPr>
                <w:sz w:val="18"/>
                <w:szCs w:val="18"/>
              </w:rPr>
            </w:pPr>
            <w:r w:rsidRPr="00D440EB">
              <w:rPr>
                <w:sz w:val="18"/>
                <w:szCs w:val="18"/>
              </w:rPr>
              <w:t>52</w:t>
            </w:r>
          </w:p>
        </w:tc>
        <w:tc>
          <w:tcPr>
            <w:tcW w:w="876" w:type="dxa"/>
          </w:tcPr>
          <w:p w14:paraId="11A7A86A" w14:textId="77777777" w:rsidR="003B7027" w:rsidRPr="00D440EB" w:rsidRDefault="003B7027" w:rsidP="003C43CF">
            <w:pPr>
              <w:pStyle w:val="TableParagraph"/>
              <w:suppressAutoHyphens/>
              <w:rPr>
                <w:sz w:val="18"/>
                <w:szCs w:val="18"/>
              </w:rPr>
            </w:pPr>
          </w:p>
        </w:tc>
        <w:tc>
          <w:tcPr>
            <w:tcW w:w="850" w:type="dxa"/>
          </w:tcPr>
          <w:p w14:paraId="67F4AD1E" w14:textId="77777777" w:rsidR="003B7027" w:rsidRPr="00D440EB" w:rsidRDefault="003B7027" w:rsidP="003C43CF">
            <w:pPr>
              <w:pStyle w:val="TableParagraph"/>
              <w:suppressAutoHyphens/>
              <w:rPr>
                <w:sz w:val="18"/>
                <w:szCs w:val="18"/>
              </w:rPr>
            </w:pPr>
          </w:p>
        </w:tc>
        <w:tc>
          <w:tcPr>
            <w:tcW w:w="993" w:type="dxa"/>
          </w:tcPr>
          <w:p w14:paraId="30A24419" w14:textId="77777777" w:rsidR="003B7027" w:rsidRPr="00D440EB" w:rsidRDefault="00296A74" w:rsidP="003C43CF">
            <w:pPr>
              <w:pStyle w:val="TableParagraph"/>
              <w:suppressAutoHyphens/>
              <w:jc w:val="center"/>
              <w:rPr>
                <w:sz w:val="18"/>
                <w:szCs w:val="18"/>
              </w:rPr>
            </w:pPr>
            <w:r w:rsidRPr="00D440EB">
              <w:rPr>
                <w:sz w:val="18"/>
                <w:szCs w:val="18"/>
              </w:rPr>
              <w:t>56 %***</w:t>
            </w:r>
          </w:p>
        </w:tc>
        <w:tc>
          <w:tcPr>
            <w:tcW w:w="850" w:type="dxa"/>
          </w:tcPr>
          <w:p w14:paraId="5C1B31A5" w14:textId="77777777" w:rsidR="003B7027" w:rsidRPr="00D440EB" w:rsidRDefault="00296A74" w:rsidP="003C43CF">
            <w:pPr>
              <w:pStyle w:val="TableParagraph"/>
              <w:suppressAutoHyphens/>
              <w:jc w:val="center"/>
              <w:rPr>
                <w:sz w:val="18"/>
                <w:szCs w:val="18"/>
              </w:rPr>
            </w:pPr>
            <w:r w:rsidRPr="00D440EB">
              <w:rPr>
                <w:sz w:val="18"/>
                <w:szCs w:val="18"/>
              </w:rPr>
              <w:t>25 %</w:t>
            </w:r>
          </w:p>
        </w:tc>
        <w:tc>
          <w:tcPr>
            <w:tcW w:w="851" w:type="dxa"/>
          </w:tcPr>
          <w:p w14:paraId="1A4C7A7C" w14:textId="77777777" w:rsidR="003B7027" w:rsidRPr="00D440EB" w:rsidRDefault="003B7027" w:rsidP="003C43CF">
            <w:pPr>
              <w:pStyle w:val="TableParagraph"/>
              <w:suppressAutoHyphens/>
              <w:rPr>
                <w:sz w:val="18"/>
                <w:szCs w:val="18"/>
              </w:rPr>
            </w:pPr>
          </w:p>
        </w:tc>
        <w:tc>
          <w:tcPr>
            <w:tcW w:w="708" w:type="dxa"/>
          </w:tcPr>
          <w:p w14:paraId="03039DF9" w14:textId="77777777" w:rsidR="003B7027" w:rsidRPr="00D440EB" w:rsidRDefault="003B7027" w:rsidP="003C43CF">
            <w:pPr>
              <w:pStyle w:val="TableParagraph"/>
              <w:suppressAutoHyphens/>
              <w:rPr>
                <w:sz w:val="18"/>
                <w:szCs w:val="18"/>
              </w:rPr>
            </w:pPr>
          </w:p>
        </w:tc>
        <w:tc>
          <w:tcPr>
            <w:tcW w:w="960" w:type="dxa"/>
          </w:tcPr>
          <w:p w14:paraId="3CD01267" w14:textId="77777777" w:rsidR="003B7027" w:rsidRPr="00D440EB" w:rsidRDefault="003B7027" w:rsidP="003C43CF">
            <w:pPr>
              <w:pStyle w:val="TableParagraph"/>
              <w:suppressAutoHyphens/>
              <w:rPr>
                <w:sz w:val="18"/>
                <w:szCs w:val="18"/>
              </w:rPr>
            </w:pPr>
          </w:p>
        </w:tc>
        <w:tc>
          <w:tcPr>
            <w:tcW w:w="1025" w:type="dxa"/>
          </w:tcPr>
          <w:p w14:paraId="155ED50F" w14:textId="77777777" w:rsidR="003B7027" w:rsidRPr="00D440EB" w:rsidRDefault="003B7027" w:rsidP="003C43CF">
            <w:pPr>
              <w:pStyle w:val="TableParagraph"/>
              <w:suppressAutoHyphens/>
              <w:rPr>
                <w:sz w:val="18"/>
                <w:szCs w:val="18"/>
              </w:rPr>
            </w:pPr>
          </w:p>
        </w:tc>
        <w:tc>
          <w:tcPr>
            <w:tcW w:w="850" w:type="dxa"/>
          </w:tcPr>
          <w:p w14:paraId="7220708B" w14:textId="77777777" w:rsidR="003B7027" w:rsidRPr="00D440EB" w:rsidRDefault="003B7027" w:rsidP="003C43CF">
            <w:pPr>
              <w:pStyle w:val="TableParagraph"/>
              <w:suppressAutoHyphens/>
              <w:rPr>
                <w:sz w:val="18"/>
                <w:szCs w:val="18"/>
              </w:rPr>
            </w:pPr>
          </w:p>
        </w:tc>
        <w:tc>
          <w:tcPr>
            <w:tcW w:w="790" w:type="dxa"/>
          </w:tcPr>
          <w:p w14:paraId="618A8B5E" w14:textId="77777777" w:rsidR="003B7027" w:rsidRPr="00D440EB" w:rsidRDefault="003B7027" w:rsidP="003C43CF">
            <w:pPr>
              <w:pStyle w:val="TableParagraph"/>
              <w:suppressAutoHyphens/>
              <w:rPr>
                <w:sz w:val="18"/>
                <w:szCs w:val="18"/>
              </w:rPr>
            </w:pPr>
          </w:p>
        </w:tc>
      </w:tr>
      <w:tr w:rsidR="003B7027" w:rsidRPr="00D440EB" w14:paraId="5E9E8D24" w14:textId="77777777" w:rsidTr="00D440EB">
        <w:trPr>
          <w:cantSplit/>
        </w:trPr>
        <w:tc>
          <w:tcPr>
            <w:tcW w:w="9290" w:type="dxa"/>
            <w:gridSpan w:val="11"/>
          </w:tcPr>
          <w:p w14:paraId="0696B4B1" w14:textId="77777777" w:rsidR="003B7027" w:rsidRPr="00D440EB" w:rsidRDefault="00296A74" w:rsidP="003C43CF">
            <w:pPr>
              <w:pStyle w:val="TableParagraph"/>
              <w:suppressAutoHyphens/>
              <w:jc w:val="center"/>
              <w:rPr>
                <w:b/>
                <w:sz w:val="18"/>
                <w:szCs w:val="18"/>
              </w:rPr>
            </w:pPr>
            <w:r w:rsidRPr="00D440EB">
              <w:rPr>
                <w:b/>
                <w:sz w:val="18"/>
                <w:szCs w:val="18"/>
              </w:rPr>
              <w:t>ACR 50</w:t>
            </w:r>
          </w:p>
        </w:tc>
      </w:tr>
      <w:tr w:rsidR="003B7027" w:rsidRPr="00D440EB" w14:paraId="15FCB46B" w14:textId="77777777" w:rsidTr="00D440EB">
        <w:trPr>
          <w:cantSplit/>
        </w:trPr>
        <w:tc>
          <w:tcPr>
            <w:tcW w:w="537" w:type="dxa"/>
          </w:tcPr>
          <w:p w14:paraId="039989AE" w14:textId="77777777" w:rsidR="003B7027" w:rsidRPr="00D440EB" w:rsidRDefault="00296A74" w:rsidP="003C43CF">
            <w:pPr>
              <w:pStyle w:val="TableParagraph"/>
              <w:suppressAutoHyphens/>
              <w:jc w:val="center"/>
              <w:rPr>
                <w:sz w:val="18"/>
                <w:szCs w:val="18"/>
              </w:rPr>
            </w:pPr>
            <w:r w:rsidRPr="00D440EB">
              <w:rPr>
                <w:sz w:val="18"/>
                <w:szCs w:val="18"/>
              </w:rPr>
              <w:t>24</w:t>
            </w:r>
          </w:p>
        </w:tc>
        <w:tc>
          <w:tcPr>
            <w:tcW w:w="876" w:type="dxa"/>
          </w:tcPr>
          <w:p w14:paraId="34438565" w14:textId="77777777" w:rsidR="003B7027" w:rsidRPr="00D440EB" w:rsidRDefault="00296A74" w:rsidP="003C43CF">
            <w:pPr>
              <w:pStyle w:val="TableParagraph"/>
              <w:suppressAutoHyphens/>
              <w:jc w:val="center"/>
              <w:rPr>
                <w:sz w:val="18"/>
                <w:szCs w:val="18"/>
              </w:rPr>
            </w:pPr>
            <w:r w:rsidRPr="00D440EB">
              <w:rPr>
                <w:sz w:val="18"/>
                <w:szCs w:val="18"/>
              </w:rPr>
              <w:t>44 %**</w:t>
            </w:r>
          </w:p>
        </w:tc>
        <w:tc>
          <w:tcPr>
            <w:tcW w:w="850" w:type="dxa"/>
          </w:tcPr>
          <w:p w14:paraId="1D613B7A" w14:textId="77777777" w:rsidR="003B7027" w:rsidRPr="00D440EB" w:rsidRDefault="00296A74" w:rsidP="003C43CF">
            <w:pPr>
              <w:pStyle w:val="TableParagraph"/>
              <w:suppressAutoHyphens/>
              <w:jc w:val="center"/>
              <w:rPr>
                <w:sz w:val="18"/>
                <w:szCs w:val="18"/>
              </w:rPr>
            </w:pPr>
            <w:r w:rsidRPr="00D440EB">
              <w:rPr>
                <w:sz w:val="18"/>
                <w:szCs w:val="18"/>
              </w:rPr>
              <w:t>33 %</w:t>
            </w:r>
          </w:p>
        </w:tc>
        <w:tc>
          <w:tcPr>
            <w:tcW w:w="993" w:type="dxa"/>
          </w:tcPr>
          <w:p w14:paraId="36336B3F" w14:textId="77777777" w:rsidR="003B7027" w:rsidRPr="00D440EB" w:rsidRDefault="00296A74" w:rsidP="003C43CF">
            <w:pPr>
              <w:pStyle w:val="TableParagraph"/>
              <w:suppressAutoHyphens/>
              <w:jc w:val="center"/>
              <w:rPr>
                <w:sz w:val="18"/>
                <w:szCs w:val="18"/>
              </w:rPr>
            </w:pPr>
            <w:r w:rsidRPr="00D440EB">
              <w:rPr>
                <w:sz w:val="18"/>
                <w:szCs w:val="18"/>
              </w:rPr>
              <w:t>32 %***</w:t>
            </w:r>
          </w:p>
        </w:tc>
        <w:tc>
          <w:tcPr>
            <w:tcW w:w="850" w:type="dxa"/>
          </w:tcPr>
          <w:p w14:paraId="6DA62501" w14:textId="77777777" w:rsidR="003B7027" w:rsidRPr="00D440EB" w:rsidRDefault="00296A74" w:rsidP="003C43CF">
            <w:pPr>
              <w:pStyle w:val="TableParagraph"/>
              <w:suppressAutoHyphens/>
              <w:jc w:val="center"/>
              <w:rPr>
                <w:sz w:val="18"/>
                <w:szCs w:val="18"/>
              </w:rPr>
            </w:pPr>
            <w:r w:rsidRPr="00D440EB">
              <w:rPr>
                <w:sz w:val="18"/>
                <w:szCs w:val="18"/>
              </w:rPr>
              <w:t>10 %</w:t>
            </w:r>
          </w:p>
        </w:tc>
        <w:tc>
          <w:tcPr>
            <w:tcW w:w="851" w:type="dxa"/>
          </w:tcPr>
          <w:p w14:paraId="19E67E64" w14:textId="77777777" w:rsidR="003B7027" w:rsidRPr="00D440EB" w:rsidRDefault="00296A74" w:rsidP="003C43CF">
            <w:pPr>
              <w:pStyle w:val="TableParagraph"/>
              <w:suppressAutoHyphens/>
              <w:jc w:val="center"/>
              <w:rPr>
                <w:sz w:val="18"/>
                <w:szCs w:val="18"/>
              </w:rPr>
            </w:pPr>
            <w:r w:rsidRPr="00D440EB">
              <w:rPr>
                <w:sz w:val="18"/>
                <w:szCs w:val="18"/>
              </w:rPr>
              <w:t>44 %***</w:t>
            </w:r>
          </w:p>
        </w:tc>
        <w:tc>
          <w:tcPr>
            <w:tcW w:w="708" w:type="dxa"/>
          </w:tcPr>
          <w:p w14:paraId="3A8B92E0" w14:textId="77777777" w:rsidR="003B7027" w:rsidRPr="00D440EB" w:rsidRDefault="00296A74" w:rsidP="003C43CF">
            <w:pPr>
              <w:pStyle w:val="TableParagraph"/>
              <w:suppressAutoHyphens/>
              <w:jc w:val="center"/>
              <w:rPr>
                <w:sz w:val="18"/>
                <w:szCs w:val="18"/>
              </w:rPr>
            </w:pPr>
            <w:r w:rsidRPr="00D440EB">
              <w:rPr>
                <w:sz w:val="18"/>
                <w:szCs w:val="18"/>
              </w:rPr>
              <w:t>11 %</w:t>
            </w:r>
          </w:p>
        </w:tc>
        <w:tc>
          <w:tcPr>
            <w:tcW w:w="960" w:type="dxa"/>
          </w:tcPr>
          <w:p w14:paraId="178E7F55" w14:textId="77777777" w:rsidR="003B7027" w:rsidRPr="00D440EB" w:rsidRDefault="00296A74" w:rsidP="003C43CF">
            <w:pPr>
              <w:pStyle w:val="TableParagraph"/>
              <w:suppressAutoHyphens/>
              <w:jc w:val="center"/>
              <w:rPr>
                <w:sz w:val="18"/>
                <w:szCs w:val="18"/>
              </w:rPr>
            </w:pPr>
            <w:r w:rsidRPr="00D440EB">
              <w:rPr>
                <w:sz w:val="18"/>
                <w:szCs w:val="18"/>
              </w:rPr>
              <w:t>38 %***</w:t>
            </w:r>
          </w:p>
        </w:tc>
        <w:tc>
          <w:tcPr>
            <w:tcW w:w="1025" w:type="dxa"/>
          </w:tcPr>
          <w:p w14:paraId="50B79F31" w14:textId="77777777" w:rsidR="003B7027" w:rsidRPr="00D440EB" w:rsidRDefault="00296A74" w:rsidP="003C43CF">
            <w:pPr>
              <w:pStyle w:val="TableParagraph"/>
              <w:suppressAutoHyphens/>
              <w:jc w:val="center"/>
              <w:rPr>
                <w:sz w:val="18"/>
                <w:szCs w:val="18"/>
              </w:rPr>
            </w:pPr>
            <w:r w:rsidRPr="00D440EB">
              <w:rPr>
                <w:sz w:val="18"/>
                <w:szCs w:val="18"/>
              </w:rPr>
              <w:t>9 %</w:t>
            </w:r>
          </w:p>
        </w:tc>
        <w:tc>
          <w:tcPr>
            <w:tcW w:w="850" w:type="dxa"/>
          </w:tcPr>
          <w:p w14:paraId="2F63074C" w14:textId="77777777" w:rsidR="003B7027" w:rsidRPr="00D440EB" w:rsidRDefault="00296A74" w:rsidP="003C43CF">
            <w:pPr>
              <w:pStyle w:val="TableParagraph"/>
              <w:suppressAutoHyphens/>
              <w:jc w:val="center"/>
              <w:rPr>
                <w:sz w:val="18"/>
                <w:szCs w:val="18"/>
              </w:rPr>
            </w:pPr>
            <w:r w:rsidRPr="00D440EB">
              <w:rPr>
                <w:sz w:val="18"/>
                <w:szCs w:val="18"/>
              </w:rPr>
              <w:t>29 %***</w:t>
            </w:r>
          </w:p>
        </w:tc>
        <w:tc>
          <w:tcPr>
            <w:tcW w:w="790" w:type="dxa"/>
          </w:tcPr>
          <w:p w14:paraId="051BC90D" w14:textId="77777777" w:rsidR="003B7027" w:rsidRPr="00D440EB" w:rsidRDefault="00296A74" w:rsidP="003C43CF">
            <w:pPr>
              <w:pStyle w:val="TableParagraph"/>
              <w:suppressAutoHyphens/>
              <w:jc w:val="center"/>
              <w:rPr>
                <w:sz w:val="18"/>
                <w:szCs w:val="18"/>
              </w:rPr>
            </w:pPr>
            <w:r w:rsidRPr="00D440EB">
              <w:rPr>
                <w:sz w:val="18"/>
                <w:szCs w:val="18"/>
              </w:rPr>
              <w:t>4 %</w:t>
            </w:r>
          </w:p>
        </w:tc>
      </w:tr>
      <w:tr w:rsidR="003B7027" w:rsidRPr="00D440EB" w14:paraId="2AE4A290" w14:textId="77777777" w:rsidTr="00D440EB">
        <w:trPr>
          <w:cantSplit/>
        </w:trPr>
        <w:tc>
          <w:tcPr>
            <w:tcW w:w="537" w:type="dxa"/>
          </w:tcPr>
          <w:p w14:paraId="1AA2254B" w14:textId="77777777" w:rsidR="003B7027" w:rsidRPr="00D440EB" w:rsidRDefault="00296A74" w:rsidP="003C43CF">
            <w:pPr>
              <w:pStyle w:val="TableParagraph"/>
              <w:suppressAutoHyphens/>
              <w:jc w:val="center"/>
              <w:rPr>
                <w:sz w:val="18"/>
                <w:szCs w:val="18"/>
              </w:rPr>
            </w:pPr>
            <w:r w:rsidRPr="00D440EB">
              <w:rPr>
                <w:sz w:val="18"/>
                <w:szCs w:val="18"/>
              </w:rPr>
              <w:t>52</w:t>
            </w:r>
          </w:p>
        </w:tc>
        <w:tc>
          <w:tcPr>
            <w:tcW w:w="876" w:type="dxa"/>
          </w:tcPr>
          <w:p w14:paraId="597D7F78" w14:textId="77777777" w:rsidR="003B7027" w:rsidRPr="00D440EB" w:rsidRDefault="003B7027" w:rsidP="003C43CF">
            <w:pPr>
              <w:pStyle w:val="TableParagraph"/>
              <w:suppressAutoHyphens/>
              <w:rPr>
                <w:sz w:val="18"/>
                <w:szCs w:val="18"/>
              </w:rPr>
            </w:pPr>
          </w:p>
        </w:tc>
        <w:tc>
          <w:tcPr>
            <w:tcW w:w="850" w:type="dxa"/>
          </w:tcPr>
          <w:p w14:paraId="3E8FF489" w14:textId="77777777" w:rsidR="003B7027" w:rsidRPr="00D440EB" w:rsidRDefault="003B7027" w:rsidP="003C43CF">
            <w:pPr>
              <w:pStyle w:val="TableParagraph"/>
              <w:suppressAutoHyphens/>
              <w:rPr>
                <w:sz w:val="18"/>
                <w:szCs w:val="18"/>
              </w:rPr>
            </w:pPr>
          </w:p>
        </w:tc>
        <w:tc>
          <w:tcPr>
            <w:tcW w:w="993" w:type="dxa"/>
          </w:tcPr>
          <w:p w14:paraId="33A512B9" w14:textId="77777777" w:rsidR="003B7027" w:rsidRPr="00D440EB" w:rsidRDefault="00296A74" w:rsidP="003C43CF">
            <w:pPr>
              <w:pStyle w:val="TableParagraph"/>
              <w:suppressAutoHyphens/>
              <w:jc w:val="center"/>
              <w:rPr>
                <w:sz w:val="18"/>
                <w:szCs w:val="18"/>
              </w:rPr>
            </w:pPr>
            <w:r w:rsidRPr="00D440EB">
              <w:rPr>
                <w:sz w:val="18"/>
                <w:szCs w:val="18"/>
              </w:rPr>
              <w:t>36 %***</w:t>
            </w:r>
          </w:p>
        </w:tc>
        <w:tc>
          <w:tcPr>
            <w:tcW w:w="850" w:type="dxa"/>
          </w:tcPr>
          <w:p w14:paraId="5ECC0CB6" w14:textId="77777777" w:rsidR="003B7027" w:rsidRPr="00D440EB" w:rsidRDefault="00296A74" w:rsidP="003C43CF">
            <w:pPr>
              <w:pStyle w:val="TableParagraph"/>
              <w:suppressAutoHyphens/>
              <w:jc w:val="center"/>
              <w:rPr>
                <w:sz w:val="18"/>
                <w:szCs w:val="18"/>
              </w:rPr>
            </w:pPr>
            <w:r w:rsidRPr="00D440EB">
              <w:rPr>
                <w:sz w:val="18"/>
                <w:szCs w:val="18"/>
              </w:rPr>
              <w:t>10 %</w:t>
            </w:r>
          </w:p>
        </w:tc>
        <w:tc>
          <w:tcPr>
            <w:tcW w:w="851" w:type="dxa"/>
          </w:tcPr>
          <w:p w14:paraId="55108339" w14:textId="77777777" w:rsidR="003B7027" w:rsidRPr="00D440EB" w:rsidRDefault="003B7027" w:rsidP="003C43CF">
            <w:pPr>
              <w:pStyle w:val="TableParagraph"/>
              <w:suppressAutoHyphens/>
              <w:rPr>
                <w:sz w:val="18"/>
                <w:szCs w:val="18"/>
              </w:rPr>
            </w:pPr>
          </w:p>
        </w:tc>
        <w:tc>
          <w:tcPr>
            <w:tcW w:w="708" w:type="dxa"/>
          </w:tcPr>
          <w:p w14:paraId="75870B21" w14:textId="77777777" w:rsidR="003B7027" w:rsidRPr="00D440EB" w:rsidRDefault="003B7027" w:rsidP="003C43CF">
            <w:pPr>
              <w:pStyle w:val="TableParagraph"/>
              <w:suppressAutoHyphens/>
              <w:rPr>
                <w:sz w:val="18"/>
                <w:szCs w:val="18"/>
              </w:rPr>
            </w:pPr>
          </w:p>
        </w:tc>
        <w:tc>
          <w:tcPr>
            <w:tcW w:w="960" w:type="dxa"/>
          </w:tcPr>
          <w:p w14:paraId="58C2E0A1" w14:textId="77777777" w:rsidR="003B7027" w:rsidRPr="00D440EB" w:rsidRDefault="003B7027" w:rsidP="003C43CF">
            <w:pPr>
              <w:pStyle w:val="TableParagraph"/>
              <w:suppressAutoHyphens/>
              <w:rPr>
                <w:sz w:val="18"/>
                <w:szCs w:val="18"/>
              </w:rPr>
            </w:pPr>
          </w:p>
        </w:tc>
        <w:tc>
          <w:tcPr>
            <w:tcW w:w="1025" w:type="dxa"/>
          </w:tcPr>
          <w:p w14:paraId="47307334" w14:textId="77777777" w:rsidR="003B7027" w:rsidRPr="00D440EB" w:rsidRDefault="003B7027" w:rsidP="003C43CF">
            <w:pPr>
              <w:pStyle w:val="TableParagraph"/>
              <w:suppressAutoHyphens/>
              <w:rPr>
                <w:sz w:val="18"/>
                <w:szCs w:val="18"/>
              </w:rPr>
            </w:pPr>
          </w:p>
        </w:tc>
        <w:tc>
          <w:tcPr>
            <w:tcW w:w="850" w:type="dxa"/>
          </w:tcPr>
          <w:p w14:paraId="28C06F41" w14:textId="77777777" w:rsidR="003B7027" w:rsidRPr="00D440EB" w:rsidRDefault="003B7027" w:rsidP="003C43CF">
            <w:pPr>
              <w:pStyle w:val="TableParagraph"/>
              <w:suppressAutoHyphens/>
              <w:rPr>
                <w:sz w:val="18"/>
                <w:szCs w:val="18"/>
              </w:rPr>
            </w:pPr>
          </w:p>
        </w:tc>
        <w:tc>
          <w:tcPr>
            <w:tcW w:w="790" w:type="dxa"/>
          </w:tcPr>
          <w:p w14:paraId="7978D086" w14:textId="77777777" w:rsidR="003B7027" w:rsidRPr="00D440EB" w:rsidRDefault="003B7027" w:rsidP="003C43CF">
            <w:pPr>
              <w:pStyle w:val="TableParagraph"/>
              <w:suppressAutoHyphens/>
              <w:rPr>
                <w:sz w:val="18"/>
                <w:szCs w:val="18"/>
              </w:rPr>
            </w:pPr>
          </w:p>
        </w:tc>
      </w:tr>
      <w:tr w:rsidR="003B7027" w:rsidRPr="00D440EB" w14:paraId="652C09B5" w14:textId="77777777" w:rsidTr="00D440EB">
        <w:trPr>
          <w:cantSplit/>
        </w:trPr>
        <w:tc>
          <w:tcPr>
            <w:tcW w:w="9290" w:type="dxa"/>
            <w:gridSpan w:val="11"/>
          </w:tcPr>
          <w:p w14:paraId="203D27C9" w14:textId="77777777" w:rsidR="003B7027" w:rsidRPr="00D440EB" w:rsidRDefault="00296A74" w:rsidP="003C43CF">
            <w:pPr>
              <w:pStyle w:val="TableParagraph"/>
              <w:suppressAutoHyphens/>
              <w:jc w:val="center"/>
              <w:rPr>
                <w:b/>
                <w:sz w:val="18"/>
                <w:szCs w:val="18"/>
              </w:rPr>
            </w:pPr>
            <w:r w:rsidRPr="00D440EB">
              <w:rPr>
                <w:b/>
                <w:sz w:val="18"/>
                <w:szCs w:val="18"/>
              </w:rPr>
              <w:t>ACR 70</w:t>
            </w:r>
          </w:p>
        </w:tc>
      </w:tr>
      <w:tr w:rsidR="003B7027" w:rsidRPr="00D440EB" w14:paraId="42505478" w14:textId="77777777" w:rsidTr="00D440EB">
        <w:trPr>
          <w:cantSplit/>
        </w:trPr>
        <w:tc>
          <w:tcPr>
            <w:tcW w:w="537" w:type="dxa"/>
          </w:tcPr>
          <w:p w14:paraId="657D4DBA" w14:textId="77777777" w:rsidR="003B7027" w:rsidRPr="00D440EB" w:rsidRDefault="00296A74" w:rsidP="003C43CF">
            <w:pPr>
              <w:pStyle w:val="TableParagraph"/>
              <w:suppressAutoHyphens/>
              <w:jc w:val="center"/>
              <w:rPr>
                <w:sz w:val="18"/>
                <w:szCs w:val="18"/>
              </w:rPr>
            </w:pPr>
            <w:r w:rsidRPr="00D440EB">
              <w:rPr>
                <w:sz w:val="18"/>
                <w:szCs w:val="18"/>
              </w:rPr>
              <w:t>24</w:t>
            </w:r>
          </w:p>
        </w:tc>
        <w:tc>
          <w:tcPr>
            <w:tcW w:w="876" w:type="dxa"/>
          </w:tcPr>
          <w:p w14:paraId="131BC4C5" w14:textId="77777777" w:rsidR="003B7027" w:rsidRPr="00D440EB" w:rsidRDefault="00296A74" w:rsidP="003C43CF">
            <w:pPr>
              <w:pStyle w:val="TableParagraph"/>
              <w:suppressAutoHyphens/>
              <w:jc w:val="center"/>
              <w:rPr>
                <w:sz w:val="18"/>
                <w:szCs w:val="18"/>
              </w:rPr>
            </w:pPr>
            <w:r w:rsidRPr="00D440EB">
              <w:rPr>
                <w:sz w:val="18"/>
                <w:szCs w:val="18"/>
              </w:rPr>
              <w:t>28 %**</w:t>
            </w:r>
          </w:p>
        </w:tc>
        <w:tc>
          <w:tcPr>
            <w:tcW w:w="850" w:type="dxa"/>
          </w:tcPr>
          <w:p w14:paraId="2B587822" w14:textId="77777777" w:rsidR="003B7027" w:rsidRPr="00D440EB" w:rsidRDefault="00296A74" w:rsidP="003C43CF">
            <w:pPr>
              <w:pStyle w:val="TableParagraph"/>
              <w:suppressAutoHyphens/>
              <w:jc w:val="center"/>
              <w:rPr>
                <w:sz w:val="18"/>
                <w:szCs w:val="18"/>
              </w:rPr>
            </w:pPr>
            <w:r w:rsidRPr="00D440EB">
              <w:rPr>
                <w:sz w:val="18"/>
                <w:szCs w:val="18"/>
              </w:rPr>
              <w:t>15 %</w:t>
            </w:r>
          </w:p>
        </w:tc>
        <w:tc>
          <w:tcPr>
            <w:tcW w:w="993" w:type="dxa"/>
          </w:tcPr>
          <w:p w14:paraId="7C057D86" w14:textId="77777777" w:rsidR="003B7027" w:rsidRPr="00D440EB" w:rsidRDefault="00296A74" w:rsidP="003C43CF">
            <w:pPr>
              <w:pStyle w:val="TableParagraph"/>
              <w:suppressAutoHyphens/>
              <w:jc w:val="center"/>
              <w:rPr>
                <w:sz w:val="18"/>
                <w:szCs w:val="18"/>
              </w:rPr>
            </w:pPr>
            <w:r w:rsidRPr="00D440EB">
              <w:rPr>
                <w:sz w:val="18"/>
                <w:szCs w:val="18"/>
              </w:rPr>
              <w:t>13 %***</w:t>
            </w:r>
          </w:p>
        </w:tc>
        <w:tc>
          <w:tcPr>
            <w:tcW w:w="850" w:type="dxa"/>
          </w:tcPr>
          <w:p w14:paraId="79AD8153" w14:textId="77777777" w:rsidR="003B7027" w:rsidRPr="00D440EB" w:rsidRDefault="00296A74" w:rsidP="003C43CF">
            <w:pPr>
              <w:pStyle w:val="TableParagraph"/>
              <w:suppressAutoHyphens/>
              <w:jc w:val="center"/>
              <w:rPr>
                <w:sz w:val="18"/>
                <w:szCs w:val="18"/>
              </w:rPr>
            </w:pPr>
            <w:r w:rsidRPr="00D440EB">
              <w:rPr>
                <w:sz w:val="18"/>
                <w:szCs w:val="18"/>
              </w:rPr>
              <w:t>2 %</w:t>
            </w:r>
          </w:p>
        </w:tc>
        <w:tc>
          <w:tcPr>
            <w:tcW w:w="851" w:type="dxa"/>
          </w:tcPr>
          <w:p w14:paraId="104752E7" w14:textId="77777777" w:rsidR="003B7027" w:rsidRPr="00D440EB" w:rsidRDefault="00296A74" w:rsidP="003C43CF">
            <w:pPr>
              <w:pStyle w:val="TableParagraph"/>
              <w:suppressAutoHyphens/>
              <w:jc w:val="center"/>
              <w:rPr>
                <w:sz w:val="18"/>
                <w:szCs w:val="18"/>
              </w:rPr>
            </w:pPr>
            <w:r w:rsidRPr="00D440EB">
              <w:rPr>
                <w:sz w:val="18"/>
                <w:szCs w:val="18"/>
              </w:rPr>
              <w:t>22 %***</w:t>
            </w:r>
          </w:p>
        </w:tc>
        <w:tc>
          <w:tcPr>
            <w:tcW w:w="708" w:type="dxa"/>
          </w:tcPr>
          <w:p w14:paraId="1B44243D" w14:textId="77777777" w:rsidR="003B7027" w:rsidRPr="00D440EB" w:rsidRDefault="00296A74" w:rsidP="003C43CF">
            <w:pPr>
              <w:pStyle w:val="TableParagraph"/>
              <w:suppressAutoHyphens/>
              <w:jc w:val="center"/>
              <w:rPr>
                <w:sz w:val="18"/>
                <w:szCs w:val="18"/>
              </w:rPr>
            </w:pPr>
            <w:r w:rsidRPr="00D440EB">
              <w:rPr>
                <w:sz w:val="18"/>
                <w:szCs w:val="18"/>
              </w:rPr>
              <w:t>2 %</w:t>
            </w:r>
          </w:p>
        </w:tc>
        <w:tc>
          <w:tcPr>
            <w:tcW w:w="960" w:type="dxa"/>
          </w:tcPr>
          <w:p w14:paraId="202EF41B" w14:textId="77777777" w:rsidR="003B7027" w:rsidRPr="00D440EB" w:rsidRDefault="00296A74" w:rsidP="003C43CF">
            <w:pPr>
              <w:pStyle w:val="TableParagraph"/>
              <w:suppressAutoHyphens/>
              <w:jc w:val="center"/>
              <w:rPr>
                <w:sz w:val="18"/>
                <w:szCs w:val="18"/>
              </w:rPr>
            </w:pPr>
            <w:r w:rsidRPr="00D440EB">
              <w:rPr>
                <w:sz w:val="18"/>
                <w:szCs w:val="18"/>
              </w:rPr>
              <w:t>21 %***</w:t>
            </w:r>
          </w:p>
        </w:tc>
        <w:tc>
          <w:tcPr>
            <w:tcW w:w="1025" w:type="dxa"/>
          </w:tcPr>
          <w:p w14:paraId="44576F46" w14:textId="77777777" w:rsidR="003B7027" w:rsidRPr="00D440EB" w:rsidRDefault="00296A74" w:rsidP="003C43CF">
            <w:pPr>
              <w:pStyle w:val="TableParagraph"/>
              <w:suppressAutoHyphens/>
              <w:jc w:val="center"/>
              <w:rPr>
                <w:sz w:val="18"/>
                <w:szCs w:val="18"/>
              </w:rPr>
            </w:pPr>
            <w:r w:rsidRPr="00D440EB">
              <w:rPr>
                <w:sz w:val="18"/>
                <w:szCs w:val="18"/>
              </w:rPr>
              <w:t>3 %</w:t>
            </w:r>
          </w:p>
        </w:tc>
        <w:tc>
          <w:tcPr>
            <w:tcW w:w="850" w:type="dxa"/>
          </w:tcPr>
          <w:p w14:paraId="6954A47F" w14:textId="77777777" w:rsidR="003B7027" w:rsidRPr="00D440EB" w:rsidRDefault="00296A74" w:rsidP="003C43CF">
            <w:pPr>
              <w:pStyle w:val="TableParagraph"/>
              <w:suppressAutoHyphens/>
              <w:jc w:val="center"/>
              <w:rPr>
                <w:sz w:val="18"/>
                <w:szCs w:val="18"/>
              </w:rPr>
            </w:pPr>
            <w:r w:rsidRPr="00D440EB">
              <w:rPr>
                <w:sz w:val="18"/>
                <w:szCs w:val="18"/>
              </w:rPr>
              <w:t>12 %**</w:t>
            </w:r>
          </w:p>
        </w:tc>
        <w:tc>
          <w:tcPr>
            <w:tcW w:w="790" w:type="dxa"/>
          </w:tcPr>
          <w:p w14:paraId="6F3794B2" w14:textId="77777777" w:rsidR="003B7027" w:rsidRPr="00D440EB" w:rsidRDefault="00296A74" w:rsidP="003C43CF">
            <w:pPr>
              <w:pStyle w:val="TableParagraph"/>
              <w:suppressAutoHyphens/>
              <w:jc w:val="center"/>
              <w:rPr>
                <w:sz w:val="18"/>
                <w:szCs w:val="18"/>
              </w:rPr>
            </w:pPr>
            <w:r w:rsidRPr="00D440EB">
              <w:rPr>
                <w:sz w:val="18"/>
                <w:szCs w:val="18"/>
              </w:rPr>
              <w:t>1 %</w:t>
            </w:r>
          </w:p>
        </w:tc>
      </w:tr>
      <w:tr w:rsidR="003B7027" w:rsidRPr="00D440EB" w14:paraId="178F8A91" w14:textId="77777777" w:rsidTr="00D440EB">
        <w:trPr>
          <w:cantSplit/>
        </w:trPr>
        <w:tc>
          <w:tcPr>
            <w:tcW w:w="537" w:type="dxa"/>
          </w:tcPr>
          <w:p w14:paraId="1EC55756" w14:textId="77777777" w:rsidR="003B7027" w:rsidRPr="00D440EB" w:rsidRDefault="00296A74" w:rsidP="003C43CF">
            <w:pPr>
              <w:pStyle w:val="TableParagraph"/>
              <w:suppressAutoHyphens/>
              <w:jc w:val="center"/>
              <w:rPr>
                <w:sz w:val="18"/>
                <w:szCs w:val="18"/>
              </w:rPr>
            </w:pPr>
            <w:r w:rsidRPr="00D440EB">
              <w:rPr>
                <w:sz w:val="18"/>
                <w:szCs w:val="18"/>
              </w:rPr>
              <w:t>52</w:t>
            </w:r>
          </w:p>
        </w:tc>
        <w:tc>
          <w:tcPr>
            <w:tcW w:w="1726" w:type="dxa"/>
            <w:gridSpan w:val="2"/>
          </w:tcPr>
          <w:p w14:paraId="13B44C9F" w14:textId="77777777" w:rsidR="003B7027" w:rsidRPr="00D440EB" w:rsidRDefault="003B7027" w:rsidP="003C43CF">
            <w:pPr>
              <w:pStyle w:val="TableParagraph"/>
              <w:suppressAutoHyphens/>
              <w:rPr>
                <w:sz w:val="18"/>
                <w:szCs w:val="18"/>
              </w:rPr>
            </w:pPr>
          </w:p>
        </w:tc>
        <w:tc>
          <w:tcPr>
            <w:tcW w:w="993" w:type="dxa"/>
            <w:tcBorders>
              <w:right w:val="nil"/>
            </w:tcBorders>
          </w:tcPr>
          <w:p w14:paraId="06EC2317" w14:textId="77777777" w:rsidR="003B7027" w:rsidRPr="00D440EB" w:rsidRDefault="00296A74" w:rsidP="003C43CF">
            <w:pPr>
              <w:pStyle w:val="TableParagraph"/>
              <w:suppressAutoHyphens/>
              <w:jc w:val="center"/>
              <w:rPr>
                <w:sz w:val="18"/>
                <w:szCs w:val="18"/>
              </w:rPr>
            </w:pPr>
            <w:r w:rsidRPr="00D440EB">
              <w:rPr>
                <w:sz w:val="18"/>
                <w:szCs w:val="18"/>
              </w:rPr>
              <w:t>20 %***</w:t>
            </w:r>
          </w:p>
        </w:tc>
        <w:tc>
          <w:tcPr>
            <w:tcW w:w="850" w:type="dxa"/>
            <w:tcBorders>
              <w:left w:val="nil"/>
            </w:tcBorders>
          </w:tcPr>
          <w:p w14:paraId="2C0AED18" w14:textId="77777777" w:rsidR="003B7027" w:rsidRPr="00D440EB" w:rsidRDefault="00296A74" w:rsidP="003C43CF">
            <w:pPr>
              <w:pStyle w:val="TableParagraph"/>
              <w:suppressAutoHyphens/>
              <w:jc w:val="center"/>
              <w:rPr>
                <w:sz w:val="18"/>
                <w:szCs w:val="18"/>
              </w:rPr>
            </w:pPr>
            <w:r w:rsidRPr="00D440EB">
              <w:rPr>
                <w:sz w:val="18"/>
                <w:szCs w:val="18"/>
              </w:rPr>
              <w:t>4 %</w:t>
            </w:r>
          </w:p>
        </w:tc>
        <w:tc>
          <w:tcPr>
            <w:tcW w:w="1559" w:type="dxa"/>
            <w:gridSpan w:val="2"/>
          </w:tcPr>
          <w:p w14:paraId="3A366CFD" w14:textId="77777777" w:rsidR="003B7027" w:rsidRPr="00D440EB" w:rsidRDefault="003B7027" w:rsidP="003C43CF">
            <w:pPr>
              <w:pStyle w:val="TableParagraph"/>
              <w:suppressAutoHyphens/>
              <w:rPr>
                <w:sz w:val="18"/>
                <w:szCs w:val="18"/>
              </w:rPr>
            </w:pPr>
          </w:p>
        </w:tc>
        <w:tc>
          <w:tcPr>
            <w:tcW w:w="960" w:type="dxa"/>
          </w:tcPr>
          <w:p w14:paraId="54FFF363" w14:textId="77777777" w:rsidR="003B7027" w:rsidRPr="00D440EB" w:rsidRDefault="003B7027" w:rsidP="003C43CF">
            <w:pPr>
              <w:pStyle w:val="TableParagraph"/>
              <w:suppressAutoHyphens/>
              <w:rPr>
                <w:sz w:val="18"/>
                <w:szCs w:val="18"/>
              </w:rPr>
            </w:pPr>
          </w:p>
        </w:tc>
        <w:tc>
          <w:tcPr>
            <w:tcW w:w="1025" w:type="dxa"/>
          </w:tcPr>
          <w:p w14:paraId="7A28EFC2" w14:textId="77777777" w:rsidR="003B7027" w:rsidRPr="00D440EB" w:rsidRDefault="003B7027" w:rsidP="003C43CF">
            <w:pPr>
              <w:pStyle w:val="TableParagraph"/>
              <w:suppressAutoHyphens/>
              <w:rPr>
                <w:sz w:val="18"/>
                <w:szCs w:val="18"/>
              </w:rPr>
            </w:pPr>
          </w:p>
        </w:tc>
        <w:tc>
          <w:tcPr>
            <w:tcW w:w="850" w:type="dxa"/>
          </w:tcPr>
          <w:p w14:paraId="0F82DAAB" w14:textId="77777777" w:rsidR="003B7027" w:rsidRPr="00D440EB" w:rsidRDefault="003B7027" w:rsidP="003C43CF">
            <w:pPr>
              <w:pStyle w:val="TableParagraph"/>
              <w:suppressAutoHyphens/>
              <w:rPr>
                <w:sz w:val="18"/>
                <w:szCs w:val="18"/>
              </w:rPr>
            </w:pPr>
          </w:p>
        </w:tc>
        <w:tc>
          <w:tcPr>
            <w:tcW w:w="790" w:type="dxa"/>
          </w:tcPr>
          <w:p w14:paraId="2A0B88E5" w14:textId="77777777" w:rsidR="003B7027" w:rsidRPr="00D440EB" w:rsidRDefault="003B7027" w:rsidP="003C43CF">
            <w:pPr>
              <w:pStyle w:val="TableParagraph"/>
              <w:suppressAutoHyphens/>
              <w:rPr>
                <w:sz w:val="18"/>
                <w:szCs w:val="18"/>
              </w:rPr>
            </w:pPr>
          </w:p>
        </w:tc>
      </w:tr>
    </w:tbl>
    <w:p w14:paraId="78C39A30" w14:textId="77777777" w:rsidR="003B7027" w:rsidRPr="0028514E" w:rsidRDefault="00296A74" w:rsidP="00920FF7">
      <w:pPr>
        <w:ind w:left="851" w:hanging="851"/>
        <w:rPr>
          <w:i/>
          <w:sz w:val="18"/>
        </w:rPr>
      </w:pPr>
      <w:r w:rsidRPr="0028514E">
        <w:rPr>
          <w:i/>
          <w:sz w:val="18"/>
        </w:rPr>
        <w:t>TCZ</w:t>
      </w:r>
      <w:r w:rsidRPr="0028514E">
        <w:rPr>
          <w:i/>
          <w:sz w:val="18"/>
        </w:rPr>
        <w:tab/>
        <w:t xml:space="preserve">- </w:t>
      </w:r>
      <w:proofErr w:type="spellStart"/>
      <w:r w:rsidRPr="0028514E">
        <w:rPr>
          <w:i/>
          <w:sz w:val="18"/>
        </w:rPr>
        <w:t>tosilitsumabi</w:t>
      </w:r>
      <w:proofErr w:type="spellEnd"/>
    </w:p>
    <w:p w14:paraId="02FF2884" w14:textId="77777777" w:rsidR="003B7027" w:rsidRPr="0028514E" w:rsidRDefault="00296A74" w:rsidP="00920FF7">
      <w:pPr>
        <w:ind w:left="851" w:hanging="851"/>
        <w:rPr>
          <w:i/>
          <w:sz w:val="18"/>
        </w:rPr>
      </w:pPr>
      <w:r w:rsidRPr="0028514E">
        <w:rPr>
          <w:i/>
          <w:sz w:val="18"/>
        </w:rPr>
        <w:lastRenderedPageBreak/>
        <w:t>MTX</w:t>
      </w:r>
      <w:r w:rsidRPr="0028514E">
        <w:rPr>
          <w:i/>
          <w:sz w:val="18"/>
        </w:rPr>
        <w:tab/>
        <w:t xml:space="preserve">- </w:t>
      </w:r>
      <w:proofErr w:type="spellStart"/>
      <w:r w:rsidRPr="0028514E">
        <w:rPr>
          <w:i/>
          <w:sz w:val="18"/>
        </w:rPr>
        <w:t>metotreksaatti</w:t>
      </w:r>
      <w:proofErr w:type="spellEnd"/>
    </w:p>
    <w:p w14:paraId="11C1F3D9" w14:textId="77777777" w:rsidR="003B7027" w:rsidRPr="0028514E" w:rsidRDefault="00296A74" w:rsidP="00920FF7">
      <w:pPr>
        <w:ind w:left="851" w:hanging="851"/>
        <w:rPr>
          <w:i/>
          <w:sz w:val="18"/>
        </w:rPr>
      </w:pPr>
      <w:r w:rsidRPr="0028514E">
        <w:rPr>
          <w:i/>
          <w:sz w:val="18"/>
        </w:rPr>
        <w:t>DMARD</w:t>
      </w:r>
      <w:r w:rsidR="006675A6" w:rsidRPr="0028514E">
        <w:rPr>
          <w:i/>
          <w:sz w:val="18"/>
        </w:rPr>
        <w:tab/>
      </w:r>
      <w:r w:rsidRPr="0028514E">
        <w:rPr>
          <w:i/>
          <w:sz w:val="18"/>
        </w:rPr>
        <w:t xml:space="preserve">- </w:t>
      </w:r>
      <w:proofErr w:type="spellStart"/>
      <w:r w:rsidRPr="0028514E">
        <w:rPr>
          <w:i/>
          <w:sz w:val="18"/>
        </w:rPr>
        <w:t>tautiprosessia</w:t>
      </w:r>
      <w:proofErr w:type="spellEnd"/>
      <w:r w:rsidRPr="0028514E">
        <w:rPr>
          <w:i/>
          <w:sz w:val="18"/>
        </w:rPr>
        <w:t xml:space="preserve"> </w:t>
      </w:r>
      <w:proofErr w:type="spellStart"/>
      <w:r w:rsidRPr="0028514E">
        <w:rPr>
          <w:i/>
          <w:sz w:val="18"/>
        </w:rPr>
        <w:t>hidastava</w:t>
      </w:r>
      <w:proofErr w:type="spellEnd"/>
      <w:r w:rsidRPr="0028514E">
        <w:rPr>
          <w:i/>
          <w:sz w:val="18"/>
        </w:rPr>
        <w:t xml:space="preserve"> </w:t>
      </w:r>
      <w:proofErr w:type="spellStart"/>
      <w:r w:rsidRPr="0028514E">
        <w:rPr>
          <w:i/>
          <w:sz w:val="18"/>
        </w:rPr>
        <w:t>reumalääke</w:t>
      </w:r>
      <w:proofErr w:type="spellEnd"/>
      <w:r w:rsidRPr="0028514E">
        <w:rPr>
          <w:i/>
          <w:sz w:val="18"/>
        </w:rPr>
        <w:t xml:space="preserve"> (disease modifying anti-rheumatic drug)</w:t>
      </w:r>
    </w:p>
    <w:p w14:paraId="58B47F89" w14:textId="77777777" w:rsidR="003B7027" w:rsidRPr="00CA43F5" w:rsidRDefault="00296A74" w:rsidP="00920FF7">
      <w:pPr>
        <w:ind w:left="851" w:hanging="851"/>
        <w:rPr>
          <w:i/>
          <w:sz w:val="18"/>
          <w:lang w:val="fi-FI"/>
        </w:rPr>
      </w:pPr>
      <w:r w:rsidRPr="00CA43F5">
        <w:rPr>
          <w:i/>
          <w:sz w:val="18"/>
          <w:lang w:val="fi-FI"/>
        </w:rPr>
        <w:t>**</w:t>
      </w:r>
      <w:r w:rsidRPr="00CA43F5">
        <w:rPr>
          <w:i/>
          <w:sz w:val="18"/>
          <w:lang w:val="fi-FI"/>
        </w:rPr>
        <w:tab/>
        <w:t>- p &lt; 0,01, tosilitsumabi vs. lumevalmiste + MTX / DMARD</w:t>
      </w:r>
    </w:p>
    <w:p w14:paraId="1F8D81FD" w14:textId="77777777" w:rsidR="003B7027" w:rsidRPr="00CA43F5" w:rsidRDefault="00296A74" w:rsidP="00920FF7">
      <w:pPr>
        <w:ind w:left="851" w:hanging="851"/>
        <w:rPr>
          <w:i/>
          <w:sz w:val="18"/>
          <w:lang w:val="fi-FI"/>
        </w:rPr>
      </w:pPr>
      <w:r w:rsidRPr="00CA43F5">
        <w:rPr>
          <w:i/>
          <w:sz w:val="18"/>
          <w:lang w:val="fi-FI"/>
        </w:rPr>
        <w:t>***</w:t>
      </w:r>
      <w:r w:rsidRPr="00CA43F5">
        <w:rPr>
          <w:i/>
          <w:sz w:val="18"/>
          <w:lang w:val="fi-FI"/>
        </w:rPr>
        <w:tab/>
        <w:t>- p &lt; 0,0001, tosilitsumabi vs. lumevalmiste + MTX / DMARD</w:t>
      </w:r>
    </w:p>
    <w:p w14:paraId="12C08AE0" w14:textId="77777777" w:rsidR="003B7027" w:rsidRPr="0028514E" w:rsidRDefault="003B7027" w:rsidP="006E5F9A">
      <w:pPr>
        <w:pStyle w:val="a4"/>
        <w:ind w:left="0"/>
        <w:rPr>
          <w:i/>
          <w:szCs w:val="32"/>
        </w:rPr>
      </w:pPr>
    </w:p>
    <w:p w14:paraId="7F9C5D2E" w14:textId="77777777" w:rsidR="003B7027" w:rsidRPr="00CA43F5" w:rsidRDefault="00296A74" w:rsidP="006E5F9A">
      <w:pPr>
        <w:rPr>
          <w:i/>
          <w:lang w:val="fi-FI"/>
        </w:rPr>
      </w:pPr>
      <w:r w:rsidRPr="00CA43F5">
        <w:rPr>
          <w:i/>
          <w:lang w:val="fi-FI"/>
        </w:rPr>
        <w:t>Merkittävä kliininen vaste</w:t>
      </w:r>
    </w:p>
    <w:p w14:paraId="2CAFBB8D" w14:textId="77777777" w:rsidR="003B7027" w:rsidRPr="0028514E" w:rsidRDefault="00296A74" w:rsidP="006E5F9A">
      <w:pPr>
        <w:pStyle w:val="a4"/>
        <w:ind w:left="0"/>
      </w:pPr>
      <w:r w:rsidRPr="0028514E">
        <w:t>Tosilitsumabia yhdessä MTX:n kanssa saaneista potilaista 14 % saavutti merkittävän kliinisen vasteen, kun hoitoa oli annettu kaksi vuotta (ACR70-vaste säilyi 24 viikkoa tai pitempään).</w:t>
      </w:r>
    </w:p>
    <w:p w14:paraId="6CBAE437" w14:textId="77777777" w:rsidR="006675A6" w:rsidRPr="0028514E" w:rsidRDefault="006675A6" w:rsidP="006E5F9A">
      <w:pPr>
        <w:pStyle w:val="a4"/>
        <w:ind w:left="0"/>
      </w:pPr>
    </w:p>
    <w:p w14:paraId="58D20392" w14:textId="77777777" w:rsidR="003B7027" w:rsidRPr="00CA43F5" w:rsidRDefault="00296A74" w:rsidP="006E5F9A">
      <w:pPr>
        <w:rPr>
          <w:i/>
          <w:lang w:val="fi-FI"/>
        </w:rPr>
      </w:pPr>
      <w:r w:rsidRPr="00CA43F5">
        <w:rPr>
          <w:i/>
          <w:lang w:val="fi-FI"/>
        </w:rPr>
        <w:t>Radiologinen vaste</w:t>
      </w:r>
    </w:p>
    <w:p w14:paraId="0BDFDFF8" w14:textId="77777777" w:rsidR="003B7027" w:rsidRPr="0028514E" w:rsidRDefault="00296A74" w:rsidP="006E5F9A">
      <w:pPr>
        <w:pStyle w:val="a4"/>
        <w:ind w:left="0"/>
      </w:pPr>
      <w:r w:rsidRPr="0028514E">
        <w:t>Tutkimukseen II osallistui potilaita, joiden aikaisempi hoito MTX:lla ei tuonut riittävää hoitovastetta. Rakenteellisten nivelvaurioiden estymistä arvioitiin radiologisesti ja tulos ilmaistiin modifioidun Sharp-indeksin ja sen osatekijöiden, eroosioasteen ja nivelraon kaventumisen muutoksena.</w:t>
      </w:r>
      <w:r w:rsidR="006675A6" w:rsidRPr="0028514E">
        <w:t xml:space="preserve"> </w:t>
      </w:r>
      <w:r w:rsidRPr="0028514E">
        <w:t>Rakenteellisen nivelvaurion estyminen näkyi merkitsevästi hitaampana radiologisena etenemisenä tosilitsumabihoitoa saaneilla potilailla kuin vertailuryhmän potilailla (taulukko 5).</w:t>
      </w:r>
    </w:p>
    <w:p w14:paraId="269FDE19" w14:textId="77777777" w:rsidR="006675A6" w:rsidRPr="0028514E" w:rsidRDefault="006675A6" w:rsidP="006E5F9A">
      <w:pPr>
        <w:pStyle w:val="a4"/>
        <w:ind w:left="0"/>
      </w:pPr>
    </w:p>
    <w:p w14:paraId="5E1836FA" w14:textId="77777777" w:rsidR="003B7027" w:rsidRPr="0028514E" w:rsidRDefault="00296A74" w:rsidP="006E5F9A">
      <w:pPr>
        <w:pStyle w:val="a4"/>
        <w:ind w:left="0"/>
      </w:pPr>
      <w:r w:rsidRPr="0028514E">
        <w:t>Avoimessa jatkotutkimuksessa (tutkimus II) niveltuhon etenemistä estävä vaikutus säilyi hoidon toisena vuonna tosilitsumabia yhdessä MTX:n kanssa saaneilla potilailla. Sharp-Genant- kokonaispistearvon keskimääräinen muutos lähtötilanteesta viikolla 104 oli huomattavasti pienempi potilailla, jotka oli satunnaistettu saamaan tosilitsumabia 8 mg/kg yhdessä MTX:n kanssa (p &lt; 0.0001) kuin niillä potilailla, jotka oli satunnaistettu saamaan lumevalmistetta yhdessä MTX:n kanssa.</w:t>
      </w:r>
    </w:p>
    <w:p w14:paraId="6202031D" w14:textId="77777777" w:rsidR="006675A6" w:rsidRPr="0028514E" w:rsidRDefault="006675A6" w:rsidP="006E5F9A">
      <w:pPr>
        <w:pStyle w:val="a4"/>
        <w:ind w:left="0"/>
      </w:pPr>
    </w:p>
    <w:p w14:paraId="023E57C4" w14:textId="77777777" w:rsidR="003B7027" w:rsidRPr="00CA43F5" w:rsidRDefault="00296A74" w:rsidP="00920FF7">
      <w:pPr>
        <w:pStyle w:val="Tabletitle"/>
        <w:rPr>
          <w:lang w:val="fi-FI"/>
        </w:rPr>
      </w:pPr>
      <w:r w:rsidRPr="00CA43F5">
        <w:rPr>
          <w:lang w:val="fi-FI"/>
        </w:rPr>
        <w:t>Taulukko 5</w:t>
      </w:r>
      <w:r w:rsidR="006675A6" w:rsidRPr="00CA43F5">
        <w:rPr>
          <w:lang w:val="fi-FI"/>
        </w:rPr>
        <w:t>.</w:t>
      </w:r>
      <w:r w:rsidR="006675A6" w:rsidRPr="00CA43F5">
        <w:rPr>
          <w:lang w:val="fi-FI"/>
        </w:rPr>
        <w:tab/>
      </w:r>
      <w:r w:rsidRPr="00CA43F5">
        <w:rPr>
          <w:lang w:val="fi-FI"/>
        </w:rPr>
        <w:t>Radiologiset muutokset (keskiarvo) 52 viikon aikana tutkimuksessa II</w:t>
      </w:r>
    </w:p>
    <w:p w14:paraId="2CB9A0B8" w14:textId="77777777" w:rsidR="006675A6" w:rsidRPr="00CA43F5" w:rsidRDefault="006675A6" w:rsidP="006E5F9A">
      <w:pPr>
        <w:rPr>
          <w:i/>
          <w:lang w:val="fi-FI"/>
        </w:rPr>
      </w:pPr>
    </w:p>
    <w:tbl>
      <w:tblPr>
        <w:tblW w:w="500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666"/>
        <w:gridCol w:w="2844"/>
        <w:gridCol w:w="3554"/>
      </w:tblGrid>
      <w:tr w:rsidR="003B7027" w:rsidRPr="00ED6BAC" w14:paraId="266CDF69" w14:textId="77777777" w:rsidTr="00BF6076">
        <w:trPr>
          <w:cantSplit/>
        </w:trPr>
        <w:tc>
          <w:tcPr>
            <w:tcW w:w="2658" w:type="dxa"/>
          </w:tcPr>
          <w:p w14:paraId="68577442" w14:textId="77777777" w:rsidR="003B7027" w:rsidRPr="00920FF7" w:rsidRDefault="003B7027" w:rsidP="00CD14E4">
            <w:pPr>
              <w:pStyle w:val="TableParagraph"/>
              <w:suppressAutoHyphens/>
              <w:rPr>
                <w:sz w:val="20"/>
                <w:szCs w:val="20"/>
              </w:rPr>
            </w:pPr>
          </w:p>
        </w:tc>
        <w:tc>
          <w:tcPr>
            <w:tcW w:w="2835" w:type="dxa"/>
          </w:tcPr>
          <w:p w14:paraId="7E13E868" w14:textId="3904B3E6" w:rsidR="003B7027" w:rsidRPr="00920FF7" w:rsidRDefault="00296A74" w:rsidP="00CD14E4">
            <w:pPr>
              <w:pStyle w:val="TableParagraph"/>
              <w:suppressAutoHyphens/>
              <w:jc w:val="center"/>
              <w:rPr>
                <w:b/>
                <w:sz w:val="20"/>
                <w:szCs w:val="20"/>
              </w:rPr>
            </w:pPr>
            <w:r w:rsidRPr="00920FF7">
              <w:rPr>
                <w:b/>
                <w:sz w:val="20"/>
                <w:szCs w:val="20"/>
              </w:rPr>
              <w:t xml:space="preserve">Lume + MTX </w:t>
            </w:r>
            <w:r w:rsidR="00CD14E4">
              <w:rPr>
                <w:b/>
                <w:sz w:val="20"/>
                <w:szCs w:val="20"/>
              </w:rPr>
              <w:br/>
            </w:r>
            <w:r w:rsidRPr="00920FF7">
              <w:rPr>
                <w:b/>
                <w:sz w:val="20"/>
                <w:szCs w:val="20"/>
              </w:rPr>
              <w:t>(+TCZ viikosta 24 alkaen)</w:t>
            </w:r>
          </w:p>
          <w:p w14:paraId="5CC7D537" w14:textId="77777777" w:rsidR="003B7027" w:rsidRPr="00920FF7" w:rsidRDefault="00296A74" w:rsidP="00CD14E4">
            <w:pPr>
              <w:pStyle w:val="TableParagraph"/>
              <w:suppressAutoHyphens/>
              <w:jc w:val="center"/>
              <w:rPr>
                <w:b/>
                <w:sz w:val="20"/>
                <w:szCs w:val="20"/>
              </w:rPr>
            </w:pPr>
            <w:r w:rsidRPr="00920FF7">
              <w:rPr>
                <w:b/>
                <w:sz w:val="20"/>
                <w:szCs w:val="20"/>
              </w:rPr>
              <w:t>N = 393</w:t>
            </w:r>
          </w:p>
        </w:tc>
        <w:tc>
          <w:tcPr>
            <w:tcW w:w="3543" w:type="dxa"/>
          </w:tcPr>
          <w:p w14:paraId="794B8D7F" w14:textId="77777777" w:rsidR="006675A6" w:rsidRPr="00E919A5" w:rsidRDefault="00296A74" w:rsidP="00CD14E4">
            <w:pPr>
              <w:pStyle w:val="TableParagraph"/>
              <w:suppressAutoHyphens/>
              <w:jc w:val="center"/>
              <w:rPr>
                <w:b/>
                <w:sz w:val="20"/>
                <w:szCs w:val="20"/>
              </w:rPr>
            </w:pPr>
            <w:r w:rsidRPr="00E919A5">
              <w:rPr>
                <w:b/>
                <w:sz w:val="20"/>
                <w:szCs w:val="20"/>
              </w:rPr>
              <w:t>TCZ 8 mg/kg + MTX</w:t>
            </w:r>
          </w:p>
          <w:p w14:paraId="62803E44" w14:textId="77777777" w:rsidR="006675A6" w:rsidRPr="00E919A5" w:rsidRDefault="006675A6" w:rsidP="00CD14E4">
            <w:pPr>
              <w:pStyle w:val="TableParagraph"/>
              <w:suppressAutoHyphens/>
              <w:jc w:val="center"/>
              <w:rPr>
                <w:b/>
                <w:sz w:val="20"/>
                <w:szCs w:val="20"/>
              </w:rPr>
            </w:pPr>
          </w:p>
          <w:p w14:paraId="6CE19DBA" w14:textId="77777777" w:rsidR="003B7027" w:rsidRPr="00E919A5" w:rsidRDefault="00296A74" w:rsidP="00CD14E4">
            <w:pPr>
              <w:pStyle w:val="TableParagraph"/>
              <w:suppressAutoHyphens/>
              <w:jc w:val="center"/>
              <w:rPr>
                <w:b/>
                <w:sz w:val="20"/>
                <w:szCs w:val="20"/>
              </w:rPr>
            </w:pPr>
            <w:r w:rsidRPr="00E919A5">
              <w:rPr>
                <w:b/>
                <w:sz w:val="20"/>
                <w:szCs w:val="20"/>
              </w:rPr>
              <w:t>N = 398</w:t>
            </w:r>
          </w:p>
        </w:tc>
      </w:tr>
      <w:tr w:rsidR="003B7027" w:rsidRPr="00777B93" w14:paraId="26B579A1" w14:textId="77777777" w:rsidTr="00BF6076">
        <w:trPr>
          <w:cantSplit/>
        </w:trPr>
        <w:tc>
          <w:tcPr>
            <w:tcW w:w="2658" w:type="dxa"/>
          </w:tcPr>
          <w:p w14:paraId="39C375EB" w14:textId="77777777" w:rsidR="003B7027" w:rsidRPr="00920FF7" w:rsidRDefault="00296A74" w:rsidP="00CD14E4">
            <w:pPr>
              <w:pStyle w:val="TableParagraph"/>
              <w:suppressAutoHyphens/>
              <w:rPr>
                <w:sz w:val="20"/>
                <w:szCs w:val="20"/>
              </w:rPr>
            </w:pPr>
            <w:r w:rsidRPr="00920FF7">
              <w:rPr>
                <w:sz w:val="20"/>
                <w:szCs w:val="20"/>
              </w:rPr>
              <w:t>Sharp-Genant-kokonaispistearvo</w:t>
            </w:r>
          </w:p>
        </w:tc>
        <w:tc>
          <w:tcPr>
            <w:tcW w:w="2835" w:type="dxa"/>
          </w:tcPr>
          <w:p w14:paraId="1A8F89BF" w14:textId="77777777" w:rsidR="003B7027" w:rsidRPr="00920FF7" w:rsidRDefault="00296A74" w:rsidP="00CD14E4">
            <w:pPr>
              <w:pStyle w:val="TableParagraph"/>
              <w:suppressAutoHyphens/>
              <w:jc w:val="center"/>
              <w:rPr>
                <w:sz w:val="20"/>
                <w:szCs w:val="20"/>
              </w:rPr>
            </w:pPr>
            <w:r w:rsidRPr="00920FF7">
              <w:rPr>
                <w:sz w:val="20"/>
                <w:szCs w:val="20"/>
              </w:rPr>
              <w:t>1,13</w:t>
            </w:r>
          </w:p>
        </w:tc>
        <w:tc>
          <w:tcPr>
            <w:tcW w:w="3543" w:type="dxa"/>
          </w:tcPr>
          <w:p w14:paraId="0FA421E8" w14:textId="77777777" w:rsidR="003B7027" w:rsidRPr="00920FF7" w:rsidRDefault="00296A74" w:rsidP="00CD14E4">
            <w:pPr>
              <w:pStyle w:val="TableParagraph"/>
              <w:suppressAutoHyphens/>
              <w:jc w:val="center"/>
              <w:rPr>
                <w:sz w:val="20"/>
                <w:szCs w:val="20"/>
              </w:rPr>
            </w:pPr>
            <w:r w:rsidRPr="00920FF7">
              <w:rPr>
                <w:sz w:val="20"/>
                <w:szCs w:val="20"/>
              </w:rPr>
              <w:t>0,29*</w:t>
            </w:r>
          </w:p>
        </w:tc>
      </w:tr>
      <w:tr w:rsidR="003B7027" w:rsidRPr="00777B93" w14:paraId="14895E11" w14:textId="77777777" w:rsidTr="00BF6076">
        <w:trPr>
          <w:cantSplit/>
        </w:trPr>
        <w:tc>
          <w:tcPr>
            <w:tcW w:w="2658" w:type="dxa"/>
          </w:tcPr>
          <w:p w14:paraId="1B07DFBF" w14:textId="77777777" w:rsidR="003B7027" w:rsidRPr="00920FF7" w:rsidRDefault="00296A74" w:rsidP="00CD14E4">
            <w:pPr>
              <w:pStyle w:val="TableParagraph"/>
              <w:suppressAutoHyphens/>
              <w:rPr>
                <w:sz w:val="20"/>
                <w:szCs w:val="20"/>
              </w:rPr>
            </w:pPr>
            <w:r w:rsidRPr="00920FF7">
              <w:rPr>
                <w:sz w:val="20"/>
                <w:szCs w:val="20"/>
              </w:rPr>
              <w:t>Eroosioindeksi</w:t>
            </w:r>
          </w:p>
        </w:tc>
        <w:tc>
          <w:tcPr>
            <w:tcW w:w="2835" w:type="dxa"/>
          </w:tcPr>
          <w:p w14:paraId="181F5617" w14:textId="77777777" w:rsidR="003B7027" w:rsidRPr="00920FF7" w:rsidRDefault="00296A74" w:rsidP="00CD14E4">
            <w:pPr>
              <w:pStyle w:val="TableParagraph"/>
              <w:suppressAutoHyphens/>
              <w:jc w:val="center"/>
              <w:rPr>
                <w:sz w:val="20"/>
                <w:szCs w:val="20"/>
              </w:rPr>
            </w:pPr>
            <w:r w:rsidRPr="00920FF7">
              <w:rPr>
                <w:sz w:val="20"/>
                <w:szCs w:val="20"/>
              </w:rPr>
              <w:t>0,71</w:t>
            </w:r>
          </w:p>
        </w:tc>
        <w:tc>
          <w:tcPr>
            <w:tcW w:w="3543" w:type="dxa"/>
          </w:tcPr>
          <w:p w14:paraId="05367093" w14:textId="77777777" w:rsidR="003B7027" w:rsidRPr="00920FF7" w:rsidRDefault="00296A74" w:rsidP="00CD14E4">
            <w:pPr>
              <w:pStyle w:val="TableParagraph"/>
              <w:suppressAutoHyphens/>
              <w:jc w:val="center"/>
              <w:rPr>
                <w:sz w:val="20"/>
                <w:szCs w:val="20"/>
              </w:rPr>
            </w:pPr>
            <w:r w:rsidRPr="00920FF7">
              <w:rPr>
                <w:sz w:val="20"/>
                <w:szCs w:val="20"/>
              </w:rPr>
              <w:t>0,17*</w:t>
            </w:r>
          </w:p>
        </w:tc>
      </w:tr>
      <w:tr w:rsidR="003B7027" w:rsidRPr="00777B93" w14:paraId="25BAFB09" w14:textId="77777777" w:rsidTr="00BF6076">
        <w:trPr>
          <w:cantSplit/>
        </w:trPr>
        <w:tc>
          <w:tcPr>
            <w:tcW w:w="2658" w:type="dxa"/>
          </w:tcPr>
          <w:p w14:paraId="74EA8186" w14:textId="77777777" w:rsidR="003B7027" w:rsidRPr="00920FF7" w:rsidRDefault="00296A74" w:rsidP="00CD14E4">
            <w:pPr>
              <w:pStyle w:val="TableParagraph"/>
              <w:suppressAutoHyphens/>
              <w:rPr>
                <w:sz w:val="20"/>
                <w:szCs w:val="20"/>
              </w:rPr>
            </w:pPr>
            <w:r w:rsidRPr="00920FF7">
              <w:rPr>
                <w:sz w:val="20"/>
                <w:szCs w:val="20"/>
              </w:rPr>
              <w:t>Nivelraon kaventuminen</w:t>
            </w:r>
          </w:p>
        </w:tc>
        <w:tc>
          <w:tcPr>
            <w:tcW w:w="2835" w:type="dxa"/>
          </w:tcPr>
          <w:p w14:paraId="6377D93B" w14:textId="77777777" w:rsidR="003B7027" w:rsidRPr="00920FF7" w:rsidRDefault="00296A74" w:rsidP="00CD14E4">
            <w:pPr>
              <w:pStyle w:val="TableParagraph"/>
              <w:suppressAutoHyphens/>
              <w:jc w:val="center"/>
              <w:rPr>
                <w:sz w:val="20"/>
                <w:szCs w:val="20"/>
              </w:rPr>
            </w:pPr>
            <w:r w:rsidRPr="00920FF7">
              <w:rPr>
                <w:sz w:val="20"/>
                <w:szCs w:val="20"/>
              </w:rPr>
              <w:t>0,42</w:t>
            </w:r>
          </w:p>
        </w:tc>
        <w:tc>
          <w:tcPr>
            <w:tcW w:w="3543" w:type="dxa"/>
          </w:tcPr>
          <w:p w14:paraId="07D5877A" w14:textId="77777777" w:rsidR="003B7027" w:rsidRPr="00920FF7" w:rsidRDefault="00296A74" w:rsidP="00CD14E4">
            <w:pPr>
              <w:pStyle w:val="TableParagraph"/>
              <w:suppressAutoHyphens/>
              <w:jc w:val="center"/>
              <w:rPr>
                <w:sz w:val="20"/>
                <w:szCs w:val="20"/>
              </w:rPr>
            </w:pPr>
            <w:r w:rsidRPr="00920FF7">
              <w:rPr>
                <w:sz w:val="20"/>
                <w:szCs w:val="20"/>
              </w:rPr>
              <w:t>0,12**</w:t>
            </w:r>
          </w:p>
        </w:tc>
      </w:tr>
    </w:tbl>
    <w:p w14:paraId="113D4617" w14:textId="77777777" w:rsidR="003B7027" w:rsidRPr="00920FF7" w:rsidRDefault="00296A74" w:rsidP="00920FF7">
      <w:pPr>
        <w:ind w:left="851" w:hanging="851"/>
        <w:rPr>
          <w:i/>
          <w:sz w:val="18"/>
          <w:szCs w:val="18"/>
        </w:rPr>
      </w:pPr>
      <w:r w:rsidRPr="00920FF7">
        <w:rPr>
          <w:i/>
          <w:sz w:val="18"/>
          <w:szCs w:val="18"/>
        </w:rPr>
        <w:t>MTX</w:t>
      </w:r>
      <w:r w:rsidRPr="00920FF7">
        <w:rPr>
          <w:i/>
          <w:sz w:val="18"/>
          <w:szCs w:val="18"/>
        </w:rPr>
        <w:tab/>
        <w:t xml:space="preserve">- </w:t>
      </w:r>
      <w:proofErr w:type="spellStart"/>
      <w:r w:rsidRPr="00920FF7">
        <w:rPr>
          <w:i/>
          <w:sz w:val="18"/>
          <w:szCs w:val="18"/>
        </w:rPr>
        <w:t>metotreksaatti</w:t>
      </w:r>
      <w:proofErr w:type="spellEnd"/>
    </w:p>
    <w:p w14:paraId="76B68E35" w14:textId="77777777" w:rsidR="003B7027" w:rsidRPr="00920FF7" w:rsidRDefault="00296A74" w:rsidP="00920FF7">
      <w:pPr>
        <w:ind w:left="851" w:hanging="851"/>
        <w:rPr>
          <w:i/>
          <w:sz w:val="18"/>
          <w:szCs w:val="18"/>
        </w:rPr>
      </w:pPr>
      <w:r w:rsidRPr="00920FF7">
        <w:rPr>
          <w:i/>
          <w:sz w:val="18"/>
          <w:szCs w:val="18"/>
        </w:rPr>
        <w:t>TCZ</w:t>
      </w:r>
      <w:r w:rsidRPr="00920FF7">
        <w:rPr>
          <w:i/>
          <w:sz w:val="18"/>
          <w:szCs w:val="18"/>
        </w:rPr>
        <w:tab/>
        <w:t xml:space="preserve">- </w:t>
      </w:r>
      <w:proofErr w:type="spellStart"/>
      <w:r w:rsidRPr="00920FF7">
        <w:rPr>
          <w:i/>
          <w:sz w:val="18"/>
          <w:szCs w:val="18"/>
        </w:rPr>
        <w:t>tosilitsumabi</w:t>
      </w:r>
      <w:proofErr w:type="spellEnd"/>
    </w:p>
    <w:p w14:paraId="547A8DC0" w14:textId="77777777" w:rsidR="003B7027" w:rsidRPr="00CA43F5" w:rsidRDefault="00296A74" w:rsidP="00920FF7">
      <w:pPr>
        <w:ind w:left="851" w:hanging="851"/>
        <w:rPr>
          <w:i/>
          <w:sz w:val="18"/>
          <w:szCs w:val="18"/>
          <w:lang w:val="fi-FI"/>
        </w:rPr>
      </w:pPr>
      <w:r w:rsidRPr="00CA43F5">
        <w:rPr>
          <w:i/>
          <w:sz w:val="18"/>
          <w:szCs w:val="18"/>
          <w:lang w:val="fi-FI"/>
        </w:rPr>
        <w:t>*</w:t>
      </w:r>
      <w:r w:rsidRPr="00CA43F5">
        <w:rPr>
          <w:i/>
          <w:sz w:val="18"/>
          <w:szCs w:val="18"/>
          <w:lang w:val="fi-FI"/>
        </w:rPr>
        <w:tab/>
        <w:t xml:space="preserve">- p </w:t>
      </w:r>
      <w:r w:rsidRPr="00CA43F5">
        <w:rPr>
          <w:rFonts w:hint="eastAsia"/>
          <w:i/>
          <w:sz w:val="18"/>
          <w:szCs w:val="18"/>
          <w:lang w:val="fi-FI"/>
        </w:rPr>
        <w:t>≤</w:t>
      </w:r>
      <w:r w:rsidRPr="00CA43F5">
        <w:rPr>
          <w:i/>
          <w:sz w:val="18"/>
          <w:szCs w:val="18"/>
          <w:lang w:val="fi-FI"/>
        </w:rPr>
        <w:t xml:space="preserve"> 0,0001, kun tosilitsumabia verrattiin lumevalmisteen + MTX:n yhdistelmään.</w:t>
      </w:r>
    </w:p>
    <w:p w14:paraId="7C9CDA62" w14:textId="77777777" w:rsidR="003B7027" w:rsidRPr="00CA43F5" w:rsidRDefault="00296A74" w:rsidP="00920FF7">
      <w:pPr>
        <w:ind w:left="851" w:hanging="851"/>
        <w:rPr>
          <w:i/>
          <w:sz w:val="18"/>
          <w:szCs w:val="18"/>
          <w:lang w:val="fi-FI"/>
        </w:rPr>
      </w:pPr>
      <w:r w:rsidRPr="00CA43F5">
        <w:rPr>
          <w:i/>
          <w:sz w:val="18"/>
          <w:szCs w:val="18"/>
          <w:lang w:val="fi-FI"/>
        </w:rPr>
        <w:t>**</w:t>
      </w:r>
      <w:r w:rsidRPr="00CA43F5">
        <w:rPr>
          <w:i/>
          <w:sz w:val="18"/>
          <w:szCs w:val="18"/>
          <w:lang w:val="fi-FI"/>
        </w:rPr>
        <w:tab/>
        <w:t xml:space="preserve">- p </w:t>
      </w:r>
      <w:r w:rsidRPr="00CA43F5">
        <w:rPr>
          <w:rFonts w:hint="eastAsia"/>
          <w:i/>
          <w:sz w:val="18"/>
          <w:szCs w:val="18"/>
          <w:lang w:val="fi-FI"/>
        </w:rPr>
        <w:t>≤</w:t>
      </w:r>
      <w:r w:rsidRPr="00CA43F5">
        <w:rPr>
          <w:i/>
          <w:sz w:val="18"/>
          <w:szCs w:val="18"/>
          <w:lang w:val="fi-FI"/>
        </w:rPr>
        <w:t xml:space="preserve"> 0,005, kun tosilitsumabia verrattiin lumevalmisteen + MTX:n yhdistelmään.</w:t>
      </w:r>
    </w:p>
    <w:p w14:paraId="2872E76D" w14:textId="77777777" w:rsidR="006675A6" w:rsidRPr="0028514E" w:rsidRDefault="006675A6" w:rsidP="003C43CF">
      <w:pPr>
        <w:pStyle w:val="a4"/>
        <w:ind w:left="0"/>
      </w:pPr>
    </w:p>
    <w:p w14:paraId="5B2503F5" w14:textId="77777777" w:rsidR="003B7027" w:rsidRPr="0028514E" w:rsidRDefault="00296A74" w:rsidP="003C43CF">
      <w:pPr>
        <w:pStyle w:val="a4"/>
        <w:ind w:left="0"/>
      </w:pPr>
      <w:r w:rsidRPr="0028514E">
        <w:t>Vuoden kestäneen hoidon jälkeen tosilitsumabia yhdessä MTX:n kanssa saaneista potilaista 85 %:lla (n = 348) ei havaittu niveltuhon etenemistä Sharp-Genant-kokonaispistearvon muutoksena mitattuna (muutos 0 tai vähemmän). Vastaava tulos lumevalmistetta yhdessä MTX:n kanssa saaneilla potilailla oli 67 % (n = 290) (p ≤ 0,001). Tulos säilyi samanlaisena kaksi vuotta kestäneen hoidon jälkeen</w:t>
      </w:r>
      <w:r w:rsidR="006675A6" w:rsidRPr="0028514E">
        <w:t xml:space="preserve"> </w:t>
      </w:r>
      <w:r w:rsidRPr="0028514E">
        <w:t>(83 %; n = 353). Viikkojen 52 ja 104 välillä 93 %:lla potilaista (n= 271) ei havaittu niveltuhon etenemistä.</w:t>
      </w:r>
    </w:p>
    <w:p w14:paraId="3615B328" w14:textId="77777777" w:rsidR="006675A6" w:rsidRPr="0028514E" w:rsidRDefault="006675A6" w:rsidP="003C43CF">
      <w:pPr>
        <w:pStyle w:val="a4"/>
        <w:ind w:left="0"/>
      </w:pPr>
    </w:p>
    <w:p w14:paraId="7986E79C" w14:textId="77777777" w:rsidR="003B7027" w:rsidRPr="00CA43F5" w:rsidRDefault="00296A74" w:rsidP="006E5F9A">
      <w:pPr>
        <w:keepNext/>
        <w:rPr>
          <w:i/>
          <w:lang w:val="fi-FI"/>
        </w:rPr>
      </w:pPr>
      <w:r w:rsidRPr="00CA43F5">
        <w:rPr>
          <w:i/>
          <w:lang w:val="fi-FI"/>
        </w:rPr>
        <w:t>Terveydentilaa ja elämänlaatua kuvaavat tulokset</w:t>
      </w:r>
    </w:p>
    <w:p w14:paraId="477042F5" w14:textId="4A04018C" w:rsidR="003B7027" w:rsidRPr="0028514E" w:rsidRDefault="00296A74" w:rsidP="006E5F9A">
      <w:pPr>
        <w:pStyle w:val="a4"/>
        <w:ind w:left="0"/>
      </w:pPr>
      <w:r w:rsidRPr="0028514E">
        <w:t>Raportit tosilitsumabihoitoa saaneilta potilailta osoittivat paranemista kaikissa potilaan arviointiin perustuvissa mittareissa (HAQ-DI = Health Assessment Questionnaire Disability Index, Sort Form</w:t>
      </w:r>
      <w:r w:rsidR="00791823" w:rsidRPr="0028514E">
        <w:t xml:space="preserve"> </w:t>
      </w:r>
      <w:r w:rsidRPr="0028514E">
        <w:t xml:space="preserve">-36- ja FACIT = Functional Assessment of Chronic Illness Therapy -kyselylomakkeet). Fyysistä toimintakykyä mittaava HAQ-DI-tulos parani tilastollisesti merkitsevästi </w:t>
      </w:r>
      <w:r w:rsidR="00A61786">
        <w:t>tosilitsumabi</w:t>
      </w:r>
      <w:r w:rsidRPr="0028514E">
        <w:t>hoitoa saaneiden potilaiden ryhmässä DMARDeja saaneisiin potilaisiin verrattuna. Tutkimuksen II avoimessa vaiheessa havaittu parannus fyysisessä toimintakyvyssä säilyi jopa kahden vuoden ajan. Viikolla 52 keskimääräinen muutos HAQ-DI:ssä oli -0,58 niillä potilailla, jotka saivat tosilitsumabia 8 mg/kg yhdessä MTX:n kanssa. Lumevalmistetta yhdessä MTX:n kanssa saaneilla potilailla vastaava tulos oli 0,39. Keskimääräinen muutos HAQ-DI:ssä säilyi viikon 104 loppuun asti tosilitsumabia 8 mg/kg yhdessä MTX:n kanssa saaneilla potilailla (-0,61).</w:t>
      </w:r>
    </w:p>
    <w:p w14:paraId="38C59170" w14:textId="77777777" w:rsidR="003207C4" w:rsidRPr="00CA43F5" w:rsidRDefault="003207C4" w:rsidP="006E5F9A">
      <w:pPr>
        <w:rPr>
          <w:i/>
          <w:lang w:val="fi-FI"/>
        </w:rPr>
      </w:pPr>
    </w:p>
    <w:p w14:paraId="0E6946C3" w14:textId="77777777" w:rsidR="003B7027" w:rsidRPr="00CA43F5" w:rsidRDefault="00296A74" w:rsidP="006E5F9A">
      <w:pPr>
        <w:rPr>
          <w:i/>
          <w:lang w:val="fi-FI"/>
        </w:rPr>
      </w:pPr>
      <w:r w:rsidRPr="00CA43F5">
        <w:rPr>
          <w:i/>
          <w:lang w:val="fi-FI"/>
        </w:rPr>
        <w:t>Hemoglobiiniarvot</w:t>
      </w:r>
    </w:p>
    <w:p w14:paraId="77CC6ED8" w14:textId="77777777" w:rsidR="003B7027" w:rsidRPr="0028514E" w:rsidRDefault="00296A74" w:rsidP="006E5F9A">
      <w:pPr>
        <w:pStyle w:val="a4"/>
        <w:ind w:left="0"/>
      </w:pPr>
      <w:r w:rsidRPr="0028514E">
        <w:t xml:space="preserve">Tosilitsumabihoitoa saaneiden potilaiden hemoglobiiniarvot olivat parantuneet tilastollisesti merkitsevästi viikolla 24 verrattuna DMARDeja saaneiden potilaiden arvoihin (p &lt; 0,0001). </w:t>
      </w:r>
      <w:r w:rsidRPr="0028514E">
        <w:lastRenderedPageBreak/>
        <w:t>Hemoglobiiniarvojen keskiarvot nousivat viikkoon kaksi mennessä ja pysyivät normaalialueella viikkoon 24 asti.</w:t>
      </w:r>
    </w:p>
    <w:p w14:paraId="78C543A9" w14:textId="77777777" w:rsidR="003B7027" w:rsidRPr="0028514E" w:rsidRDefault="003B7027" w:rsidP="006E5F9A">
      <w:pPr>
        <w:pStyle w:val="a4"/>
        <w:ind w:left="0"/>
      </w:pPr>
    </w:p>
    <w:p w14:paraId="42C19983" w14:textId="77777777" w:rsidR="003B7027" w:rsidRPr="00CA43F5" w:rsidRDefault="00296A74" w:rsidP="006E5F9A">
      <w:pPr>
        <w:rPr>
          <w:i/>
          <w:lang w:val="fi-FI"/>
        </w:rPr>
      </w:pPr>
      <w:r w:rsidRPr="00CA43F5">
        <w:rPr>
          <w:i/>
          <w:lang w:val="fi-FI"/>
        </w:rPr>
        <w:t>Tosilitsumabin vertailu adalimumabiin monoterapiassa</w:t>
      </w:r>
    </w:p>
    <w:p w14:paraId="494A04CD" w14:textId="13928350" w:rsidR="003B7027" w:rsidRPr="0028514E" w:rsidRDefault="00296A74" w:rsidP="00D57B3C">
      <w:pPr>
        <w:pStyle w:val="a4"/>
        <w:ind w:left="0"/>
      </w:pPr>
      <w:r w:rsidRPr="0028514E">
        <w:t>Tutkimuksessa VI (WA19924), joka oli 24 viikon pituinen kaksoissokkoutettu tosilitsumabimonoterapiaa ja adalimumabimonoterapiaa vertaileva tutkimus, oli mukana 326 nivelreumapotilasta, jotka eivät sietäneet MTX-hoitoa tai joille MTX-hoidon jatkamista ei katsottu tarkoituksenmukaiseksi (mukaan lukien potilaat, jotka eivät saaneet riittävää vastetta MTX-hoitoon). Tosilitsumabiryhmän potilaat saivat tosilitsumabia (8 mg/kg) infuusiona laskimoon (i.v.) neljän viikon välein ja lumevalmistetta ihon alle (s.c.) kahden viikon välein. Adalimumabiryhmän potilaat saivat adalimumabia (40 mg) injektiona ihon alle kahden viikon välein sekä lumevalmistetta infuusiona laskimoon neljän viikon välein.</w:t>
      </w:r>
      <w:r w:rsidR="00D57B3C">
        <w:t xml:space="preserve"> </w:t>
      </w:r>
      <w:r w:rsidRPr="0028514E">
        <w:t>Tosilitsumabihoidon osoitettiin olevan adalimumabia tilastollisesti merkitsevästi tehokkaampi tautiaktiivisuuden hallinnassa sekä ensisijaisen päätetapahtuman osalta (DAS28-indeksin muutos lähtötilanteesta viikolle 24) että kaikkien toissijaisten päätetapahtumien osalta (taulukko 6).</w:t>
      </w:r>
    </w:p>
    <w:p w14:paraId="37A71440" w14:textId="77777777" w:rsidR="009249F3" w:rsidRPr="0028514E" w:rsidRDefault="009249F3" w:rsidP="006E5F9A">
      <w:pPr>
        <w:pStyle w:val="a4"/>
        <w:ind w:left="0"/>
      </w:pPr>
    </w:p>
    <w:p w14:paraId="1FC0A4AF" w14:textId="77777777" w:rsidR="003B7027" w:rsidRPr="00CA43F5" w:rsidRDefault="00296A74" w:rsidP="00920FF7">
      <w:pPr>
        <w:pStyle w:val="Tabletitle"/>
        <w:rPr>
          <w:lang w:val="fi-FI"/>
        </w:rPr>
      </w:pPr>
      <w:r w:rsidRPr="00CA43F5">
        <w:rPr>
          <w:lang w:val="fi-FI"/>
        </w:rPr>
        <w:t>Taulukko 6.</w:t>
      </w:r>
      <w:r w:rsidR="009249F3" w:rsidRPr="00CA43F5">
        <w:rPr>
          <w:lang w:val="fi-FI"/>
        </w:rPr>
        <w:tab/>
      </w:r>
      <w:r w:rsidRPr="00CA43F5">
        <w:rPr>
          <w:lang w:val="fi-FI"/>
        </w:rPr>
        <w:t>Tutkimuksen VI (WA19924) tehon tulokset</w:t>
      </w:r>
    </w:p>
    <w:p w14:paraId="3C7A815A" w14:textId="77777777" w:rsidR="009249F3" w:rsidRPr="00CA43F5" w:rsidRDefault="009249F3" w:rsidP="00920FF7">
      <w:pPr>
        <w:rPr>
          <w:lang w:val="fi-FI"/>
        </w:rPr>
      </w:pPr>
    </w:p>
    <w:tbl>
      <w:tblPr>
        <w:tblW w:w="4880" w:type="pct"/>
        <w:tblInd w:w="113" w:type="dxa"/>
        <w:tblLayout w:type="fixed"/>
        <w:tblCellMar>
          <w:top w:w="29" w:type="dxa"/>
          <w:bottom w:w="29" w:type="dxa"/>
        </w:tblCellMar>
        <w:tblLook w:val="01E0" w:firstRow="1" w:lastRow="1" w:firstColumn="1" w:lastColumn="1" w:noHBand="0" w:noVBand="0"/>
      </w:tblPr>
      <w:tblGrid>
        <w:gridCol w:w="3229"/>
        <w:gridCol w:w="516"/>
        <w:gridCol w:w="1476"/>
        <w:gridCol w:w="236"/>
        <w:gridCol w:w="1575"/>
        <w:gridCol w:w="357"/>
        <w:gridCol w:w="1453"/>
      </w:tblGrid>
      <w:tr w:rsidR="00CD14E4" w:rsidRPr="00777B93" w14:paraId="44E742C9" w14:textId="77777777" w:rsidTr="00A71F3E">
        <w:trPr>
          <w:cantSplit/>
        </w:trPr>
        <w:tc>
          <w:tcPr>
            <w:tcW w:w="3314" w:type="dxa"/>
            <w:tcBorders>
              <w:top w:val="single" w:sz="8" w:space="0" w:color="000000"/>
              <w:left w:val="single" w:sz="4" w:space="0" w:color="000000"/>
              <w:bottom w:val="single" w:sz="8" w:space="0" w:color="000000"/>
            </w:tcBorders>
          </w:tcPr>
          <w:p w14:paraId="6DD54025" w14:textId="194B2348" w:rsidR="00CD14E4" w:rsidRPr="00CA43F5" w:rsidRDefault="00CD14E4" w:rsidP="00CD14E4">
            <w:pPr>
              <w:suppressAutoHyphens/>
              <w:jc w:val="center"/>
              <w:rPr>
                <w:b/>
                <w:bCs/>
                <w:lang w:val="fi-FI"/>
              </w:rPr>
            </w:pPr>
          </w:p>
        </w:tc>
        <w:tc>
          <w:tcPr>
            <w:tcW w:w="2285" w:type="dxa"/>
            <w:gridSpan w:val="3"/>
            <w:tcBorders>
              <w:top w:val="single" w:sz="8" w:space="0" w:color="000000"/>
              <w:bottom w:val="single" w:sz="8" w:space="0" w:color="000000"/>
            </w:tcBorders>
          </w:tcPr>
          <w:p w14:paraId="42C120E1" w14:textId="72953FF2" w:rsidR="00CD14E4" w:rsidRPr="00CA43F5" w:rsidRDefault="00CD14E4" w:rsidP="00CD14E4">
            <w:pPr>
              <w:suppressAutoHyphens/>
              <w:jc w:val="center"/>
              <w:rPr>
                <w:b/>
                <w:bCs/>
                <w:lang w:val="fi-FI"/>
              </w:rPr>
            </w:pPr>
            <w:r w:rsidRPr="00CA43F5">
              <w:rPr>
                <w:b/>
                <w:bCs/>
                <w:lang w:val="fi-FI"/>
              </w:rPr>
              <w:t xml:space="preserve">ADA + lume (i.v.) </w:t>
            </w:r>
            <w:r w:rsidRPr="00CA43F5">
              <w:rPr>
                <w:b/>
                <w:bCs/>
                <w:lang w:val="fi-FI"/>
              </w:rPr>
              <w:br/>
              <w:t>N = 162</w:t>
            </w:r>
          </w:p>
        </w:tc>
        <w:tc>
          <w:tcPr>
            <w:tcW w:w="1980" w:type="dxa"/>
            <w:gridSpan w:val="2"/>
            <w:tcBorders>
              <w:top w:val="single" w:sz="8" w:space="0" w:color="000000"/>
              <w:bottom w:val="single" w:sz="8" w:space="0" w:color="000000"/>
            </w:tcBorders>
          </w:tcPr>
          <w:p w14:paraId="061720A6" w14:textId="77777777" w:rsidR="00CD14E4" w:rsidRPr="00777B93" w:rsidRDefault="00CD14E4" w:rsidP="00CD14E4">
            <w:pPr>
              <w:suppressAutoHyphens/>
              <w:jc w:val="center"/>
              <w:rPr>
                <w:b/>
                <w:bCs/>
              </w:rPr>
            </w:pPr>
            <w:r w:rsidRPr="00777B93">
              <w:rPr>
                <w:b/>
                <w:bCs/>
              </w:rPr>
              <w:t xml:space="preserve">TCZ + </w:t>
            </w:r>
            <w:proofErr w:type="spellStart"/>
            <w:r w:rsidRPr="00777B93">
              <w:rPr>
                <w:b/>
                <w:bCs/>
              </w:rPr>
              <w:t>lume</w:t>
            </w:r>
            <w:proofErr w:type="spellEnd"/>
            <w:r w:rsidRPr="00777B93">
              <w:rPr>
                <w:b/>
                <w:bCs/>
              </w:rPr>
              <w:t xml:space="preserve"> (</w:t>
            </w:r>
            <w:proofErr w:type="spellStart"/>
            <w:r w:rsidRPr="00777B93">
              <w:rPr>
                <w:b/>
                <w:bCs/>
              </w:rPr>
              <w:t>s.c.</w:t>
            </w:r>
            <w:proofErr w:type="spellEnd"/>
            <w:r w:rsidRPr="00777B93">
              <w:rPr>
                <w:b/>
                <w:bCs/>
              </w:rPr>
              <w:t>) N = 163</w:t>
            </w:r>
          </w:p>
        </w:tc>
        <w:tc>
          <w:tcPr>
            <w:tcW w:w="1488" w:type="dxa"/>
            <w:tcBorders>
              <w:top w:val="single" w:sz="8" w:space="0" w:color="000000"/>
              <w:bottom w:val="single" w:sz="8" w:space="0" w:color="000000"/>
              <w:right w:val="single" w:sz="8" w:space="0" w:color="000000"/>
            </w:tcBorders>
            <w:vAlign w:val="bottom"/>
          </w:tcPr>
          <w:p w14:paraId="404C29AA" w14:textId="77777777" w:rsidR="00CD14E4" w:rsidRPr="00777B93" w:rsidRDefault="00CD14E4" w:rsidP="00CD14E4">
            <w:pPr>
              <w:suppressAutoHyphens/>
              <w:jc w:val="center"/>
              <w:rPr>
                <w:b/>
                <w:bCs/>
              </w:rPr>
            </w:pPr>
            <w:r w:rsidRPr="00777B93">
              <w:rPr>
                <w:b/>
                <w:bCs/>
              </w:rPr>
              <w:t>p-</w:t>
            </w:r>
            <w:proofErr w:type="spellStart"/>
            <w:r w:rsidRPr="00777B93">
              <w:rPr>
                <w:b/>
                <w:bCs/>
              </w:rPr>
              <w:t>arvo</w:t>
            </w:r>
            <w:proofErr w:type="spellEnd"/>
            <w:r w:rsidRPr="00777B93">
              <w:rPr>
                <w:b/>
                <w:bCs/>
                <w:vertAlign w:val="superscript"/>
              </w:rPr>
              <w:t>(a)</w:t>
            </w:r>
          </w:p>
        </w:tc>
      </w:tr>
      <w:tr w:rsidR="003B7027" w:rsidRPr="00ED6BAC" w14:paraId="70B83321" w14:textId="77777777" w:rsidTr="00A71F3E">
        <w:trPr>
          <w:cantSplit/>
        </w:trPr>
        <w:tc>
          <w:tcPr>
            <w:tcW w:w="9067" w:type="dxa"/>
            <w:gridSpan w:val="7"/>
            <w:tcBorders>
              <w:top w:val="single" w:sz="8" w:space="0" w:color="000000"/>
              <w:left w:val="single" w:sz="4" w:space="0" w:color="000000"/>
              <w:bottom w:val="single" w:sz="4" w:space="0" w:color="auto"/>
              <w:right w:val="single" w:sz="8" w:space="0" w:color="000000"/>
            </w:tcBorders>
          </w:tcPr>
          <w:p w14:paraId="76FA05AA" w14:textId="77777777" w:rsidR="003B7027" w:rsidRPr="0028514E" w:rsidRDefault="00296A74" w:rsidP="00CD14E4">
            <w:pPr>
              <w:pStyle w:val="TableParagraph"/>
              <w:suppressAutoHyphens/>
              <w:rPr>
                <w:b/>
              </w:rPr>
            </w:pPr>
            <w:r w:rsidRPr="0028514E">
              <w:rPr>
                <w:b/>
              </w:rPr>
              <w:t>Ensisijainen päätetapahtuma: keskimuutos lähtötilanteesta viikkoon 24</w:t>
            </w:r>
          </w:p>
        </w:tc>
      </w:tr>
      <w:tr w:rsidR="003B7027" w:rsidRPr="00777B93" w14:paraId="13200E13" w14:textId="77777777" w:rsidTr="00A71F3E">
        <w:trPr>
          <w:cantSplit/>
        </w:trPr>
        <w:tc>
          <w:tcPr>
            <w:tcW w:w="3845" w:type="dxa"/>
            <w:gridSpan w:val="2"/>
            <w:tcBorders>
              <w:top w:val="single" w:sz="4" w:space="0" w:color="auto"/>
              <w:left w:val="single" w:sz="4" w:space="0" w:color="000000"/>
              <w:bottom w:val="single" w:sz="4" w:space="0" w:color="auto"/>
            </w:tcBorders>
          </w:tcPr>
          <w:p w14:paraId="658E7A3D" w14:textId="77777777" w:rsidR="003B7027" w:rsidRPr="0028514E" w:rsidRDefault="00296A74" w:rsidP="00CD14E4">
            <w:pPr>
              <w:pStyle w:val="TableParagraph"/>
              <w:suppressAutoHyphens/>
              <w:jc w:val="right"/>
              <w:rPr>
                <w:bCs/>
              </w:rPr>
            </w:pPr>
            <w:r w:rsidRPr="0028514E">
              <w:rPr>
                <w:bCs/>
              </w:rPr>
              <w:t>DAS28 (korjattu keskiarvo)</w:t>
            </w:r>
          </w:p>
        </w:tc>
        <w:tc>
          <w:tcPr>
            <w:tcW w:w="1512" w:type="dxa"/>
            <w:tcBorders>
              <w:top w:val="single" w:sz="4" w:space="0" w:color="auto"/>
              <w:bottom w:val="single" w:sz="4" w:space="0" w:color="auto"/>
            </w:tcBorders>
            <w:vAlign w:val="center"/>
          </w:tcPr>
          <w:p w14:paraId="25F45CBD" w14:textId="77777777" w:rsidR="003B7027" w:rsidRPr="0028514E" w:rsidRDefault="00296A74" w:rsidP="00CD14E4">
            <w:pPr>
              <w:pStyle w:val="TableParagraph"/>
              <w:suppressAutoHyphens/>
              <w:jc w:val="center"/>
              <w:rPr>
                <w:bCs/>
              </w:rPr>
            </w:pPr>
            <w:r w:rsidRPr="0028514E">
              <w:rPr>
                <w:bCs/>
              </w:rPr>
              <w:t>-1,8</w:t>
            </w:r>
          </w:p>
        </w:tc>
        <w:tc>
          <w:tcPr>
            <w:tcW w:w="1856" w:type="dxa"/>
            <w:gridSpan w:val="2"/>
            <w:tcBorders>
              <w:top w:val="single" w:sz="4" w:space="0" w:color="auto"/>
              <w:bottom w:val="single" w:sz="4" w:space="0" w:color="auto"/>
            </w:tcBorders>
            <w:vAlign w:val="center"/>
          </w:tcPr>
          <w:p w14:paraId="2A968BB0" w14:textId="77777777" w:rsidR="003B7027" w:rsidRPr="0028514E" w:rsidRDefault="00296A74" w:rsidP="00CD14E4">
            <w:pPr>
              <w:pStyle w:val="TableParagraph"/>
              <w:suppressAutoHyphens/>
              <w:jc w:val="center"/>
              <w:rPr>
                <w:bCs/>
              </w:rPr>
            </w:pPr>
            <w:r w:rsidRPr="0028514E">
              <w:rPr>
                <w:bCs/>
              </w:rPr>
              <w:t>-3,3</w:t>
            </w:r>
          </w:p>
        </w:tc>
        <w:tc>
          <w:tcPr>
            <w:tcW w:w="1854" w:type="dxa"/>
            <w:gridSpan w:val="2"/>
            <w:tcBorders>
              <w:top w:val="single" w:sz="4" w:space="0" w:color="auto"/>
              <w:bottom w:val="single" w:sz="4" w:space="0" w:color="auto"/>
              <w:right w:val="single" w:sz="8" w:space="0" w:color="000000"/>
            </w:tcBorders>
            <w:vAlign w:val="center"/>
          </w:tcPr>
          <w:p w14:paraId="6C79AE49" w14:textId="77777777" w:rsidR="003B7027" w:rsidRPr="0028514E" w:rsidRDefault="003B7027" w:rsidP="00CD14E4">
            <w:pPr>
              <w:pStyle w:val="TableParagraph"/>
              <w:suppressAutoHyphens/>
              <w:jc w:val="center"/>
              <w:rPr>
                <w:bCs/>
              </w:rPr>
            </w:pPr>
          </w:p>
        </w:tc>
      </w:tr>
      <w:tr w:rsidR="003B7027" w:rsidRPr="00777B93" w14:paraId="3AAC32BD" w14:textId="77777777" w:rsidTr="00A71F3E">
        <w:trPr>
          <w:cantSplit/>
        </w:trPr>
        <w:tc>
          <w:tcPr>
            <w:tcW w:w="3845" w:type="dxa"/>
            <w:gridSpan w:val="2"/>
            <w:tcBorders>
              <w:top w:val="single" w:sz="4" w:space="0" w:color="auto"/>
              <w:left w:val="single" w:sz="4" w:space="0" w:color="000000"/>
              <w:bottom w:val="single" w:sz="4" w:space="0" w:color="auto"/>
            </w:tcBorders>
          </w:tcPr>
          <w:p w14:paraId="4FC8A394" w14:textId="77777777" w:rsidR="003B7027" w:rsidRPr="0028514E" w:rsidRDefault="00296A74" w:rsidP="00CD14E4">
            <w:pPr>
              <w:pStyle w:val="TableParagraph"/>
              <w:suppressAutoHyphens/>
              <w:jc w:val="right"/>
              <w:rPr>
                <w:bCs/>
              </w:rPr>
            </w:pPr>
            <w:r w:rsidRPr="0028514E">
              <w:rPr>
                <w:bCs/>
              </w:rPr>
              <w:t>Korjatun keskiarvon ero (95 %:n</w:t>
            </w:r>
            <w:r w:rsidR="00F40657" w:rsidRPr="0028514E">
              <w:rPr>
                <w:bCs/>
              </w:rPr>
              <w:t xml:space="preserve"> </w:t>
            </w:r>
            <w:r w:rsidRPr="0028514E">
              <w:rPr>
                <w:bCs/>
              </w:rPr>
              <w:t>luottamusväli)</w:t>
            </w:r>
          </w:p>
        </w:tc>
        <w:tc>
          <w:tcPr>
            <w:tcW w:w="3368" w:type="dxa"/>
            <w:gridSpan w:val="3"/>
            <w:tcBorders>
              <w:top w:val="single" w:sz="4" w:space="0" w:color="auto"/>
              <w:bottom w:val="single" w:sz="4" w:space="0" w:color="auto"/>
            </w:tcBorders>
            <w:vAlign w:val="center"/>
          </w:tcPr>
          <w:p w14:paraId="5F3832D7" w14:textId="77777777" w:rsidR="003B7027" w:rsidRPr="0028514E" w:rsidRDefault="00296A74" w:rsidP="00CD14E4">
            <w:pPr>
              <w:pStyle w:val="TableParagraph"/>
              <w:suppressAutoHyphens/>
              <w:jc w:val="center"/>
              <w:rPr>
                <w:bCs/>
              </w:rPr>
            </w:pPr>
            <w:r w:rsidRPr="0028514E">
              <w:rPr>
                <w:bCs/>
              </w:rPr>
              <w:t>-1,5 (-1,8, -1,1)</w:t>
            </w:r>
          </w:p>
        </w:tc>
        <w:tc>
          <w:tcPr>
            <w:tcW w:w="1854" w:type="dxa"/>
            <w:gridSpan w:val="2"/>
            <w:tcBorders>
              <w:top w:val="single" w:sz="4" w:space="0" w:color="auto"/>
              <w:bottom w:val="single" w:sz="4" w:space="0" w:color="auto"/>
              <w:right w:val="single" w:sz="8" w:space="0" w:color="000000"/>
            </w:tcBorders>
            <w:vAlign w:val="center"/>
          </w:tcPr>
          <w:p w14:paraId="0A03464A" w14:textId="77777777" w:rsidR="003B7027" w:rsidRPr="0028514E" w:rsidRDefault="00296A74" w:rsidP="00CD14E4">
            <w:pPr>
              <w:pStyle w:val="TableParagraph"/>
              <w:suppressAutoHyphens/>
              <w:jc w:val="center"/>
              <w:rPr>
                <w:bCs/>
              </w:rPr>
            </w:pPr>
            <w:r w:rsidRPr="0028514E">
              <w:rPr>
                <w:bCs/>
              </w:rPr>
              <w:t>&lt; 0,0001</w:t>
            </w:r>
          </w:p>
        </w:tc>
      </w:tr>
      <w:tr w:rsidR="003B7027" w:rsidRPr="00ED6BAC" w14:paraId="16ABB350" w14:textId="77777777" w:rsidTr="00A71F3E">
        <w:trPr>
          <w:cantSplit/>
        </w:trPr>
        <w:tc>
          <w:tcPr>
            <w:tcW w:w="9067" w:type="dxa"/>
            <w:gridSpan w:val="7"/>
            <w:tcBorders>
              <w:top w:val="single" w:sz="4" w:space="0" w:color="auto"/>
              <w:left w:val="single" w:sz="4" w:space="0" w:color="000000"/>
              <w:bottom w:val="single" w:sz="4" w:space="0" w:color="000000"/>
              <w:right w:val="single" w:sz="8" w:space="0" w:color="000000"/>
            </w:tcBorders>
          </w:tcPr>
          <w:p w14:paraId="7B235CCA" w14:textId="77777777" w:rsidR="003B7027" w:rsidRPr="0028514E" w:rsidRDefault="00296A74" w:rsidP="00CD14E4">
            <w:pPr>
              <w:pStyle w:val="TableParagraph"/>
              <w:suppressAutoHyphens/>
              <w:rPr>
                <w:b/>
              </w:rPr>
            </w:pPr>
            <w:r w:rsidRPr="0028514E">
              <w:rPr>
                <w:b/>
              </w:rPr>
              <w:t xml:space="preserve">Toissijaiset päätetapahtumat: vasteen saaneiden prosenttiosuus viikolla 24 </w:t>
            </w:r>
            <w:r w:rsidRPr="0028514E">
              <w:rPr>
                <w:b/>
                <w:vertAlign w:val="superscript"/>
              </w:rPr>
              <w:t>(b)</w:t>
            </w:r>
          </w:p>
        </w:tc>
      </w:tr>
      <w:tr w:rsidR="003B7027" w:rsidRPr="00777B93" w14:paraId="491F3675" w14:textId="77777777" w:rsidTr="00A71F3E">
        <w:trPr>
          <w:cantSplit/>
        </w:trPr>
        <w:tc>
          <w:tcPr>
            <w:tcW w:w="3845" w:type="dxa"/>
            <w:gridSpan w:val="2"/>
            <w:tcBorders>
              <w:top w:val="single" w:sz="4" w:space="0" w:color="000000"/>
              <w:left w:val="single" w:sz="4" w:space="0" w:color="000000"/>
              <w:bottom w:val="single" w:sz="4" w:space="0" w:color="auto"/>
            </w:tcBorders>
          </w:tcPr>
          <w:p w14:paraId="540AB657" w14:textId="77777777" w:rsidR="003B7027" w:rsidRPr="0028514E" w:rsidRDefault="00296A74" w:rsidP="00CD14E4">
            <w:pPr>
              <w:pStyle w:val="TableParagraph"/>
              <w:suppressAutoHyphens/>
              <w:jc w:val="right"/>
            </w:pPr>
            <w:r w:rsidRPr="0028514E">
              <w:t>DAS28 &lt; 2,6, n (%)</w:t>
            </w:r>
          </w:p>
        </w:tc>
        <w:tc>
          <w:tcPr>
            <w:tcW w:w="1512" w:type="dxa"/>
            <w:tcBorders>
              <w:top w:val="single" w:sz="4" w:space="0" w:color="000000"/>
              <w:bottom w:val="single" w:sz="4" w:space="0" w:color="auto"/>
            </w:tcBorders>
          </w:tcPr>
          <w:p w14:paraId="3A01FCE0" w14:textId="77777777" w:rsidR="003B7027" w:rsidRPr="0028514E" w:rsidRDefault="00296A74" w:rsidP="00CD14E4">
            <w:pPr>
              <w:pStyle w:val="TableParagraph"/>
              <w:suppressAutoHyphens/>
              <w:jc w:val="center"/>
            </w:pPr>
            <w:r w:rsidRPr="0028514E">
              <w:t>17 (10,5)</w:t>
            </w:r>
          </w:p>
        </w:tc>
        <w:tc>
          <w:tcPr>
            <w:tcW w:w="1856" w:type="dxa"/>
            <w:gridSpan w:val="2"/>
            <w:tcBorders>
              <w:top w:val="single" w:sz="4" w:space="0" w:color="000000"/>
              <w:bottom w:val="single" w:sz="4" w:space="0" w:color="auto"/>
            </w:tcBorders>
          </w:tcPr>
          <w:p w14:paraId="794EEBF9" w14:textId="77777777" w:rsidR="003B7027" w:rsidRPr="0028514E" w:rsidRDefault="00296A74" w:rsidP="00CD14E4">
            <w:pPr>
              <w:pStyle w:val="TableParagraph"/>
              <w:suppressAutoHyphens/>
              <w:jc w:val="center"/>
            </w:pPr>
            <w:r w:rsidRPr="0028514E">
              <w:t>65 (39,9)</w:t>
            </w:r>
          </w:p>
        </w:tc>
        <w:tc>
          <w:tcPr>
            <w:tcW w:w="1854" w:type="dxa"/>
            <w:gridSpan w:val="2"/>
            <w:tcBorders>
              <w:top w:val="single" w:sz="4" w:space="0" w:color="000000"/>
              <w:bottom w:val="single" w:sz="4" w:space="0" w:color="auto"/>
              <w:right w:val="single" w:sz="8" w:space="0" w:color="000000"/>
            </w:tcBorders>
          </w:tcPr>
          <w:p w14:paraId="63BF9E0D" w14:textId="77777777" w:rsidR="003B7027" w:rsidRPr="0028514E" w:rsidRDefault="00296A74" w:rsidP="00CD14E4">
            <w:pPr>
              <w:pStyle w:val="TableParagraph"/>
              <w:suppressAutoHyphens/>
              <w:jc w:val="center"/>
            </w:pPr>
            <w:r w:rsidRPr="0028514E">
              <w:t>&lt; 0,0001</w:t>
            </w:r>
          </w:p>
        </w:tc>
      </w:tr>
      <w:tr w:rsidR="003B7027" w:rsidRPr="00777B93" w14:paraId="1B051B74" w14:textId="77777777" w:rsidTr="00A71F3E">
        <w:trPr>
          <w:cantSplit/>
        </w:trPr>
        <w:tc>
          <w:tcPr>
            <w:tcW w:w="3845" w:type="dxa"/>
            <w:gridSpan w:val="2"/>
            <w:tcBorders>
              <w:top w:val="single" w:sz="4" w:space="0" w:color="auto"/>
              <w:left w:val="single" w:sz="4" w:space="0" w:color="000000"/>
              <w:bottom w:val="single" w:sz="4" w:space="0" w:color="auto"/>
            </w:tcBorders>
          </w:tcPr>
          <w:p w14:paraId="4D790942" w14:textId="77777777" w:rsidR="003B7027" w:rsidRPr="0028514E" w:rsidRDefault="00296A74" w:rsidP="00CD14E4">
            <w:pPr>
              <w:pStyle w:val="TableParagraph"/>
              <w:suppressAutoHyphens/>
              <w:jc w:val="right"/>
            </w:pPr>
            <w:r w:rsidRPr="0028514E">
              <w:t>DAS28 ≤ 3,2, n (%)</w:t>
            </w:r>
          </w:p>
        </w:tc>
        <w:tc>
          <w:tcPr>
            <w:tcW w:w="1512" w:type="dxa"/>
            <w:tcBorders>
              <w:top w:val="single" w:sz="4" w:space="0" w:color="auto"/>
              <w:bottom w:val="single" w:sz="4" w:space="0" w:color="auto"/>
            </w:tcBorders>
          </w:tcPr>
          <w:p w14:paraId="37651240" w14:textId="77777777" w:rsidR="003B7027" w:rsidRPr="0028514E" w:rsidRDefault="00296A74" w:rsidP="00CD14E4">
            <w:pPr>
              <w:pStyle w:val="TableParagraph"/>
              <w:suppressAutoHyphens/>
              <w:jc w:val="center"/>
            </w:pPr>
            <w:r w:rsidRPr="0028514E">
              <w:t>32 (19,8)</w:t>
            </w:r>
          </w:p>
        </w:tc>
        <w:tc>
          <w:tcPr>
            <w:tcW w:w="1856" w:type="dxa"/>
            <w:gridSpan w:val="2"/>
            <w:tcBorders>
              <w:top w:val="single" w:sz="4" w:space="0" w:color="auto"/>
              <w:bottom w:val="single" w:sz="4" w:space="0" w:color="auto"/>
            </w:tcBorders>
          </w:tcPr>
          <w:p w14:paraId="3B7A02F5" w14:textId="77777777" w:rsidR="003B7027" w:rsidRPr="0028514E" w:rsidRDefault="00296A74" w:rsidP="00CD14E4">
            <w:pPr>
              <w:pStyle w:val="TableParagraph"/>
              <w:suppressAutoHyphens/>
              <w:jc w:val="center"/>
            </w:pPr>
            <w:r w:rsidRPr="0028514E">
              <w:t>84 (51,5)</w:t>
            </w:r>
          </w:p>
        </w:tc>
        <w:tc>
          <w:tcPr>
            <w:tcW w:w="1854" w:type="dxa"/>
            <w:gridSpan w:val="2"/>
            <w:tcBorders>
              <w:top w:val="single" w:sz="4" w:space="0" w:color="auto"/>
              <w:bottom w:val="single" w:sz="4" w:space="0" w:color="auto"/>
              <w:right w:val="single" w:sz="8" w:space="0" w:color="000000"/>
            </w:tcBorders>
          </w:tcPr>
          <w:p w14:paraId="52D04573" w14:textId="77777777" w:rsidR="003B7027" w:rsidRPr="0028514E" w:rsidRDefault="00296A74" w:rsidP="00CD14E4">
            <w:pPr>
              <w:pStyle w:val="TableParagraph"/>
              <w:suppressAutoHyphens/>
              <w:jc w:val="center"/>
            </w:pPr>
            <w:r w:rsidRPr="0028514E">
              <w:t>&lt; 0,0001</w:t>
            </w:r>
          </w:p>
        </w:tc>
      </w:tr>
      <w:tr w:rsidR="003B7027" w:rsidRPr="00777B93" w14:paraId="635BCC37" w14:textId="77777777" w:rsidTr="00A71F3E">
        <w:trPr>
          <w:cantSplit/>
        </w:trPr>
        <w:tc>
          <w:tcPr>
            <w:tcW w:w="3845" w:type="dxa"/>
            <w:gridSpan w:val="2"/>
            <w:tcBorders>
              <w:top w:val="single" w:sz="4" w:space="0" w:color="auto"/>
              <w:left w:val="single" w:sz="4" w:space="0" w:color="000000"/>
              <w:bottom w:val="single" w:sz="4" w:space="0" w:color="auto"/>
            </w:tcBorders>
          </w:tcPr>
          <w:p w14:paraId="2DFB0057" w14:textId="77777777" w:rsidR="003B7027" w:rsidRPr="0028514E" w:rsidRDefault="00296A74" w:rsidP="00CD14E4">
            <w:pPr>
              <w:pStyle w:val="TableParagraph"/>
              <w:suppressAutoHyphens/>
              <w:jc w:val="right"/>
            </w:pPr>
            <w:r w:rsidRPr="0028514E">
              <w:t>ACR20-vaste, n (%)</w:t>
            </w:r>
          </w:p>
        </w:tc>
        <w:tc>
          <w:tcPr>
            <w:tcW w:w="1512" w:type="dxa"/>
            <w:tcBorders>
              <w:top w:val="single" w:sz="4" w:space="0" w:color="auto"/>
              <w:bottom w:val="single" w:sz="4" w:space="0" w:color="auto"/>
            </w:tcBorders>
          </w:tcPr>
          <w:p w14:paraId="1148E339" w14:textId="77777777" w:rsidR="003B7027" w:rsidRPr="0028514E" w:rsidRDefault="00296A74" w:rsidP="00CD14E4">
            <w:pPr>
              <w:pStyle w:val="TableParagraph"/>
              <w:suppressAutoHyphens/>
              <w:jc w:val="center"/>
            </w:pPr>
            <w:r w:rsidRPr="0028514E">
              <w:t>80 (49,4)</w:t>
            </w:r>
          </w:p>
        </w:tc>
        <w:tc>
          <w:tcPr>
            <w:tcW w:w="1856" w:type="dxa"/>
            <w:gridSpan w:val="2"/>
            <w:tcBorders>
              <w:top w:val="single" w:sz="4" w:space="0" w:color="auto"/>
              <w:bottom w:val="single" w:sz="4" w:space="0" w:color="auto"/>
            </w:tcBorders>
          </w:tcPr>
          <w:p w14:paraId="3441BE7A" w14:textId="77777777" w:rsidR="003B7027" w:rsidRPr="0028514E" w:rsidRDefault="00296A74" w:rsidP="00CD14E4">
            <w:pPr>
              <w:pStyle w:val="TableParagraph"/>
              <w:suppressAutoHyphens/>
              <w:jc w:val="center"/>
            </w:pPr>
            <w:r w:rsidRPr="0028514E">
              <w:t>106 (65,0)</w:t>
            </w:r>
          </w:p>
        </w:tc>
        <w:tc>
          <w:tcPr>
            <w:tcW w:w="1854" w:type="dxa"/>
            <w:gridSpan w:val="2"/>
            <w:tcBorders>
              <w:top w:val="single" w:sz="4" w:space="0" w:color="auto"/>
              <w:bottom w:val="single" w:sz="4" w:space="0" w:color="auto"/>
              <w:right w:val="single" w:sz="8" w:space="0" w:color="000000"/>
            </w:tcBorders>
          </w:tcPr>
          <w:p w14:paraId="59350DB5" w14:textId="77777777" w:rsidR="003B7027" w:rsidRPr="0028514E" w:rsidRDefault="00296A74" w:rsidP="00CD14E4">
            <w:pPr>
              <w:pStyle w:val="TableParagraph"/>
              <w:suppressAutoHyphens/>
              <w:jc w:val="center"/>
            </w:pPr>
            <w:r w:rsidRPr="0028514E">
              <w:t>0,0038</w:t>
            </w:r>
          </w:p>
        </w:tc>
      </w:tr>
      <w:tr w:rsidR="003B7027" w:rsidRPr="00777B93" w14:paraId="64554DB9" w14:textId="77777777" w:rsidTr="00A71F3E">
        <w:trPr>
          <w:cantSplit/>
        </w:trPr>
        <w:tc>
          <w:tcPr>
            <w:tcW w:w="3845" w:type="dxa"/>
            <w:gridSpan w:val="2"/>
            <w:tcBorders>
              <w:top w:val="single" w:sz="4" w:space="0" w:color="auto"/>
              <w:left w:val="single" w:sz="4" w:space="0" w:color="000000"/>
              <w:bottom w:val="single" w:sz="4" w:space="0" w:color="auto"/>
            </w:tcBorders>
          </w:tcPr>
          <w:p w14:paraId="53B656A9" w14:textId="77777777" w:rsidR="003B7027" w:rsidRPr="0028514E" w:rsidRDefault="00296A74" w:rsidP="00CD14E4">
            <w:pPr>
              <w:pStyle w:val="TableParagraph"/>
              <w:suppressAutoHyphens/>
              <w:jc w:val="right"/>
            </w:pPr>
            <w:r w:rsidRPr="0028514E">
              <w:t>ACR50-vaste, n (%)</w:t>
            </w:r>
          </w:p>
        </w:tc>
        <w:tc>
          <w:tcPr>
            <w:tcW w:w="1512" w:type="dxa"/>
            <w:tcBorders>
              <w:top w:val="single" w:sz="4" w:space="0" w:color="auto"/>
              <w:bottom w:val="single" w:sz="4" w:space="0" w:color="auto"/>
            </w:tcBorders>
          </w:tcPr>
          <w:p w14:paraId="152774D4" w14:textId="77777777" w:rsidR="003B7027" w:rsidRPr="0028514E" w:rsidRDefault="00296A74" w:rsidP="00CD14E4">
            <w:pPr>
              <w:pStyle w:val="TableParagraph"/>
              <w:suppressAutoHyphens/>
              <w:jc w:val="center"/>
            </w:pPr>
            <w:r w:rsidRPr="0028514E">
              <w:t>45 (27,8)</w:t>
            </w:r>
          </w:p>
        </w:tc>
        <w:tc>
          <w:tcPr>
            <w:tcW w:w="1856" w:type="dxa"/>
            <w:gridSpan w:val="2"/>
            <w:tcBorders>
              <w:top w:val="single" w:sz="4" w:space="0" w:color="auto"/>
              <w:bottom w:val="single" w:sz="4" w:space="0" w:color="auto"/>
            </w:tcBorders>
          </w:tcPr>
          <w:p w14:paraId="25B99DEB" w14:textId="77777777" w:rsidR="003B7027" w:rsidRPr="0028514E" w:rsidRDefault="00296A74" w:rsidP="00CD14E4">
            <w:pPr>
              <w:pStyle w:val="TableParagraph"/>
              <w:suppressAutoHyphens/>
              <w:jc w:val="center"/>
            </w:pPr>
            <w:r w:rsidRPr="0028514E">
              <w:t>77 (47,2)</w:t>
            </w:r>
          </w:p>
        </w:tc>
        <w:tc>
          <w:tcPr>
            <w:tcW w:w="1854" w:type="dxa"/>
            <w:gridSpan w:val="2"/>
            <w:tcBorders>
              <w:top w:val="single" w:sz="4" w:space="0" w:color="auto"/>
              <w:bottom w:val="single" w:sz="4" w:space="0" w:color="auto"/>
              <w:right w:val="single" w:sz="8" w:space="0" w:color="000000"/>
            </w:tcBorders>
          </w:tcPr>
          <w:p w14:paraId="5CEBFCFD" w14:textId="77777777" w:rsidR="003B7027" w:rsidRPr="0028514E" w:rsidRDefault="00296A74" w:rsidP="00CD14E4">
            <w:pPr>
              <w:pStyle w:val="TableParagraph"/>
              <w:suppressAutoHyphens/>
              <w:jc w:val="center"/>
            </w:pPr>
            <w:r w:rsidRPr="0028514E">
              <w:t>0,0002</w:t>
            </w:r>
          </w:p>
        </w:tc>
      </w:tr>
      <w:tr w:rsidR="003B7027" w:rsidRPr="00777B93" w14:paraId="389EBB48" w14:textId="77777777" w:rsidTr="00A71F3E">
        <w:trPr>
          <w:cantSplit/>
        </w:trPr>
        <w:tc>
          <w:tcPr>
            <w:tcW w:w="3845" w:type="dxa"/>
            <w:gridSpan w:val="2"/>
            <w:tcBorders>
              <w:top w:val="single" w:sz="4" w:space="0" w:color="auto"/>
              <w:left w:val="single" w:sz="4" w:space="0" w:color="000000"/>
              <w:bottom w:val="single" w:sz="4" w:space="0" w:color="000000"/>
            </w:tcBorders>
          </w:tcPr>
          <w:p w14:paraId="3793ADEA" w14:textId="77777777" w:rsidR="003B7027" w:rsidRPr="0028514E" w:rsidRDefault="00296A74" w:rsidP="00CD14E4">
            <w:pPr>
              <w:pStyle w:val="TableParagraph"/>
              <w:suppressAutoHyphens/>
              <w:jc w:val="right"/>
            </w:pPr>
            <w:r w:rsidRPr="0028514E">
              <w:t>ACR70-vaste, n (%)</w:t>
            </w:r>
          </w:p>
        </w:tc>
        <w:tc>
          <w:tcPr>
            <w:tcW w:w="1512" w:type="dxa"/>
            <w:tcBorders>
              <w:top w:val="single" w:sz="4" w:space="0" w:color="auto"/>
              <w:bottom w:val="single" w:sz="4" w:space="0" w:color="000000"/>
            </w:tcBorders>
          </w:tcPr>
          <w:p w14:paraId="3783BF94" w14:textId="77777777" w:rsidR="003B7027" w:rsidRPr="0028514E" w:rsidRDefault="00296A74" w:rsidP="00CD14E4">
            <w:pPr>
              <w:pStyle w:val="TableParagraph"/>
              <w:suppressAutoHyphens/>
              <w:jc w:val="center"/>
            </w:pPr>
            <w:r w:rsidRPr="0028514E">
              <w:t>29 (17,9)</w:t>
            </w:r>
          </w:p>
        </w:tc>
        <w:tc>
          <w:tcPr>
            <w:tcW w:w="1856" w:type="dxa"/>
            <w:gridSpan w:val="2"/>
            <w:tcBorders>
              <w:top w:val="single" w:sz="4" w:space="0" w:color="auto"/>
              <w:bottom w:val="single" w:sz="4" w:space="0" w:color="000000"/>
            </w:tcBorders>
          </w:tcPr>
          <w:p w14:paraId="545954E0" w14:textId="77777777" w:rsidR="003B7027" w:rsidRPr="0028514E" w:rsidRDefault="00296A74" w:rsidP="00CD14E4">
            <w:pPr>
              <w:pStyle w:val="TableParagraph"/>
              <w:suppressAutoHyphens/>
              <w:jc w:val="center"/>
            </w:pPr>
            <w:r w:rsidRPr="0028514E">
              <w:t>53 (32,5)</w:t>
            </w:r>
          </w:p>
        </w:tc>
        <w:tc>
          <w:tcPr>
            <w:tcW w:w="1854" w:type="dxa"/>
            <w:gridSpan w:val="2"/>
            <w:tcBorders>
              <w:top w:val="single" w:sz="4" w:space="0" w:color="auto"/>
              <w:bottom w:val="single" w:sz="4" w:space="0" w:color="000000"/>
              <w:right w:val="single" w:sz="8" w:space="0" w:color="000000"/>
            </w:tcBorders>
          </w:tcPr>
          <w:p w14:paraId="0219F37D" w14:textId="77777777" w:rsidR="003B7027" w:rsidRPr="0028514E" w:rsidRDefault="00296A74" w:rsidP="00CD14E4">
            <w:pPr>
              <w:pStyle w:val="TableParagraph"/>
              <w:suppressAutoHyphens/>
              <w:jc w:val="center"/>
            </w:pPr>
            <w:r w:rsidRPr="0028514E">
              <w:t>0,0023</w:t>
            </w:r>
          </w:p>
        </w:tc>
      </w:tr>
    </w:tbl>
    <w:p w14:paraId="3C838DD4" w14:textId="77777777" w:rsidR="003B7027" w:rsidRPr="00CA43F5" w:rsidRDefault="00296A74" w:rsidP="006E5F9A">
      <w:pPr>
        <w:rPr>
          <w:i/>
          <w:sz w:val="18"/>
          <w:szCs w:val="18"/>
          <w:lang w:val="fi-FI"/>
        </w:rPr>
      </w:pPr>
      <w:r w:rsidRPr="00CA43F5">
        <w:rPr>
          <w:i/>
          <w:sz w:val="18"/>
          <w:szCs w:val="18"/>
          <w:vertAlign w:val="superscript"/>
          <w:lang w:val="fi-FI"/>
        </w:rPr>
        <w:t>a</w:t>
      </w:r>
      <w:r w:rsidR="00AB4AF0" w:rsidRPr="00CA43F5">
        <w:rPr>
          <w:i/>
          <w:sz w:val="18"/>
          <w:szCs w:val="18"/>
          <w:vertAlign w:val="superscript"/>
          <w:lang w:val="fi-FI"/>
        </w:rPr>
        <w:t xml:space="preserve"> </w:t>
      </w:r>
      <w:r w:rsidRPr="00CA43F5">
        <w:rPr>
          <w:i/>
          <w:sz w:val="18"/>
          <w:szCs w:val="18"/>
          <w:lang w:val="fi-FI"/>
        </w:rPr>
        <w:t>p-arvo on korjattu potilaiden maantieteellisen sijainnin ja nivelreuman kestoajan suhteen kaikkien päätetapahtumien osalta sekä lisäksi kaikkien jatkuvien päätetapahtumien lähtötilanteen arvon osalta.</w:t>
      </w:r>
    </w:p>
    <w:p w14:paraId="1DE4D23D" w14:textId="77777777" w:rsidR="003B7027" w:rsidRPr="00CA43F5" w:rsidRDefault="00296A74" w:rsidP="006E5F9A">
      <w:pPr>
        <w:rPr>
          <w:i/>
          <w:sz w:val="18"/>
          <w:szCs w:val="18"/>
          <w:lang w:val="fi-FI"/>
        </w:rPr>
      </w:pPr>
      <w:r w:rsidRPr="00CA43F5">
        <w:rPr>
          <w:i/>
          <w:sz w:val="18"/>
          <w:szCs w:val="18"/>
          <w:vertAlign w:val="superscript"/>
          <w:lang w:val="fi-FI"/>
        </w:rPr>
        <w:t>b</w:t>
      </w:r>
      <w:r w:rsidRPr="00CA43F5">
        <w:rPr>
          <w:i/>
          <w:sz w:val="18"/>
          <w:szCs w:val="18"/>
          <w:lang w:val="fi-FI"/>
        </w:rPr>
        <w:t xml:space="preserve"> Hoitoon vastaamattomien potilaiden puuttuvien tietojen paikkaus. Monivertailun hallintaan käytetty Bonferroni-Holmin menetelmää</w:t>
      </w:r>
    </w:p>
    <w:p w14:paraId="6E6227ED" w14:textId="77777777" w:rsidR="00F40657" w:rsidRPr="00CA43F5" w:rsidRDefault="00F40657" w:rsidP="006E5F9A">
      <w:pPr>
        <w:rPr>
          <w:i/>
          <w:sz w:val="20"/>
          <w:szCs w:val="20"/>
          <w:lang w:val="fi-FI"/>
        </w:rPr>
      </w:pPr>
    </w:p>
    <w:p w14:paraId="46A2B106" w14:textId="16BC2291" w:rsidR="003B7027" w:rsidRPr="0028514E" w:rsidRDefault="00296A74" w:rsidP="006E5F9A">
      <w:pPr>
        <w:pStyle w:val="a4"/>
        <w:ind w:left="0"/>
      </w:pPr>
      <w:r w:rsidRPr="0028514E">
        <w:t>Tosilitsumabin ja adalimumabin kliiniset haittatapahtumaprofiilit olivat yleisesti ottaen samankaltaiset. Niiden potilaiden osuus, joilla esiintyi vakavia haittatapahtumia, oli samankaltainen kummassakin hoitoryhmässä (tosilitsumabi 11,7 % vs. adalimumabi 9,9 %). Tosilitsumabihaarassa havaitut haittavaikutukset olivat luonteeltaan yhdenmukaisia tosilitsumabin tunnetun turvallisuusprofiilin kanssa ja ne ilmenivät vastaavalla frekvenssillä kuin taulukossa 1 luetellut haittavaikutukset.</w:t>
      </w:r>
      <w:r w:rsidR="00F40657" w:rsidRPr="0028514E">
        <w:t xml:space="preserve"> </w:t>
      </w:r>
      <w:r w:rsidRPr="0028514E">
        <w:t>Infektioita ja infestaatioita ilmeni enemmän tosilitsumabihaarassa (48 % vs. 42 %), vakavien infektioiden ilmaantuvuus oli samanlainen (3,1 %). Kumpikin tutkimushoito aiheutti samantyyppisiä turvallisuuteen liittyvien laboratorioarvojen muutoksia (neutrofiili- ja trombosyyttimäärän vähenemistä, ALAT- ja ASAT- sekä lipidiarvojen suurenemista), mutta muutosten suuruus ja huomattavien poikkeavuuksien esiintymistiheys oli tosilitsumabiryhmässä suurempi kuin adalimumabiryhmässä. Neljällä (2,5 %) potilaalla tosilitsumabiryhmässä ja kahdella (1,2 %) potilaalla adalimumabiryhmässä esiintyi CTC-luokituksen mukaista gradus 3 tai 4 neutrofiilimäärän vähenemistä. Yhdellätoista (6,8 %) potilaalla tosilitsumabiryhmässä ja viidellä (3,1 %) potilaalla adalimumabiryhmässä esiintyi CTC-luokituksen mukaista gradus 2 tai vaikeampiasteista ALAT-arvon suurenemista. LDL-arvo suureni lähtötilanteesta tosilitsumabiryhmässä keskimäärin 0,64 mmol/l</w:t>
      </w:r>
      <w:r w:rsidR="00F40657" w:rsidRPr="0028514E">
        <w:t xml:space="preserve"> </w:t>
      </w:r>
      <w:r w:rsidRPr="0028514E">
        <w:t>(25</w:t>
      </w:r>
      <w:r w:rsidR="002D5177">
        <w:t> </w:t>
      </w:r>
      <w:r w:rsidRPr="0028514E">
        <w:t>mg/dl) ja adalimumabiryhmässä 0,19 mmol/l (7 mg/dl). Turvallisuuden havaittiin olleen tosilitsumabiryhmässä yhdenmukainen tosilitsumabin tunnetun turvallisuusprofiilin kanssa eikä uusia tai odottamattomia haittavaikutuksia havaittu (ks. taulukko 1).</w:t>
      </w:r>
    </w:p>
    <w:p w14:paraId="6A6E0BD1" w14:textId="77777777" w:rsidR="003B7027" w:rsidRPr="0028514E" w:rsidRDefault="003B7027" w:rsidP="006E5F9A">
      <w:pPr>
        <w:pStyle w:val="a4"/>
        <w:ind w:left="0"/>
      </w:pPr>
    </w:p>
    <w:p w14:paraId="1AC84C8F" w14:textId="77777777" w:rsidR="00F40657" w:rsidRPr="0028514E" w:rsidRDefault="00296A74" w:rsidP="006E5F9A">
      <w:pPr>
        <w:pStyle w:val="a4"/>
        <w:ind w:left="0"/>
        <w:rPr>
          <w:b/>
          <w:i/>
        </w:rPr>
      </w:pPr>
      <w:r w:rsidRPr="0028514E">
        <w:rPr>
          <w:b/>
          <w:i/>
        </w:rPr>
        <w:t>Tuoretta nivelreumaa sairastavat potilaat, jotka eivät ole aikaisemmin saaneet MTX-hoitoa</w:t>
      </w:r>
    </w:p>
    <w:p w14:paraId="112DD88D" w14:textId="77777777" w:rsidR="003B7027" w:rsidRPr="0028514E" w:rsidRDefault="00296A74" w:rsidP="006E5F9A">
      <w:pPr>
        <w:pStyle w:val="a4"/>
        <w:ind w:left="0"/>
      </w:pPr>
      <w:r w:rsidRPr="0028514E">
        <w:lastRenderedPageBreak/>
        <w:t>Tutkimus VII (WA19926) kesti kaksi vuotta, ja sen ensisijainen analyysi tehtiin viikon 52 kohdalla. Tutkimuksessa arvioitiin 1162 aikuispotilasta, joilla oli keskivaikea tai vaikea aktiivinen tuore nivelreuma (keskimääräinen sairauden kesto ≤ 6 kuukautta) ja jotka eivät olleet aikaisemmin saaneet MTX:a. Noin 20 % potilaista oli saanut aikaisemmin jotakin muuta DMARD-lääkettä kuin MTX:a. Tutkimuksessa arvioitiin miten tehokkaasti laskimoon annettu tosilitsumabi 4 tai 8 mg/kg neljän viikon välein yhdessä MTX:n kanssa, laskimoon annettu tosilitsumabi 8 mg/kg monoterapiana ja MTX-monoterapia vähensivät nivelvaurioiden löydöksiä ja oireita sekä etenemisnopeutta 104 viikon aikana. Ensisijainen päätetapahtuma oli niiden potilaiden osuus, jotka saavuttivat DAS28-remission viikolla 24 (DAS28 &lt; 2,6). Ensisijaisen päätetapahtuman saavuttaneiden potilaiden osuus oli merkitsevästi suurempi ryhmässä, joka sai tosilitsumabia 8 mg/kg yhdessä MTX:n kanssa tai tosilitsumabia monoterapiana, kuin pelkkää MTX:ia saaneiden ryhmässä. Lisäksi ryhmässä, joka sai tosilitsumabia 8 mg/kg yhdessä MTX:n kanssa, kaikkia tärkeimpiä toissijaisia päätetapahtumia koskevat tulokset olivat tilastollisesti merkitseviä. Ryhmässä, joka sai tosilitsumabia 8 mg/kg monoterapiana, vasteet olivat numeerisesti suurempia kaikkien toissijaisten päätetapahtumien osalta radiologiset päätetapahtumat mukaan lukien, kuin pelkkää MTX:ia saaneessa ryhmässä. Tässä tutkimuksessa ACR/EULAR-remissio (Boolen kriteereiden ja indeksin perusteella) analysoitiin myös ennalta määritettyinä eksploratiivisina päätetapahtumina, ja havaitut vasteet olivat suurempia tosilitsumabiryhmissä. Tutkimuksen VII tulokset esitetään taulukossa 7.</w:t>
      </w:r>
    </w:p>
    <w:p w14:paraId="26D96175" w14:textId="77777777" w:rsidR="00F40657" w:rsidRPr="0028514E" w:rsidRDefault="00F40657" w:rsidP="006E5F9A">
      <w:pPr>
        <w:pStyle w:val="a4"/>
        <w:ind w:left="0"/>
      </w:pPr>
    </w:p>
    <w:p w14:paraId="7C7C7CDF" w14:textId="77777777" w:rsidR="003B7027" w:rsidRPr="00CA43F5" w:rsidRDefault="00296A74" w:rsidP="00920FF7">
      <w:pPr>
        <w:pStyle w:val="Tabletitle"/>
        <w:rPr>
          <w:lang w:val="fi-FI"/>
        </w:rPr>
      </w:pPr>
      <w:r w:rsidRPr="00CA43F5">
        <w:rPr>
          <w:lang w:val="fi-FI"/>
        </w:rPr>
        <w:t>Taulukko 7.</w:t>
      </w:r>
      <w:r w:rsidR="00F40657" w:rsidRPr="00CA43F5">
        <w:rPr>
          <w:lang w:val="fi-FI"/>
        </w:rPr>
        <w:tab/>
      </w:r>
      <w:r w:rsidRPr="00CA43F5">
        <w:rPr>
          <w:lang w:val="fi-FI"/>
        </w:rPr>
        <w:t>Tutkimuksen VII (WA19926) tehon tulokset tuoretta nivelreumaa sairastavilla potilailla, jotka eivät olleet aiemmin saaneet MTX:a</w:t>
      </w:r>
    </w:p>
    <w:p w14:paraId="4ECF8021" w14:textId="77777777" w:rsidR="00F40657" w:rsidRPr="00CA43F5" w:rsidRDefault="00F40657" w:rsidP="00920FF7">
      <w:pPr>
        <w:rPr>
          <w:lang w:val="fi-FI"/>
        </w:rPr>
      </w:pPr>
    </w:p>
    <w:tbl>
      <w:tblPr>
        <w:tblW w:w="5000" w:type="pct"/>
        <w:tblInd w:w="113" w:type="dxa"/>
        <w:tblLayout w:type="fixed"/>
        <w:tblCellMar>
          <w:top w:w="28" w:type="dxa"/>
          <w:bottom w:w="28" w:type="dxa"/>
        </w:tblCellMar>
        <w:tblLook w:val="01E0" w:firstRow="1" w:lastRow="1" w:firstColumn="1" w:lastColumn="1" w:noHBand="0" w:noVBand="0"/>
      </w:tblPr>
      <w:tblGrid>
        <w:gridCol w:w="1957"/>
        <w:gridCol w:w="1836"/>
        <w:gridCol w:w="1326"/>
        <w:gridCol w:w="1430"/>
        <w:gridCol w:w="1394"/>
        <w:gridCol w:w="1121"/>
      </w:tblGrid>
      <w:tr w:rsidR="003B7027" w:rsidRPr="00777B93" w14:paraId="1CCC4259" w14:textId="77777777" w:rsidTr="00BF6076">
        <w:trPr>
          <w:cantSplit/>
          <w:tblHeader/>
        </w:trPr>
        <w:tc>
          <w:tcPr>
            <w:tcW w:w="1991" w:type="dxa"/>
            <w:tcBorders>
              <w:top w:val="single" w:sz="8" w:space="0" w:color="000000"/>
              <w:left w:val="single" w:sz="4" w:space="0" w:color="000000"/>
              <w:bottom w:val="single" w:sz="8" w:space="0" w:color="000000"/>
            </w:tcBorders>
          </w:tcPr>
          <w:p w14:paraId="09735B6B" w14:textId="77777777" w:rsidR="003B7027" w:rsidRPr="00920FF7" w:rsidRDefault="003B7027" w:rsidP="006E5F9A">
            <w:pPr>
              <w:pStyle w:val="TableParagraph"/>
              <w:suppressAutoHyphens/>
              <w:rPr>
                <w:sz w:val="20"/>
                <w:szCs w:val="20"/>
              </w:rPr>
            </w:pPr>
          </w:p>
        </w:tc>
        <w:tc>
          <w:tcPr>
            <w:tcW w:w="1867" w:type="dxa"/>
            <w:tcBorders>
              <w:top w:val="single" w:sz="8" w:space="0" w:color="000000"/>
              <w:bottom w:val="single" w:sz="8" w:space="0" w:color="000000"/>
              <w:right w:val="single" w:sz="4" w:space="0" w:color="auto"/>
            </w:tcBorders>
          </w:tcPr>
          <w:p w14:paraId="2986BACA" w14:textId="77777777" w:rsidR="003B7027" w:rsidRPr="00920FF7" w:rsidRDefault="003B7027" w:rsidP="006E5F9A">
            <w:pPr>
              <w:pStyle w:val="TableParagraph"/>
              <w:suppressAutoHyphens/>
              <w:rPr>
                <w:sz w:val="20"/>
                <w:szCs w:val="20"/>
              </w:rPr>
            </w:pPr>
          </w:p>
        </w:tc>
        <w:tc>
          <w:tcPr>
            <w:tcW w:w="1347" w:type="dxa"/>
            <w:tcBorders>
              <w:top w:val="single" w:sz="4" w:space="0" w:color="auto"/>
              <w:left w:val="single" w:sz="4" w:space="0" w:color="auto"/>
              <w:bottom w:val="single" w:sz="4" w:space="0" w:color="auto"/>
              <w:right w:val="single" w:sz="4" w:space="0" w:color="auto"/>
            </w:tcBorders>
          </w:tcPr>
          <w:p w14:paraId="30B8A396" w14:textId="77777777" w:rsidR="003B7027" w:rsidRPr="00E919A5" w:rsidRDefault="00296A74" w:rsidP="006E5F9A">
            <w:pPr>
              <w:pStyle w:val="TableParagraph"/>
              <w:suppressAutoHyphens/>
              <w:jc w:val="center"/>
              <w:rPr>
                <w:b/>
                <w:sz w:val="20"/>
                <w:szCs w:val="20"/>
              </w:rPr>
            </w:pPr>
            <w:r w:rsidRPr="00E919A5">
              <w:rPr>
                <w:b/>
                <w:sz w:val="20"/>
                <w:szCs w:val="20"/>
              </w:rPr>
              <w:t>TCZ 8 mg/kg + MTX</w:t>
            </w:r>
          </w:p>
          <w:p w14:paraId="366880EB" w14:textId="77777777" w:rsidR="003B7027" w:rsidRPr="00E919A5" w:rsidRDefault="00296A74" w:rsidP="006E5F9A">
            <w:pPr>
              <w:pStyle w:val="TableParagraph"/>
              <w:suppressAutoHyphens/>
              <w:jc w:val="center"/>
              <w:rPr>
                <w:b/>
                <w:sz w:val="20"/>
                <w:szCs w:val="20"/>
              </w:rPr>
            </w:pPr>
            <w:r w:rsidRPr="00E919A5">
              <w:rPr>
                <w:b/>
                <w:sz w:val="20"/>
                <w:szCs w:val="20"/>
              </w:rPr>
              <w:t>N=290</w:t>
            </w:r>
          </w:p>
        </w:tc>
        <w:tc>
          <w:tcPr>
            <w:tcW w:w="1453" w:type="dxa"/>
            <w:tcBorders>
              <w:top w:val="single" w:sz="4" w:space="0" w:color="auto"/>
              <w:left w:val="single" w:sz="4" w:space="0" w:color="auto"/>
              <w:bottom w:val="single" w:sz="4" w:space="0" w:color="auto"/>
              <w:right w:val="single" w:sz="4" w:space="0" w:color="auto"/>
            </w:tcBorders>
          </w:tcPr>
          <w:p w14:paraId="62267F86" w14:textId="77777777" w:rsidR="003B7027" w:rsidRPr="00CA43F5" w:rsidRDefault="00296A74" w:rsidP="006E5F9A">
            <w:pPr>
              <w:pStyle w:val="TableParagraph"/>
              <w:suppressAutoHyphens/>
              <w:jc w:val="center"/>
              <w:rPr>
                <w:b/>
                <w:sz w:val="20"/>
                <w:szCs w:val="20"/>
                <w:lang w:val="en-US"/>
              </w:rPr>
            </w:pPr>
            <w:r w:rsidRPr="00CA43F5">
              <w:rPr>
                <w:b/>
                <w:sz w:val="20"/>
                <w:szCs w:val="20"/>
                <w:lang w:val="en-US"/>
              </w:rPr>
              <w:t>TCZ 8 mg/kg + Lume</w:t>
            </w:r>
          </w:p>
          <w:p w14:paraId="79F734CF" w14:textId="77777777" w:rsidR="003B7027" w:rsidRPr="00CA43F5" w:rsidRDefault="00296A74" w:rsidP="006E5F9A">
            <w:pPr>
              <w:pStyle w:val="TableParagraph"/>
              <w:suppressAutoHyphens/>
              <w:jc w:val="center"/>
              <w:rPr>
                <w:b/>
                <w:sz w:val="20"/>
                <w:szCs w:val="20"/>
                <w:lang w:val="en-US"/>
              </w:rPr>
            </w:pPr>
            <w:r w:rsidRPr="00CA43F5">
              <w:rPr>
                <w:b/>
                <w:sz w:val="20"/>
                <w:szCs w:val="20"/>
                <w:lang w:val="en-US"/>
              </w:rPr>
              <w:t>N=292</w:t>
            </w:r>
          </w:p>
        </w:tc>
        <w:tc>
          <w:tcPr>
            <w:tcW w:w="1417" w:type="dxa"/>
            <w:tcBorders>
              <w:top w:val="single" w:sz="4" w:space="0" w:color="auto"/>
              <w:left w:val="single" w:sz="4" w:space="0" w:color="auto"/>
              <w:bottom w:val="single" w:sz="4" w:space="0" w:color="auto"/>
              <w:right w:val="single" w:sz="4" w:space="0" w:color="auto"/>
            </w:tcBorders>
          </w:tcPr>
          <w:p w14:paraId="1BB1D014" w14:textId="77777777" w:rsidR="003B7027" w:rsidRPr="00CA43F5" w:rsidRDefault="00296A74" w:rsidP="006E5F9A">
            <w:pPr>
              <w:pStyle w:val="TableParagraph"/>
              <w:suppressAutoHyphens/>
              <w:jc w:val="center"/>
              <w:rPr>
                <w:b/>
                <w:sz w:val="20"/>
                <w:szCs w:val="20"/>
                <w:lang w:val="en-US"/>
              </w:rPr>
            </w:pPr>
            <w:r w:rsidRPr="00CA43F5">
              <w:rPr>
                <w:b/>
                <w:sz w:val="20"/>
                <w:szCs w:val="20"/>
                <w:lang w:val="en-US"/>
              </w:rPr>
              <w:t>TCZ 4 mg/kg + MTX</w:t>
            </w:r>
          </w:p>
          <w:p w14:paraId="0F8851E1" w14:textId="77777777" w:rsidR="003B7027" w:rsidRPr="00CA43F5" w:rsidRDefault="00296A74" w:rsidP="006E5F9A">
            <w:pPr>
              <w:pStyle w:val="TableParagraph"/>
              <w:suppressAutoHyphens/>
              <w:jc w:val="center"/>
              <w:rPr>
                <w:b/>
                <w:sz w:val="20"/>
                <w:szCs w:val="20"/>
                <w:lang w:val="en-US"/>
              </w:rPr>
            </w:pPr>
            <w:r w:rsidRPr="00CA43F5">
              <w:rPr>
                <w:b/>
                <w:sz w:val="20"/>
                <w:szCs w:val="20"/>
                <w:lang w:val="en-US"/>
              </w:rPr>
              <w:t>N=288</w:t>
            </w:r>
          </w:p>
        </w:tc>
        <w:tc>
          <w:tcPr>
            <w:tcW w:w="1138" w:type="dxa"/>
            <w:tcBorders>
              <w:top w:val="single" w:sz="4" w:space="0" w:color="auto"/>
              <w:left w:val="single" w:sz="4" w:space="0" w:color="auto"/>
              <w:bottom w:val="single" w:sz="4" w:space="0" w:color="auto"/>
              <w:right w:val="single" w:sz="4" w:space="0" w:color="auto"/>
            </w:tcBorders>
          </w:tcPr>
          <w:p w14:paraId="7BB9EA91" w14:textId="77777777" w:rsidR="003B7027" w:rsidRPr="00920FF7" w:rsidRDefault="00296A74" w:rsidP="006E5F9A">
            <w:pPr>
              <w:pStyle w:val="TableParagraph"/>
              <w:suppressAutoHyphens/>
              <w:jc w:val="center"/>
              <w:rPr>
                <w:b/>
                <w:sz w:val="20"/>
                <w:szCs w:val="20"/>
              </w:rPr>
            </w:pPr>
            <w:r w:rsidRPr="00920FF7">
              <w:rPr>
                <w:b/>
                <w:sz w:val="20"/>
                <w:szCs w:val="20"/>
              </w:rPr>
              <w:t>Lume + MTX</w:t>
            </w:r>
          </w:p>
          <w:p w14:paraId="2668C7F8" w14:textId="77777777" w:rsidR="003B7027" w:rsidRPr="00920FF7" w:rsidRDefault="00296A74" w:rsidP="006E5F9A">
            <w:pPr>
              <w:pStyle w:val="TableParagraph"/>
              <w:suppressAutoHyphens/>
              <w:jc w:val="center"/>
              <w:rPr>
                <w:b/>
                <w:sz w:val="20"/>
                <w:szCs w:val="20"/>
              </w:rPr>
            </w:pPr>
            <w:r w:rsidRPr="00920FF7">
              <w:rPr>
                <w:b/>
                <w:sz w:val="20"/>
                <w:szCs w:val="20"/>
              </w:rPr>
              <w:t>N=287</w:t>
            </w:r>
          </w:p>
        </w:tc>
      </w:tr>
      <w:tr w:rsidR="00F40657" w:rsidRPr="00777B93" w14:paraId="79A07BE4" w14:textId="77777777" w:rsidTr="00BF6076">
        <w:trPr>
          <w:cantSplit/>
        </w:trPr>
        <w:tc>
          <w:tcPr>
            <w:tcW w:w="9213" w:type="dxa"/>
            <w:gridSpan w:val="6"/>
            <w:tcBorders>
              <w:top w:val="single" w:sz="8" w:space="0" w:color="000000"/>
              <w:left w:val="single" w:sz="4" w:space="0" w:color="000000"/>
              <w:bottom w:val="single" w:sz="4" w:space="0" w:color="000000"/>
              <w:right w:val="single" w:sz="8" w:space="0" w:color="000000"/>
            </w:tcBorders>
          </w:tcPr>
          <w:p w14:paraId="631A0E39" w14:textId="77777777" w:rsidR="00F40657" w:rsidRPr="00920FF7" w:rsidRDefault="00F40657" w:rsidP="006E5F9A">
            <w:pPr>
              <w:pStyle w:val="TableParagraph"/>
              <w:suppressAutoHyphens/>
              <w:rPr>
                <w:b/>
                <w:sz w:val="20"/>
                <w:szCs w:val="20"/>
              </w:rPr>
            </w:pPr>
            <w:r w:rsidRPr="00920FF7">
              <w:rPr>
                <w:b/>
                <w:sz w:val="20"/>
                <w:szCs w:val="20"/>
              </w:rPr>
              <w:t>Ensisijainen päätetapahtuma</w:t>
            </w:r>
          </w:p>
        </w:tc>
      </w:tr>
      <w:tr w:rsidR="003B7027" w:rsidRPr="00777B93" w14:paraId="53059781" w14:textId="77777777" w:rsidTr="00BF6076">
        <w:trPr>
          <w:cantSplit/>
        </w:trPr>
        <w:tc>
          <w:tcPr>
            <w:tcW w:w="1991" w:type="dxa"/>
            <w:tcBorders>
              <w:top w:val="single" w:sz="4" w:space="0" w:color="000000"/>
              <w:left w:val="single" w:sz="4" w:space="0" w:color="000000"/>
              <w:bottom w:val="single" w:sz="4" w:space="0" w:color="auto"/>
            </w:tcBorders>
          </w:tcPr>
          <w:p w14:paraId="1CBDDC35" w14:textId="77777777" w:rsidR="003B7027" w:rsidRPr="00920FF7" w:rsidRDefault="00296A74" w:rsidP="006E5F9A">
            <w:pPr>
              <w:pStyle w:val="TableParagraph"/>
              <w:suppressAutoHyphens/>
              <w:rPr>
                <w:sz w:val="20"/>
                <w:szCs w:val="20"/>
              </w:rPr>
            </w:pPr>
            <w:r w:rsidRPr="00920FF7">
              <w:rPr>
                <w:sz w:val="20"/>
                <w:szCs w:val="20"/>
              </w:rPr>
              <w:t>DAS28-remissio</w:t>
            </w:r>
          </w:p>
        </w:tc>
        <w:tc>
          <w:tcPr>
            <w:tcW w:w="1867" w:type="dxa"/>
            <w:tcBorders>
              <w:top w:val="single" w:sz="4" w:space="0" w:color="000000"/>
              <w:bottom w:val="single" w:sz="4" w:space="0" w:color="auto"/>
              <w:right w:val="single" w:sz="4" w:space="0" w:color="auto"/>
            </w:tcBorders>
          </w:tcPr>
          <w:p w14:paraId="3AB592D4" w14:textId="77777777" w:rsidR="003B7027" w:rsidRPr="00920FF7" w:rsidRDefault="003B7027" w:rsidP="006E5F9A">
            <w:pPr>
              <w:pStyle w:val="TableParagraph"/>
              <w:suppressAutoHyphens/>
              <w:rPr>
                <w:sz w:val="20"/>
                <w:szCs w:val="20"/>
              </w:rPr>
            </w:pPr>
          </w:p>
        </w:tc>
        <w:tc>
          <w:tcPr>
            <w:tcW w:w="1347" w:type="dxa"/>
            <w:tcBorders>
              <w:top w:val="single" w:sz="4" w:space="0" w:color="auto"/>
              <w:left w:val="single" w:sz="4" w:space="0" w:color="auto"/>
              <w:bottom w:val="single" w:sz="4" w:space="0" w:color="auto"/>
              <w:right w:val="single" w:sz="4" w:space="0" w:color="auto"/>
            </w:tcBorders>
          </w:tcPr>
          <w:p w14:paraId="62CEA3FC" w14:textId="77777777" w:rsidR="003B7027" w:rsidRPr="00920FF7" w:rsidRDefault="003B7027" w:rsidP="006E5F9A">
            <w:pPr>
              <w:pStyle w:val="TableParagraph"/>
              <w:suppressAutoHyphens/>
              <w:rPr>
                <w:sz w:val="20"/>
                <w:szCs w:val="20"/>
              </w:rPr>
            </w:pPr>
          </w:p>
        </w:tc>
        <w:tc>
          <w:tcPr>
            <w:tcW w:w="1453" w:type="dxa"/>
            <w:tcBorders>
              <w:top w:val="single" w:sz="4" w:space="0" w:color="auto"/>
              <w:left w:val="single" w:sz="4" w:space="0" w:color="auto"/>
              <w:bottom w:val="single" w:sz="4" w:space="0" w:color="auto"/>
              <w:right w:val="single" w:sz="4" w:space="0" w:color="auto"/>
            </w:tcBorders>
          </w:tcPr>
          <w:p w14:paraId="2C75D3A3" w14:textId="77777777" w:rsidR="003B7027" w:rsidRPr="00920FF7" w:rsidRDefault="003B7027" w:rsidP="006E5F9A">
            <w:pPr>
              <w:pStyle w:val="TableParagraph"/>
              <w:suppressAutoHyphens/>
              <w:rPr>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F44ECEE" w14:textId="77777777" w:rsidR="003B7027" w:rsidRPr="00920FF7" w:rsidRDefault="003B7027" w:rsidP="006E5F9A">
            <w:pPr>
              <w:pStyle w:val="TableParagraph"/>
              <w:suppressAutoHyphens/>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524242B2" w14:textId="77777777" w:rsidR="003B7027" w:rsidRPr="00920FF7" w:rsidRDefault="003B7027" w:rsidP="006E5F9A">
            <w:pPr>
              <w:pStyle w:val="TableParagraph"/>
              <w:suppressAutoHyphens/>
              <w:rPr>
                <w:sz w:val="20"/>
                <w:szCs w:val="20"/>
              </w:rPr>
            </w:pPr>
          </w:p>
        </w:tc>
      </w:tr>
      <w:tr w:rsidR="003B7027" w:rsidRPr="00777B93" w14:paraId="495AC640" w14:textId="77777777" w:rsidTr="00BF6076">
        <w:trPr>
          <w:cantSplit/>
        </w:trPr>
        <w:tc>
          <w:tcPr>
            <w:tcW w:w="1991" w:type="dxa"/>
            <w:tcBorders>
              <w:top w:val="single" w:sz="4" w:space="0" w:color="auto"/>
              <w:left w:val="single" w:sz="4" w:space="0" w:color="000000"/>
              <w:bottom w:val="single" w:sz="4" w:space="0" w:color="000000"/>
            </w:tcBorders>
          </w:tcPr>
          <w:p w14:paraId="18921ED6" w14:textId="77777777" w:rsidR="003B7027" w:rsidRPr="00920FF7" w:rsidRDefault="00296A74" w:rsidP="00A71F3E">
            <w:pPr>
              <w:pStyle w:val="TableParagraph"/>
              <w:suppressAutoHyphens/>
              <w:ind w:left="284"/>
              <w:rPr>
                <w:sz w:val="20"/>
                <w:szCs w:val="20"/>
              </w:rPr>
            </w:pPr>
            <w:r w:rsidRPr="00920FF7">
              <w:rPr>
                <w:sz w:val="20"/>
                <w:szCs w:val="20"/>
              </w:rPr>
              <w:t>Viikko 24</w:t>
            </w:r>
          </w:p>
        </w:tc>
        <w:tc>
          <w:tcPr>
            <w:tcW w:w="1867" w:type="dxa"/>
            <w:tcBorders>
              <w:top w:val="single" w:sz="4" w:space="0" w:color="auto"/>
              <w:bottom w:val="single" w:sz="4" w:space="0" w:color="000000"/>
              <w:right w:val="single" w:sz="4" w:space="0" w:color="auto"/>
            </w:tcBorders>
          </w:tcPr>
          <w:p w14:paraId="38B5AB98" w14:textId="77777777" w:rsidR="003B7027" w:rsidRPr="00920FF7" w:rsidRDefault="00296A74" w:rsidP="006E5F9A">
            <w:pPr>
              <w:pStyle w:val="TableParagraph"/>
              <w:suppressAutoHyphens/>
              <w:rPr>
                <w:sz w:val="20"/>
                <w:szCs w:val="20"/>
              </w:rPr>
            </w:pPr>
            <w:r w:rsidRPr="00920FF7">
              <w:rPr>
                <w:sz w:val="20"/>
                <w:szCs w:val="20"/>
              </w:rPr>
              <w:t>n (%)</w:t>
            </w:r>
          </w:p>
        </w:tc>
        <w:tc>
          <w:tcPr>
            <w:tcW w:w="1347" w:type="dxa"/>
            <w:tcBorders>
              <w:top w:val="single" w:sz="4" w:space="0" w:color="auto"/>
              <w:left w:val="single" w:sz="4" w:space="0" w:color="auto"/>
              <w:bottom w:val="single" w:sz="4" w:space="0" w:color="auto"/>
              <w:right w:val="single" w:sz="4" w:space="0" w:color="auto"/>
            </w:tcBorders>
          </w:tcPr>
          <w:p w14:paraId="2C84B45F" w14:textId="77777777" w:rsidR="003B7027" w:rsidRPr="00920FF7" w:rsidRDefault="00296A74" w:rsidP="006E5F9A">
            <w:pPr>
              <w:pStyle w:val="TableParagraph"/>
              <w:suppressAutoHyphens/>
              <w:jc w:val="center"/>
              <w:rPr>
                <w:sz w:val="20"/>
                <w:szCs w:val="20"/>
              </w:rPr>
            </w:pPr>
            <w:r w:rsidRPr="00920FF7">
              <w:rPr>
                <w:sz w:val="20"/>
                <w:szCs w:val="20"/>
              </w:rPr>
              <w:t>130 (44,8)***</w:t>
            </w:r>
          </w:p>
        </w:tc>
        <w:tc>
          <w:tcPr>
            <w:tcW w:w="1453" w:type="dxa"/>
            <w:tcBorders>
              <w:top w:val="single" w:sz="4" w:space="0" w:color="auto"/>
              <w:left w:val="single" w:sz="4" w:space="0" w:color="auto"/>
              <w:bottom w:val="single" w:sz="4" w:space="0" w:color="auto"/>
              <w:right w:val="single" w:sz="4" w:space="0" w:color="auto"/>
            </w:tcBorders>
          </w:tcPr>
          <w:p w14:paraId="7A08654B" w14:textId="77777777" w:rsidR="003B7027" w:rsidRPr="00920FF7" w:rsidRDefault="00296A74" w:rsidP="006E5F9A">
            <w:pPr>
              <w:pStyle w:val="TableParagraph"/>
              <w:suppressAutoHyphens/>
              <w:jc w:val="center"/>
              <w:rPr>
                <w:sz w:val="20"/>
                <w:szCs w:val="20"/>
              </w:rPr>
            </w:pPr>
            <w:r w:rsidRPr="00920FF7">
              <w:rPr>
                <w:sz w:val="20"/>
                <w:szCs w:val="20"/>
              </w:rPr>
              <w:t>113 (38,7)***</w:t>
            </w:r>
          </w:p>
        </w:tc>
        <w:tc>
          <w:tcPr>
            <w:tcW w:w="1417" w:type="dxa"/>
            <w:tcBorders>
              <w:top w:val="single" w:sz="4" w:space="0" w:color="auto"/>
              <w:left w:val="single" w:sz="4" w:space="0" w:color="auto"/>
              <w:bottom w:val="single" w:sz="4" w:space="0" w:color="auto"/>
              <w:right w:val="single" w:sz="4" w:space="0" w:color="auto"/>
            </w:tcBorders>
          </w:tcPr>
          <w:p w14:paraId="2F22E4B6" w14:textId="77777777" w:rsidR="003B7027" w:rsidRPr="00920FF7" w:rsidRDefault="00296A74" w:rsidP="006E5F9A">
            <w:pPr>
              <w:pStyle w:val="TableParagraph"/>
              <w:suppressAutoHyphens/>
              <w:jc w:val="center"/>
              <w:rPr>
                <w:sz w:val="20"/>
                <w:szCs w:val="20"/>
              </w:rPr>
            </w:pPr>
            <w:r w:rsidRPr="00920FF7">
              <w:rPr>
                <w:sz w:val="20"/>
                <w:szCs w:val="20"/>
              </w:rPr>
              <w:t>92 (31,9)</w:t>
            </w:r>
          </w:p>
        </w:tc>
        <w:tc>
          <w:tcPr>
            <w:tcW w:w="1138" w:type="dxa"/>
            <w:tcBorders>
              <w:top w:val="single" w:sz="4" w:space="0" w:color="auto"/>
              <w:left w:val="single" w:sz="4" w:space="0" w:color="auto"/>
              <w:bottom w:val="single" w:sz="4" w:space="0" w:color="auto"/>
              <w:right w:val="single" w:sz="4" w:space="0" w:color="auto"/>
            </w:tcBorders>
          </w:tcPr>
          <w:p w14:paraId="68ACD456" w14:textId="77777777" w:rsidR="003B7027" w:rsidRPr="00920FF7" w:rsidRDefault="00296A74" w:rsidP="006E5F9A">
            <w:pPr>
              <w:pStyle w:val="TableParagraph"/>
              <w:suppressAutoHyphens/>
              <w:jc w:val="center"/>
              <w:rPr>
                <w:sz w:val="20"/>
                <w:szCs w:val="20"/>
              </w:rPr>
            </w:pPr>
            <w:r w:rsidRPr="00920FF7">
              <w:rPr>
                <w:sz w:val="20"/>
                <w:szCs w:val="20"/>
              </w:rPr>
              <w:t>43 (15,0)</w:t>
            </w:r>
          </w:p>
        </w:tc>
      </w:tr>
      <w:tr w:rsidR="00F40657" w:rsidRPr="00777B93" w14:paraId="1F4831D2" w14:textId="77777777" w:rsidTr="00BF6076">
        <w:trPr>
          <w:cantSplit/>
        </w:trPr>
        <w:tc>
          <w:tcPr>
            <w:tcW w:w="9213" w:type="dxa"/>
            <w:gridSpan w:val="6"/>
            <w:tcBorders>
              <w:top w:val="single" w:sz="4" w:space="0" w:color="000000"/>
              <w:left w:val="single" w:sz="4" w:space="0" w:color="000000"/>
              <w:bottom w:val="single" w:sz="4" w:space="0" w:color="000000"/>
              <w:right w:val="single" w:sz="8" w:space="0" w:color="000000"/>
            </w:tcBorders>
          </w:tcPr>
          <w:p w14:paraId="3A746B61" w14:textId="77777777" w:rsidR="00F40657" w:rsidRPr="00920FF7" w:rsidRDefault="00F40657" w:rsidP="006E5F9A">
            <w:pPr>
              <w:pStyle w:val="TableParagraph"/>
              <w:suppressAutoHyphens/>
              <w:rPr>
                <w:b/>
                <w:sz w:val="20"/>
                <w:szCs w:val="20"/>
              </w:rPr>
            </w:pPr>
            <w:r w:rsidRPr="00920FF7">
              <w:rPr>
                <w:b/>
                <w:sz w:val="20"/>
                <w:szCs w:val="20"/>
              </w:rPr>
              <w:t>Tärkeimmät toissijaiset päätetapahtumat</w:t>
            </w:r>
          </w:p>
        </w:tc>
      </w:tr>
      <w:tr w:rsidR="003B7027" w:rsidRPr="00777B93" w14:paraId="59FC4D26" w14:textId="77777777" w:rsidTr="00BF6076">
        <w:trPr>
          <w:cantSplit/>
        </w:trPr>
        <w:tc>
          <w:tcPr>
            <w:tcW w:w="1991" w:type="dxa"/>
            <w:tcBorders>
              <w:top w:val="single" w:sz="4" w:space="0" w:color="000000"/>
              <w:left w:val="single" w:sz="4" w:space="0" w:color="000000"/>
            </w:tcBorders>
          </w:tcPr>
          <w:p w14:paraId="2FAC0701" w14:textId="77777777" w:rsidR="003B7027" w:rsidRPr="00920FF7" w:rsidRDefault="00296A74" w:rsidP="006E5F9A">
            <w:pPr>
              <w:pStyle w:val="TableParagraph"/>
              <w:suppressAutoHyphens/>
              <w:rPr>
                <w:sz w:val="20"/>
                <w:szCs w:val="20"/>
              </w:rPr>
            </w:pPr>
            <w:r w:rsidRPr="00920FF7">
              <w:rPr>
                <w:sz w:val="20"/>
                <w:szCs w:val="20"/>
              </w:rPr>
              <w:t>DAS28-remissio</w:t>
            </w:r>
          </w:p>
        </w:tc>
        <w:tc>
          <w:tcPr>
            <w:tcW w:w="1867" w:type="dxa"/>
            <w:tcBorders>
              <w:top w:val="single" w:sz="4" w:space="0" w:color="000000"/>
              <w:right w:val="single" w:sz="4" w:space="0" w:color="auto"/>
            </w:tcBorders>
          </w:tcPr>
          <w:p w14:paraId="7595704D" w14:textId="77777777" w:rsidR="003B7027" w:rsidRPr="00920FF7" w:rsidRDefault="003B7027" w:rsidP="006E5F9A">
            <w:pPr>
              <w:pStyle w:val="TableParagraph"/>
              <w:suppressAutoHyphens/>
              <w:rPr>
                <w:sz w:val="20"/>
                <w:szCs w:val="20"/>
              </w:rPr>
            </w:pPr>
          </w:p>
        </w:tc>
        <w:tc>
          <w:tcPr>
            <w:tcW w:w="1347" w:type="dxa"/>
            <w:tcBorders>
              <w:top w:val="single" w:sz="4" w:space="0" w:color="auto"/>
              <w:left w:val="single" w:sz="4" w:space="0" w:color="auto"/>
              <w:bottom w:val="single" w:sz="4" w:space="0" w:color="auto"/>
              <w:right w:val="single" w:sz="4" w:space="0" w:color="auto"/>
            </w:tcBorders>
          </w:tcPr>
          <w:p w14:paraId="010229FF" w14:textId="77777777" w:rsidR="003B7027" w:rsidRPr="00920FF7" w:rsidRDefault="003B7027" w:rsidP="006E5F9A">
            <w:pPr>
              <w:pStyle w:val="TableParagraph"/>
              <w:suppressAutoHyphens/>
              <w:rPr>
                <w:sz w:val="20"/>
                <w:szCs w:val="20"/>
              </w:rPr>
            </w:pPr>
          </w:p>
        </w:tc>
        <w:tc>
          <w:tcPr>
            <w:tcW w:w="1453" w:type="dxa"/>
            <w:tcBorders>
              <w:top w:val="single" w:sz="4" w:space="0" w:color="auto"/>
              <w:left w:val="single" w:sz="4" w:space="0" w:color="auto"/>
              <w:bottom w:val="single" w:sz="4" w:space="0" w:color="auto"/>
              <w:right w:val="single" w:sz="4" w:space="0" w:color="auto"/>
            </w:tcBorders>
          </w:tcPr>
          <w:p w14:paraId="4B11BE07" w14:textId="77777777" w:rsidR="003B7027" w:rsidRPr="00920FF7" w:rsidRDefault="003B7027" w:rsidP="006E5F9A">
            <w:pPr>
              <w:pStyle w:val="TableParagraph"/>
              <w:suppressAutoHyphens/>
              <w:rPr>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2B3FAB3" w14:textId="77777777" w:rsidR="003B7027" w:rsidRPr="00920FF7" w:rsidRDefault="003B7027" w:rsidP="006E5F9A">
            <w:pPr>
              <w:pStyle w:val="TableParagraph"/>
              <w:suppressAutoHyphens/>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4DA55009" w14:textId="77777777" w:rsidR="003B7027" w:rsidRPr="00920FF7" w:rsidRDefault="003B7027" w:rsidP="006E5F9A">
            <w:pPr>
              <w:pStyle w:val="TableParagraph"/>
              <w:suppressAutoHyphens/>
              <w:rPr>
                <w:sz w:val="20"/>
                <w:szCs w:val="20"/>
              </w:rPr>
            </w:pPr>
          </w:p>
        </w:tc>
      </w:tr>
      <w:tr w:rsidR="003B7027" w:rsidRPr="00777B93" w14:paraId="026E45F9" w14:textId="77777777" w:rsidTr="00BF6076">
        <w:trPr>
          <w:cantSplit/>
        </w:trPr>
        <w:tc>
          <w:tcPr>
            <w:tcW w:w="1991" w:type="dxa"/>
            <w:tcBorders>
              <w:top w:val="single" w:sz="4" w:space="0" w:color="auto"/>
              <w:left w:val="single" w:sz="4" w:space="0" w:color="000000"/>
              <w:bottom w:val="single" w:sz="4" w:space="0" w:color="000000"/>
            </w:tcBorders>
          </w:tcPr>
          <w:p w14:paraId="3F28A084" w14:textId="77777777" w:rsidR="003B7027" w:rsidRPr="00920FF7" w:rsidRDefault="00296A74" w:rsidP="00A71F3E">
            <w:pPr>
              <w:pStyle w:val="TableParagraph"/>
              <w:suppressAutoHyphens/>
              <w:ind w:left="284"/>
              <w:rPr>
                <w:sz w:val="20"/>
                <w:szCs w:val="20"/>
              </w:rPr>
            </w:pPr>
            <w:r w:rsidRPr="00920FF7">
              <w:rPr>
                <w:sz w:val="20"/>
                <w:szCs w:val="20"/>
              </w:rPr>
              <w:t>Viikko 52 (%)</w:t>
            </w:r>
          </w:p>
        </w:tc>
        <w:tc>
          <w:tcPr>
            <w:tcW w:w="1867" w:type="dxa"/>
            <w:tcBorders>
              <w:top w:val="single" w:sz="4" w:space="0" w:color="auto"/>
              <w:bottom w:val="single" w:sz="4" w:space="0" w:color="000000"/>
              <w:right w:val="single" w:sz="4" w:space="0" w:color="auto"/>
            </w:tcBorders>
          </w:tcPr>
          <w:p w14:paraId="14A2CF82" w14:textId="77777777" w:rsidR="003B7027" w:rsidRPr="00920FF7" w:rsidRDefault="00F40657" w:rsidP="006E5F9A">
            <w:pPr>
              <w:pStyle w:val="TableParagraph"/>
              <w:suppressAutoHyphens/>
              <w:rPr>
                <w:sz w:val="20"/>
                <w:szCs w:val="20"/>
              </w:rPr>
            </w:pPr>
            <w:r w:rsidRPr="00920FF7">
              <w:rPr>
                <w:sz w:val="20"/>
                <w:szCs w:val="20"/>
              </w:rPr>
              <w:t>n (%)</w:t>
            </w:r>
          </w:p>
        </w:tc>
        <w:tc>
          <w:tcPr>
            <w:tcW w:w="1347" w:type="dxa"/>
            <w:tcBorders>
              <w:top w:val="single" w:sz="4" w:space="0" w:color="auto"/>
              <w:left w:val="single" w:sz="4" w:space="0" w:color="auto"/>
              <w:bottom w:val="single" w:sz="4" w:space="0" w:color="auto"/>
              <w:right w:val="single" w:sz="4" w:space="0" w:color="auto"/>
            </w:tcBorders>
          </w:tcPr>
          <w:p w14:paraId="44FF62C0" w14:textId="77777777" w:rsidR="003B7027" w:rsidRPr="00920FF7" w:rsidRDefault="00296A74" w:rsidP="006E5F9A">
            <w:pPr>
              <w:pStyle w:val="TableParagraph"/>
              <w:suppressAutoHyphens/>
              <w:jc w:val="center"/>
              <w:rPr>
                <w:sz w:val="20"/>
                <w:szCs w:val="20"/>
              </w:rPr>
            </w:pPr>
            <w:r w:rsidRPr="00920FF7">
              <w:rPr>
                <w:sz w:val="20"/>
                <w:szCs w:val="20"/>
              </w:rPr>
              <w:t>142 (49,0)***</w:t>
            </w:r>
          </w:p>
        </w:tc>
        <w:tc>
          <w:tcPr>
            <w:tcW w:w="1453" w:type="dxa"/>
            <w:tcBorders>
              <w:top w:val="single" w:sz="4" w:space="0" w:color="auto"/>
              <w:left w:val="single" w:sz="4" w:space="0" w:color="auto"/>
              <w:bottom w:val="single" w:sz="4" w:space="0" w:color="000000"/>
              <w:right w:val="single" w:sz="4" w:space="0" w:color="auto"/>
            </w:tcBorders>
          </w:tcPr>
          <w:p w14:paraId="147C4641" w14:textId="77777777" w:rsidR="003B7027" w:rsidRPr="00920FF7" w:rsidRDefault="00296A74" w:rsidP="006E5F9A">
            <w:pPr>
              <w:pStyle w:val="TableParagraph"/>
              <w:suppressAutoHyphens/>
              <w:jc w:val="center"/>
              <w:rPr>
                <w:sz w:val="20"/>
                <w:szCs w:val="20"/>
              </w:rPr>
            </w:pPr>
            <w:r w:rsidRPr="00920FF7">
              <w:rPr>
                <w:sz w:val="20"/>
                <w:szCs w:val="20"/>
              </w:rPr>
              <w:t>115 (39,4)</w:t>
            </w:r>
          </w:p>
        </w:tc>
        <w:tc>
          <w:tcPr>
            <w:tcW w:w="1417" w:type="dxa"/>
            <w:tcBorders>
              <w:top w:val="single" w:sz="4" w:space="0" w:color="auto"/>
              <w:left w:val="single" w:sz="4" w:space="0" w:color="auto"/>
              <w:bottom w:val="single" w:sz="4" w:space="0" w:color="auto"/>
              <w:right w:val="single" w:sz="4" w:space="0" w:color="auto"/>
            </w:tcBorders>
          </w:tcPr>
          <w:p w14:paraId="7E9FF1AB" w14:textId="77777777" w:rsidR="003B7027" w:rsidRPr="00920FF7" w:rsidRDefault="00296A74" w:rsidP="006E5F9A">
            <w:pPr>
              <w:pStyle w:val="TableParagraph"/>
              <w:suppressAutoHyphens/>
              <w:jc w:val="center"/>
              <w:rPr>
                <w:sz w:val="20"/>
                <w:szCs w:val="20"/>
              </w:rPr>
            </w:pPr>
            <w:r w:rsidRPr="00920FF7">
              <w:rPr>
                <w:sz w:val="20"/>
                <w:szCs w:val="20"/>
              </w:rPr>
              <w:t>98 (34,0)</w:t>
            </w:r>
          </w:p>
        </w:tc>
        <w:tc>
          <w:tcPr>
            <w:tcW w:w="1138" w:type="dxa"/>
            <w:tcBorders>
              <w:top w:val="single" w:sz="4" w:space="0" w:color="auto"/>
              <w:left w:val="single" w:sz="4" w:space="0" w:color="auto"/>
              <w:bottom w:val="single" w:sz="4" w:space="0" w:color="000000"/>
              <w:right w:val="single" w:sz="8" w:space="0" w:color="000000"/>
            </w:tcBorders>
          </w:tcPr>
          <w:p w14:paraId="590726F4" w14:textId="77777777" w:rsidR="003B7027" w:rsidRPr="00920FF7" w:rsidRDefault="00296A74" w:rsidP="006E5F9A">
            <w:pPr>
              <w:pStyle w:val="TableParagraph"/>
              <w:suppressAutoHyphens/>
              <w:jc w:val="center"/>
              <w:rPr>
                <w:sz w:val="20"/>
                <w:szCs w:val="20"/>
              </w:rPr>
            </w:pPr>
            <w:r w:rsidRPr="00920FF7">
              <w:rPr>
                <w:sz w:val="20"/>
                <w:szCs w:val="20"/>
              </w:rPr>
              <w:t>56 (19,5)</w:t>
            </w:r>
          </w:p>
        </w:tc>
      </w:tr>
      <w:tr w:rsidR="00F40657" w:rsidRPr="00777B93" w14:paraId="3AD380CF" w14:textId="77777777" w:rsidTr="00BF6076">
        <w:trPr>
          <w:cantSplit/>
        </w:trPr>
        <w:tc>
          <w:tcPr>
            <w:tcW w:w="1991" w:type="dxa"/>
            <w:tcBorders>
              <w:left w:val="single" w:sz="4" w:space="0" w:color="000000"/>
              <w:bottom w:val="single" w:sz="4" w:space="0" w:color="auto"/>
            </w:tcBorders>
          </w:tcPr>
          <w:p w14:paraId="5B7F0113" w14:textId="77777777" w:rsidR="00F40657" w:rsidRPr="00920FF7" w:rsidRDefault="00F40657" w:rsidP="006E5F9A">
            <w:pPr>
              <w:pStyle w:val="TableParagraph"/>
              <w:suppressAutoHyphens/>
              <w:rPr>
                <w:sz w:val="20"/>
                <w:szCs w:val="20"/>
              </w:rPr>
            </w:pPr>
            <w:r w:rsidRPr="00920FF7">
              <w:rPr>
                <w:sz w:val="20"/>
                <w:szCs w:val="20"/>
              </w:rPr>
              <w:t>ACR</w:t>
            </w:r>
          </w:p>
        </w:tc>
        <w:tc>
          <w:tcPr>
            <w:tcW w:w="1867" w:type="dxa"/>
            <w:tcBorders>
              <w:bottom w:val="single" w:sz="4" w:space="0" w:color="auto"/>
              <w:right w:val="single" w:sz="4" w:space="0" w:color="auto"/>
            </w:tcBorders>
          </w:tcPr>
          <w:p w14:paraId="325928C5" w14:textId="77777777" w:rsidR="00F40657" w:rsidRPr="00920FF7" w:rsidRDefault="00F40657" w:rsidP="006E5F9A">
            <w:pPr>
              <w:pStyle w:val="TableParagraph"/>
              <w:suppressAutoHyphens/>
              <w:rPr>
                <w:sz w:val="20"/>
                <w:szCs w:val="20"/>
              </w:rPr>
            </w:pPr>
          </w:p>
        </w:tc>
        <w:tc>
          <w:tcPr>
            <w:tcW w:w="1347" w:type="dxa"/>
            <w:tcBorders>
              <w:top w:val="single" w:sz="4" w:space="0" w:color="auto"/>
              <w:left w:val="single" w:sz="4" w:space="0" w:color="auto"/>
              <w:bottom w:val="single" w:sz="4" w:space="0" w:color="auto"/>
              <w:right w:val="single" w:sz="4" w:space="0" w:color="auto"/>
            </w:tcBorders>
          </w:tcPr>
          <w:p w14:paraId="217DE981" w14:textId="77777777" w:rsidR="00F40657" w:rsidRPr="00920FF7" w:rsidRDefault="00F40657" w:rsidP="006E5F9A">
            <w:pPr>
              <w:pStyle w:val="TableParagraph"/>
              <w:suppressAutoHyphens/>
              <w:jc w:val="center"/>
              <w:rPr>
                <w:sz w:val="20"/>
                <w:szCs w:val="20"/>
              </w:rPr>
            </w:pPr>
          </w:p>
        </w:tc>
        <w:tc>
          <w:tcPr>
            <w:tcW w:w="1453" w:type="dxa"/>
            <w:tcBorders>
              <w:left w:val="single" w:sz="4" w:space="0" w:color="auto"/>
              <w:bottom w:val="single" w:sz="4" w:space="0" w:color="auto"/>
              <w:right w:val="single" w:sz="4" w:space="0" w:color="auto"/>
            </w:tcBorders>
          </w:tcPr>
          <w:p w14:paraId="7673CED4" w14:textId="77777777" w:rsidR="00F40657" w:rsidRPr="00920FF7" w:rsidRDefault="00F40657" w:rsidP="006E5F9A">
            <w:pPr>
              <w:pStyle w:val="TableParagraph"/>
              <w:suppressAutoHyphens/>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3D29A78" w14:textId="77777777" w:rsidR="00F40657" w:rsidRPr="00920FF7" w:rsidRDefault="00F40657" w:rsidP="006E5F9A">
            <w:pPr>
              <w:pStyle w:val="TableParagraph"/>
              <w:suppressAutoHyphens/>
              <w:jc w:val="center"/>
              <w:rPr>
                <w:sz w:val="20"/>
                <w:szCs w:val="20"/>
              </w:rPr>
            </w:pPr>
          </w:p>
        </w:tc>
        <w:tc>
          <w:tcPr>
            <w:tcW w:w="1138" w:type="dxa"/>
            <w:tcBorders>
              <w:left w:val="single" w:sz="4" w:space="0" w:color="auto"/>
              <w:bottom w:val="single" w:sz="4" w:space="0" w:color="auto"/>
              <w:right w:val="single" w:sz="8" w:space="0" w:color="000000"/>
            </w:tcBorders>
          </w:tcPr>
          <w:p w14:paraId="517CC662" w14:textId="77777777" w:rsidR="00F40657" w:rsidRPr="00920FF7" w:rsidRDefault="00F40657" w:rsidP="006E5F9A">
            <w:pPr>
              <w:pStyle w:val="TableParagraph"/>
              <w:suppressAutoHyphens/>
              <w:jc w:val="center"/>
              <w:rPr>
                <w:sz w:val="20"/>
                <w:szCs w:val="20"/>
              </w:rPr>
            </w:pPr>
          </w:p>
        </w:tc>
      </w:tr>
      <w:tr w:rsidR="003B7027" w:rsidRPr="00777B93" w14:paraId="674C4810" w14:textId="77777777" w:rsidTr="00BF6076">
        <w:trPr>
          <w:cantSplit/>
        </w:trPr>
        <w:tc>
          <w:tcPr>
            <w:tcW w:w="1991" w:type="dxa"/>
            <w:tcBorders>
              <w:top w:val="single" w:sz="4" w:space="0" w:color="auto"/>
              <w:left w:val="single" w:sz="4" w:space="0" w:color="auto"/>
              <w:bottom w:val="single" w:sz="4" w:space="0" w:color="auto"/>
            </w:tcBorders>
          </w:tcPr>
          <w:p w14:paraId="5F014B8E" w14:textId="77777777" w:rsidR="003B7027" w:rsidRPr="00920FF7" w:rsidRDefault="00296A74" w:rsidP="00A71F3E">
            <w:pPr>
              <w:pStyle w:val="TableParagraph"/>
              <w:suppressAutoHyphens/>
              <w:ind w:left="284"/>
              <w:rPr>
                <w:sz w:val="20"/>
                <w:szCs w:val="20"/>
              </w:rPr>
            </w:pPr>
            <w:r w:rsidRPr="00920FF7">
              <w:rPr>
                <w:sz w:val="20"/>
                <w:szCs w:val="20"/>
              </w:rPr>
              <w:t>Viikko 24</w:t>
            </w:r>
          </w:p>
        </w:tc>
        <w:tc>
          <w:tcPr>
            <w:tcW w:w="1867" w:type="dxa"/>
            <w:tcBorders>
              <w:top w:val="single" w:sz="4" w:space="0" w:color="auto"/>
              <w:bottom w:val="single" w:sz="4" w:space="0" w:color="auto"/>
              <w:right w:val="single" w:sz="4" w:space="0" w:color="auto"/>
            </w:tcBorders>
          </w:tcPr>
          <w:p w14:paraId="4FBC75EE" w14:textId="77777777" w:rsidR="003B7027" w:rsidRPr="00920FF7" w:rsidRDefault="00296A74" w:rsidP="006E5F9A">
            <w:pPr>
              <w:pStyle w:val="TableParagraph"/>
              <w:suppressAutoHyphens/>
              <w:rPr>
                <w:sz w:val="20"/>
                <w:szCs w:val="20"/>
              </w:rPr>
            </w:pPr>
            <w:r w:rsidRPr="00920FF7">
              <w:rPr>
                <w:sz w:val="20"/>
                <w:szCs w:val="20"/>
              </w:rPr>
              <w:t>ACR20, n (%)</w:t>
            </w:r>
          </w:p>
        </w:tc>
        <w:tc>
          <w:tcPr>
            <w:tcW w:w="1347" w:type="dxa"/>
            <w:tcBorders>
              <w:top w:val="single" w:sz="4" w:space="0" w:color="auto"/>
              <w:left w:val="single" w:sz="4" w:space="0" w:color="auto"/>
              <w:bottom w:val="single" w:sz="4" w:space="0" w:color="auto"/>
              <w:right w:val="single" w:sz="4" w:space="0" w:color="auto"/>
            </w:tcBorders>
          </w:tcPr>
          <w:p w14:paraId="0C050228" w14:textId="77777777" w:rsidR="003B7027" w:rsidRPr="00920FF7" w:rsidRDefault="00296A74" w:rsidP="006E5F9A">
            <w:pPr>
              <w:pStyle w:val="TableParagraph"/>
              <w:suppressAutoHyphens/>
              <w:jc w:val="center"/>
              <w:rPr>
                <w:sz w:val="20"/>
                <w:szCs w:val="20"/>
              </w:rPr>
            </w:pPr>
            <w:r w:rsidRPr="00920FF7">
              <w:rPr>
                <w:sz w:val="20"/>
                <w:szCs w:val="20"/>
              </w:rPr>
              <w:t>216 (74,5)*</w:t>
            </w:r>
          </w:p>
        </w:tc>
        <w:tc>
          <w:tcPr>
            <w:tcW w:w="1453" w:type="dxa"/>
            <w:tcBorders>
              <w:top w:val="single" w:sz="4" w:space="0" w:color="auto"/>
              <w:left w:val="single" w:sz="4" w:space="0" w:color="auto"/>
              <w:bottom w:val="single" w:sz="4" w:space="0" w:color="auto"/>
              <w:right w:val="single" w:sz="4" w:space="0" w:color="auto"/>
            </w:tcBorders>
          </w:tcPr>
          <w:p w14:paraId="37307214" w14:textId="77777777" w:rsidR="003B7027" w:rsidRPr="00920FF7" w:rsidRDefault="00296A74" w:rsidP="006E5F9A">
            <w:pPr>
              <w:pStyle w:val="TableParagraph"/>
              <w:suppressAutoHyphens/>
              <w:jc w:val="center"/>
              <w:rPr>
                <w:sz w:val="20"/>
                <w:szCs w:val="20"/>
              </w:rPr>
            </w:pPr>
            <w:r w:rsidRPr="00920FF7">
              <w:rPr>
                <w:sz w:val="20"/>
                <w:szCs w:val="20"/>
              </w:rPr>
              <w:t>205 (70,2)</w:t>
            </w:r>
          </w:p>
        </w:tc>
        <w:tc>
          <w:tcPr>
            <w:tcW w:w="1417" w:type="dxa"/>
            <w:tcBorders>
              <w:top w:val="single" w:sz="4" w:space="0" w:color="auto"/>
              <w:left w:val="single" w:sz="4" w:space="0" w:color="auto"/>
              <w:bottom w:val="single" w:sz="4" w:space="0" w:color="auto"/>
              <w:right w:val="single" w:sz="4" w:space="0" w:color="auto"/>
            </w:tcBorders>
          </w:tcPr>
          <w:p w14:paraId="58952FEC" w14:textId="77777777" w:rsidR="003B7027" w:rsidRPr="00920FF7" w:rsidRDefault="00296A74" w:rsidP="006E5F9A">
            <w:pPr>
              <w:pStyle w:val="TableParagraph"/>
              <w:suppressAutoHyphens/>
              <w:jc w:val="center"/>
              <w:rPr>
                <w:sz w:val="20"/>
                <w:szCs w:val="20"/>
              </w:rPr>
            </w:pPr>
            <w:r w:rsidRPr="00920FF7">
              <w:rPr>
                <w:sz w:val="20"/>
                <w:szCs w:val="20"/>
              </w:rPr>
              <w:t>212 (73,6)</w:t>
            </w:r>
          </w:p>
        </w:tc>
        <w:tc>
          <w:tcPr>
            <w:tcW w:w="1138" w:type="dxa"/>
            <w:tcBorders>
              <w:top w:val="single" w:sz="4" w:space="0" w:color="auto"/>
              <w:left w:val="single" w:sz="4" w:space="0" w:color="auto"/>
              <w:bottom w:val="single" w:sz="4" w:space="0" w:color="auto"/>
              <w:right w:val="single" w:sz="4" w:space="0" w:color="auto"/>
            </w:tcBorders>
          </w:tcPr>
          <w:p w14:paraId="6E5C5596" w14:textId="77777777" w:rsidR="003B7027" w:rsidRPr="00920FF7" w:rsidRDefault="00296A74" w:rsidP="006E5F9A">
            <w:pPr>
              <w:pStyle w:val="TableParagraph"/>
              <w:suppressAutoHyphens/>
              <w:jc w:val="center"/>
              <w:rPr>
                <w:sz w:val="20"/>
                <w:szCs w:val="20"/>
              </w:rPr>
            </w:pPr>
            <w:r w:rsidRPr="00920FF7">
              <w:rPr>
                <w:sz w:val="20"/>
                <w:szCs w:val="20"/>
              </w:rPr>
              <w:t>187 (65,2)</w:t>
            </w:r>
          </w:p>
        </w:tc>
      </w:tr>
      <w:tr w:rsidR="003B7027" w:rsidRPr="00777B93" w14:paraId="44163B17" w14:textId="77777777" w:rsidTr="00BF6076">
        <w:trPr>
          <w:cantSplit/>
        </w:trPr>
        <w:tc>
          <w:tcPr>
            <w:tcW w:w="1991" w:type="dxa"/>
            <w:tcBorders>
              <w:top w:val="single" w:sz="4" w:space="0" w:color="auto"/>
              <w:left w:val="single" w:sz="4" w:space="0" w:color="auto"/>
              <w:bottom w:val="single" w:sz="4" w:space="0" w:color="auto"/>
            </w:tcBorders>
          </w:tcPr>
          <w:p w14:paraId="74756F4B" w14:textId="77777777" w:rsidR="003B7027" w:rsidRPr="00920FF7" w:rsidRDefault="003B7027" w:rsidP="006E5F9A">
            <w:pPr>
              <w:pStyle w:val="TableParagraph"/>
              <w:suppressAutoHyphens/>
              <w:rPr>
                <w:sz w:val="20"/>
                <w:szCs w:val="20"/>
              </w:rPr>
            </w:pPr>
          </w:p>
        </w:tc>
        <w:tc>
          <w:tcPr>
            <w:tcW w:w="1867" w:type="dxa"/>
            <w:tcBorders>
              <w:top w:val="single" w:sz="4" w:space="0" w:color="auto"/>
              <w:bottom w:val="single" w:sz="4" w:space="0" w:color="auto"/>
              <w:right w:val="single" w:sz="4" w:space="0" w:color="auto"/>
            </w:tcBorders>
          </w:tcPr>
          <w:p w14:paraId="583B7626" w14:textId="77777777" w:rsidR="003B7027" w:rsidRPr="00920FF7" w:rsidRDefault="00296A74" w:rsidP="006E5F9A">
            <w:pPr>
              <w:pStyle w:val="TableParagraph"/>
              <w:suppressAutoHyphens/>
              <w:rPr>
                <w:sz w:val="20"/>
                <w:szCs w:val="20"/>
              </w:rPr>
            </w:pPr>
            <w:r w:rsidRPr="00920FF7">
              <w:rPr>
                <w:sz w:val="20"/>
                <w:szCs w:val="20"/>
              </w:rPr>
              <w:t>ACR50, n (%)</w:t>
            </w:r>
          </w:p>
        </w:tc>
        <w:tc>
          <w:tcPr>
            <w:tcW w:w="1347" w:type="dxa"/>
            <w:tcBorders>
              <w:top w:val="single" w:sz="4" w:space="0" w:color="auto"/>
              <w:left w:val="single" w:sz="4" w:space="0" w:color="auto"/>
              <w:bottom w:val="single" w:sz="4" w:space="0" w:color="auto"/>
              <w:right w:val="single" w:sz="4" w:space="0" w:color="auto"/>
            </w:tcBorders>
          </w:tcPr>
          <w:p w14:paraId="7C306AD7" w14:textId="77777777" w:rsidR="003B7027" w:rsidRPr="00920FF7" w:rsidRDefault="00296A74" w:rsidP="006E5F9A">
            <w:pPr>
              <w:pStyle w:val="TableParagraph"/>
              <w:suppressAutoHyphens/>
              <w:jc w:val="center"/>
              <w:rPr>
                <w:sz w:val="20"/>
                <w:szCs w:val="20"/>
              </w:rPr>
            </w:pPr>
            <w:r w:rsidRPr="00920FF7">
              <w:rPr>
                <w:sz w:val="20"/>
                <w:szCs w:val="20"/>
              </w:rPr>
              <w:t>165 (56,9)**</w:t>
            </w:r>
          </w:p>
        </w:tc>
        <w:tc>
          <w:tcPr>
            <w:tcW w:w="1453" w:type="dxa"/>
            <w:tcBorders>
              <w:top w:val="single" w:sz="4" w:space="0" w:color="auto"/>
              <w:left w:val="single" w:sz="4" w:space="0" w:color="auto"/>
              <w:bottom w:val="single" w:sz="4" w:space="0" w:color="auto"/>
              <w:right w:val="single" w:sz="4" w:space="0" w:color="auto"/>
            </w:tcBorders>
          </w:tcPr>
          <w:p w14:paraId="687FAE8B" w14:textId="77777777" w:rsidR="003B7027" w:rsidRPr="00920FF7" w:rsidRDefault="00296A74" w:rsidP="006E5F9A">
            <w:pPr>
              <w:pStyle w:val="TableParagraph"/>
              <w:suppressAutoHyphens/>
              <w:jc w:val="center"/>
              <w:rPr>
                <w:sz w:val="20"/>
                <w:szCs w:val="20"/>
              </w:rPr>
            </w:pPr>
            <w:r w:rsidRPr="00920FF7">
              <w:rPr>
                <w:sz w:val="20"/>
                <w:szCs w:val="20"/>
              </w:rPr>
              <w:t>139 (47,6)</w:t>
            </w:r>
          </w:p>
        </w:tc>
        <w:tc>
          <w:tcPr>
            <w:tcW w:w="1417" w:type="dxa"/>
            <w:tcBorders>
              <w:top w:val="single" w:sz="4" w:space="0" w:color="auto"/>
              <w:left w:val="single" w:sz="4" w:space="0" w:color="auto"/>
              <w:bottom w:val="single" w:sz="4" w:space="0" w:color="auto"/>
              <w:right w:val="single" w:sz="4" w:space="0" w:color="auto"/>
            </w:tcBorders>
          </w:tcPr>
          <w:p w14:paraId="0557EED4" w14:textId="77777777" w:rsidR="003B7027" w:rsidRPr="00920FF7" w:rsidRDefault="00296A74" w:rsidP="006E5F9A">
            <w:pPr>
              <w:pStyle w:val="TableParagraph"/>
              <w:suppressAutoHyphens/>
              <w:jc w:val="center"/>
              <w:rPr>
                <w:sz w:val="20"/>
                <w:szCs w:val="20"/>
              </w:rPr>
            </w:pPr>
            <w:r w:rsidRPr="00920FF7">
              <w:rPr>
                <w:sz w:val="20"/>
                <w:szCs w:val="20"/>
              </w:rPr>
              <w:t>138 (47,9)</w:t>
            </w:r>
          </w:p>
        </w:tc>
        <w:tc>
          <w:tcPr>
            <w:tcW w:w="1138" w:type="dxa"/>
            <w:tcBorders>
              <w:top w:val="single" w:sz="4" w:space="0" w:color="auto"/>
              <w:left w:val="single" w:sz="4" w:space="0" w:color="auto"/>
              <w:bottom w:val="single" w:sz="4" w:space="0" w:color="auto"/>
              <w:right w:val="single" w:sz="4" w:space="0" w:color="auto"/>
            </w:tcBorders>
          </w:tcPr>
          <w:p w14:paraId="1971F6D0" w14:textId="77777777" w:rsidR="003B7027" w:rsidRPr="00920FF7" w:rsidRDefault="00296A74" w:rsidP="006E5F9A">
            <w:pPr>
              <w:pStyle w:val="TableParagraph"/>
              <w:suppressAutoHyphens/>
              <w:jc w:val="center"/>
              <w:rPr>
                <w:sz w:val="20"/>
                <w:szCs w:val="20"/>
              </w:rPr>
            </w:pPr>
            <w:r w:rsidRPr="00920FF7">
              <w:rPr>
                <w:sz w:val="20"/>
                <w:szCs w:val="20"/>
              </w:rPr>
              <w:t>124 (43,2)</w:t>
            </w:r>
          </w:p>
        </w:tc>
      </w:tr>
      <w:tr w:rsidR="003B7027" w:rsidRPr="00777B93" w14:paraId="3A481F1E" w14:textId="77777777" w:rsidTr="00BF6076">
        <w:trPr>
          <w:cantSplit/>
        </w:trPr>
        <w:tc>
          <w:tcPr>
            <w:tcW w:w="1991" w:type="dxa"/>
            <w:tcBorders>
              <w:top w:val="single" w:sz="4" w:space="0" w:color="auto"/>
              <w:left w:val="single" w:sz="4" w:space="0" w:color="auto"/>
              <w:bottom w:val="single" w:sz="4" w:space="0" w:color="auto"/>
            </w:tcBorders>
          </w:tcPr>
          <w:p w14:paraId="23E5BDAB" w14:textId="77777777" w:rsidR="003B7027" w:rsidRPr="00920FF7" w:rsidRDefault="003B7027" w:rsidP="006E5F9A">
            <w:pPr>
              <w:pStyle w:val="TableParagraph"/>
              <w:suppressAutoHyphens/>
              <w:rPr>
                <w:sz w:val="20"/>
                <w:szCs w:val="20"/>
              </w:rPr>
            </w:pPr>
          </w:p>
        </w:tc>
        <w:tc>
          <w:tcPr>
            <w:tcW w:w="1867" w:type="dxa"/>
            <w:tcBorders>
              <w:top w:val="single" w:sz="4" w:space="0" w:color="auto"/>
              <w:bottom w:val="single" w:sz="4" w:space="0" w:color="auto"/>
              <w:right w:val="single" w:sz="4" w:space="0" w:color="auto"/>
            </w:tcBorders>
          </w:tcPr>
          <w:p w14:paraId="3FAA1A92" w14:textId="77777777" w:rsidR="003B7027" w:rsidRPr="00920FF7" w:rsidRDefault="00296A74" w:rsidP="006E5F9A">
            <w:pPr>
              <w:pStyle w:val="TableParagraph"/>
              <w:suppressAutoHyphens/>
              <w:rPr>
                <w:sz w:val="20"/>
                <w:szCs w:val="20"/>
              </w:rPr>
            </w:pPr>
            <w:r w:rsidRPr="00920FF7">
              <w:rPr>
                <w:sz w:val="20"/>
                <w:szCs w:val="20"/>
              </w:rPr>
              <w:t>ACR70, n (%)</w:t>
            </w:r>
          </w:p>
        </w:tc>
        <w:tc>
          <w:tcPr>
            <w:tcW w:w="1347" w:type="dxa"/>
            <w:tcBorders>
              <w:top w:val="single" w:sz="4" w:space="0" w:color="auto"/>
              <w:left w:val="single" w:sz="4" w:space="0" w:color="auto"/>
              <w:bottom w:val="single" w:sz="4" w:space="0" w:color="auto"/>
              <w:right w:val="single" w:sz="4" w:space="0" w:color="auto"/>
            </w:tcBorders>
          </w:tcPr>
          <w:p w14:paraId="7BCA1785" w14:textId="77777777" w:rsidR="003B7027" w:rsidRPr="00920FF7" w:rsidRDefault="00296A74" w:rsidP="006E5F9A">
            <w:pPr>
              <w:pStyle w:val="TableParagraph"/>
              <w:suppressAutoHyphens/>
              <w:jc w:val="center"/>
              <w:rPr>
                <w:sz w:val="20"/>
                <w:szCs w:val="20"/>
              </w:rPr>
            </w:pPr>
            <w:r w:rsidRPr="00920FF7">
              <w:rPr>
                <w:sz w:val="20"/>
                <w:szCs w:val="20"/>
              </w:rPr>
              <w:t>112 (38,6)**</w:t>
            </w:r>
          </w:p>
        </w:tc>
        <w:tc>
          <w:tcPr>
            <w:tcW w:w="1453" w:type="dxa"/>
            <w:tcBorders>
              <w:top w:val="single" w:sz="4" w:space="0" w:color="auto"/>
              <w:left w:val="single" w:sz="4" w:space="0" w:color="auto"/>
              <w:bottom w:val="single" w:sz="4" w:space="0" w:color="auto"/>
              <w:right w:val="single" w:sz="4" w:space="0" w:color="auto"/>
            </w:tcBorders>
          </w:tcPr>
          <w:p w14:paraId="12F54A45" w14:textId="77777777" w:rsidR="003B7027" w:rsidRPr="00920FF7" w:rsidRDefault="00296A74" w:rsidP="006E5F9A">
            <w:pPr>
              <w:pStyle w:val="TableParagraph"/>
              <w:suppressAutoHyphens/>
              <w:jc w:val="center"/>
              <w:rPr>
                <w:sz w:val="20"/>
                <w:szCs w:val="20"/>
              </w:rPr>
            </w:pPr>
            <w:r w:rsidRPr="00920FF7">
              <w:rPr>
                <w:sz w:val="20"/>
                <w:szCs w:val="20"/>
              </w:rPr>
              <w:t>88 (30,1)</w:t>
            </w:r>
          </w:p>
        </w:tc>
        <w:tc>
          <w:tcPr>
            <w:tcW w:w="1417" w:type="dxa"/>
            <w:tcBorders>
              <w:top w:val="single" w:sz="4" w:space="0" w:color="auto"/>
              <w:left w:val="single" w:sz="4" w:space="0" w:color="auto"/>
              <w:bottom w:val="single" w:sz="4" w:space="0" w:color="auto"/>
              <w:right w:val="single" w:sz="4" w:space="0" w:color="auto"/>
            </w:tcBorders>
          </w:tcPr>
          <w:p w14:paraId="672F03C5" w14:textId="77777777" w:rsidR="003B7027" w:rsidRPr="00920FF7" w:rsidRDefault="00296A74" w:rsidP="006E5F9A">
            <w:pPr>
              <w:pStyle w:val="TableParagraph"/>
              <w:suppressAutoHyphens/>
              <w:jc w:val="center"/>
              <w:rPr>
                <w:sz w:val="20"/>
                <w:szCs w:val="20"/>
              </w:rPr>
            </w:pPr>
            <w:r w:rsidRPr="00920FF7">
              <w:rPr>
                <w:sz w:val="20"/>
                <w:szCs w:val="20"/>
              </w:rPr>
              <w:t>100 (34,7)</w:t>
            </w:r>
          </w:p>
        </w:tc>
        <w:tc>
          <w:tcPr>
            <w:tcW w:w="1138" w:type="dxa"/>
            <w:tcBorders>
              <w:top w:val="single" w:sz="4" w:space="0" w:color="auto"/>
              <w:left w:val="single" w:sz="4" w:space="0" w:color="auto"/>
              <w:bottom w:val="single" w:sz="4" w:space="0" w:color="auto"/>
              <w:right w:val="single" w:sz="4" w:space="0" w:color="auto"/>
            </w:tcBorders>
          </w:tcPr>
          <w:p w14:paraId="11B07A14" w14:textId="77777777" w:rsidR="003B7027" w:rsidRPr="00920FF7" w:rsidRDefault="00296A74" w:rsidP="006E5F9A">
            <w:pPr>
              <w:pStyle w:val="TableParagraph"/>
              <w:suppressAutoHyphens/>
              <w:jc w:val="center"/>
              <w:rPr>
                <w:sz w:val="20"/>
                <w:szCs w:val="20"/>
              </w:rPr>
            </w:pPr>
            <w:r w:rsidRPr="00920FF7">
              <w:rPr>
                <w:sz w:val="20"/>
                <w:szCs w:val="20"/>
              </w:rPr>
              <w:t>73 (25,4)</w:t>
            </w:r>
          </w:p>
        </w:tc>
      </w:tr>
      <w:tr w:rsidR="003B7027" w:rsidRPr="00777B93" w14:paraId="647DCF4B" w14:textId="77777777" w:rsidTr="00BF6076">
        <w:trPr>
          <w:cantSplit/>
        </w:trPr>
        <w:tc>
          <w:tcPr>
            <w:tcW w:w="1991" w:type="dxa"/>
            <w:tcBorders>
              <w:top w:val="single" w:sz="4" w:space="0" w:color="auto"/>
              <w:left w:val="single" w:sz="4" w:space="0" w:color="auto"/>
              <w:bottom w:val="single" w:sz="4" w:space="0" w:color="auto"/>
            </w:tcBorders>
          </w:tcPr>
          <w:p w14:paraId="7BDE912B" w14:textId="77777777" w:rsidR="003B7027" w:rsidRPr="00920FF7" w:rsidRDefault="00296A74" w:rsidP="00A71F3E">
            <w:pPr>
              <w:pStyle w:val="TableParagraph"/>
              <w:suppressAutoHyphens/>
              <w:ind w:left="284"/>
              <w:rPr>
                <w:sz w:val="20"/>
                <w:szCs w:val="20"/>
              </w:rPr>
            </w:pPr>
            <w:r w:rsidRPr="00920FF7">
              <w:rPr>
                <w:sz w:val="20"/>
                <w:szCs w:val="20"/>
              </w:rPr>
              <w:t>Viikko 52</w:t>
            </w:r>
          </w:p>
        </w:tc>
        <w:tc>
          <w:tcPr>
            <w:tcW w:w="1867" w:type="dxa"/>
            <w:tcBorders>
              <w:top w:val="single" w:sz="4" w:space="0" w:color="auto"/>
              <w:bottom w:val="single" w:sz="4" w:space="0" w:color="auto"/>
              <w:right w:val="single" w:sz="4" w:space="0" w:color="auto"/>
            </w:tcBorders>
          </w:tcPr>
          <w:p w14:paraId="24742592" w14:textId="77777777" w:rsidR="003B7027" w:rsidRPr="00920FF7" w:rsidRDefault="00296A74" w:rsidP="006E5F9A">
            <w:pPr>
              <w:pStyle w:val="TableParagraph"/>
              <w:suppressAutoHyphens/>
              <w:rPr>
                <w:sz w:val="20"/>
                <w:szCs w:val="20"/>
              </w:rPr>
            </w:pPr>
            <w:r w:rsidRPr="00920FF7">
              <w:rPr>
                <w:sz w:val="20"/>
                <w:szCs w:val="20"/>
              </w:rPr>
              <w:t>ACR20, n (%)</w:t>
            </w:r>
          </w:p>
        </w:tc>
        <w:tc>
          <w:tcPr>
            <w:tcW w:w="1347" w:type="dxa"/>
            <w:tcBorders>
              <w:top w:val="single" w:sz="4" w:space="0" w:color="auto"/>
              <w:left w:val="single" w:sz="4" w:space="0" w:color="auto"/>
              <w:bottom w:val="single" w:sz="4" w:space="0" w:color="auto"/>
              <w:right w:val="single" w:sz="4" w:space="0" w:color="auto"/>
            </w:tcBorders>
          </w:tcPr>
          <w:p w14:paraId="16D20AC3" w14:textId="77777777" w:rsidR="003B7027" w:rsidRPr="00920FF7" w:rsidRDefault="00296A74" w:rsidP="006E5F9A">
            <w:pPr>
              <w:pStyle w:val="TableParagraph"/>
              <w:suppressAutoHyphens/>
              <w:jc w:val="center"/>
              <w:rPr>
                <w:sz w:val="20"/>
                <w:szCs w:val="20"/>
              </w:rPr>
            </w:pPr>
            <w:r w:rsidRPr="00920FF7">
              <w:rPr>
                <w:sz w:val="20"/>
                <w:szCs w:val="20"/>
              </w:rPr>
              <w:t>195 (67,2)*</w:t>
            </w:r>
          </w:p>
        </w:tc>
        <w:tc>
          <w:tcPr>
            <w:tcW w:w="1453" w:type="dxa"/>
            <w:tcBorders>
              <w:top w:val="single" w:sz="4" w:space="0" w:color="auto"/>
              <w:left w:val="single" w:sz="4" w:space="0" w:color="auto"/>
              <w:bottom w:val="single" w:sz="4" w:space="0" w:color="auto"/>
              <w:right w:val="single" w:sz="4" w:space="0" w:color="auto"/>
            </w:tcBorders>
          </w:tcPr>
          <w:p w14:paraId="12F3A193" w14:textId="77777777" w:rsidR="003B7027" w:rsidRPr="00920FF7" w:rsidRDefault="00296A74" w:rsidP="006E5F9A">
            <w:pPr>
              <w:pStyle w:val="TableParagraph"/>
              <w:suppressAutoHyphens/>
              <w:jc w:val="center"/>
              <w:rPr>
                <w:sz w:val="20"/>
                <w:szCs w:val="20"/>
              </w:rPr>
            </w:pPr>
            <w:r w:rsidRPr="00920FF7">
              <w:rPr>
                <w:sz w:val="20"/>
                <w:szCs w:val="20"/>
              </w:rPr>
              <w:t>184 (63,0)</w:t>
            </w:r>
          </w:p>
        </w:tc>
        <w:tc>
          <w:tcPr>
            <w:tcW w:w="1417" w:type="dxa"/>
            <w:tcBorders>
              <w:top w:val="single" w:sz="4" w:space="0" w:color="auto"/>
              <w:left w:val="single" w:sz="4" w:space="0" w:color="auto"/>
              <w:bottom w:val="single" w:sz="4" w:space="0" w:color="auto"/>
              <w:right w:val="single" w:sz="4" w:space="0" w:color="auto"/>
            </w:tcBorders>
          </w:tcPr>
          <w:p w14:paraId="278A49DD" w14:textId="77777777" w:rsidR="003B7027" w:rsidRPr="00920FF7" w:rsidRDefault="00296A74" w:rsidP="006E5F9A">
            <w:pPr>
              <w:pStyle w:val="TableParagraph"/>
              <w:suppressAutoHyphens/>
              <w:jc w:val="center"/>
              <w:rPr>
                <w:sz w:val="20"/>
                <w:szCs w:val="20"/>
              </w:rPr>
            </w:pPr>
            <w:r w:rsidRPr="00920FF7">
              <w:rPr>
                <w:sz w:val="20"/>
                <w:szCs w:val="20"/>
              </w:rPr>
              <w:t>181 (62,8)</w:t>
            </w:r>
          </w:p>
        </w:tc>
        <w:tc>
          <w:tcPr>
            <w:tcW w:w="1138" w:type="dxa"/>
            <w:tcBorders>
              <w:top w:val="single" w:sz="4" w:space="0" w:color="auto"/>
              <w:left w:val="single" w:sz="4" w:space="0" w:color="auto"/>
              <w:bottom w:val="single" w:sz="4" w:space="0" w:color="auto"/>
              <w:right w:val="single" w:sz="4" w:space="0" w:color="auto"/>
            </w:tcBorders>
          </w:tcPr>
          <w:p w14:paraId="7F40655E" w14:textId="77777777" w:rsidR="003B7027" w:rsidRPr="00920FF7" w:rsidRDefault="00296A74" w:rsidP="006E5F9A">
            <w:pPr>
              <w:pStyle w:val="TableParagraph"/>
              <w:suppressAutoHyphens/>
              <w:jc w:val="center"/>
              <w:rPr>
                <w:sz w:val="20"/>
                <w:szCs w:val="20"/>
              </w:rPr>
            </w:pPr>
            <w:r w:rsidRPr="00920FF7">
              <w:rPr>
                <w:sz w:val="20"/>
                <w:szCs w:val="20"/>
              </w:rPr>
              <w:t>164 (57,1)</w:t>
            </w:r>
          </w:p>
        </w:tc>
      </w:tr>
      <w:tr w:rsidR="003B7027" w:rsidRPr="00777B93" w14:paraId="0F58A7CC" w14:textId="77777777" w:rsidTr="00BF6076">
        <w:trPr>
          <w:cantSplit/>
        </w:trPr>
        <w:tc>
          <w:tcPr>
            <w:tcW w:w="1991" w:type="dxa"/>
            <w:tcBorders>
              <w:top w:val="single" w:sz="4" w:space="0" w:color="auto"/>
              <w:left w:val="single" w:sz="4" w:space="0" w:color="auto"/>
              <w:bottom w:val="single" w:sz="4" w:space="0" w:color="auto"/>
            </w:tcBorders>
          </w:tcPr>
          <w:p w14:paraId="49864BBC" w14:textId="77777777" w:rsidR="003B7027" w:rsidRPr="00920FF7" w:rsidRDefault="003B7027" w:rsidP="006E5F9A">
            <w:pPr>
              <w:pStyle w:val="TableParagraph"/>
              <w:suppressAutoHyphens/>
              <w:rPr>
                <w:sz w:val="20"/>
                <w:szCs w:val="20"/>
              </w:rPr>
            </w:pPr>
          </w:p>
        </w:tc>
        <w:tc>
          <w:tcPr>
            <w:tcW w:w="1867" w:type="dxa"/>
            <w:tcBorders>
              <w:top w:val="single" w:sz="4" w:space="0" w:color="auto"/>
              <w:bottom w:val="single" w:sz="4" w:space="0" w:color="auto"/>
              <w:right w:val="single" w:sz="4" w:space="0" w:color="auto"/>
            </w:tcBorders>
          </w:tcPr>
          <w:p w14:paraId="40143CD2" w14:textId="77777777" w:rsidR="003B7027" w:rsidRPr="00920FF7" w:rsidRDefault="00296A74" w:rsidP="006E5F9A">
            <w:pPr>
              <w:pStyle w:val="TableParagraph"/>
              <w:suppressAutoHyphens/>
              <w:rPr>
                <w:sz w:val="20"/>
                <w:szCs w:val="20"/>
              </w:rPr>
            </w:pPr>
            <w:r w:rsidRPr="00920FF7">
              <w:rPr>
                <w:sz w:val="20"/>
                <w:szCs w:val="20"/>
              </w:rPr>
              <w:t>ACR50, n (%)</w:t>
            </w:r>
          </w:p>
        </w:tc>
        <w:tc>
          <w:tcPr>
            <w:tcW w:w="1347" w:type="dxa"/>
            <w:tcBorders>
              <w:top w:val="single" w:sz="4" w:space="0" w:color="auto"/>
              <w:left w:val="single" w:sz="4" w:space="0" w:color="auto"/>
              <w:bottom w:val="single" w:sz="4" w:space="0" w:color="auto"/>
              <w:right w:val="single" w:sz="4" w:space="0" w:color="auto"/>
            </w:tcBorders>
          </w:tcPr>
          <w:p w14:paraId="636E0FBD" w14:textId="77777777" w:rsidR="003B7027" w:rsidRPr="00920FF7" w:rsidRDefault="00296A74" w:rsidP="006E5F9A">
            <w:pPr>
              <w:pStyle w:val="TableParagraph"/>
              <w:suppressAutoHyphens/>
              <w:jc w:val="center"/>
              <w:rPr>
                <w:sz w:val="20"/>
                <w:szCs w:val="20"/>
              </w:rPr>
            </w:pPr>
            <w:r w:rsidRPr="00920FF7">
              <w:rPr>
                <w:sz w:val="20"/>
                <w:szCs w:val="20"/>
              </w:rPr>
              <w:t>162 (55,9)**</w:t>
            </w:r>
          </w:p>
        </w:tc>
        <w:tc>
          <w:tcPr>
            <w:tcW w:w="1453" w:type="dxa"/>
            <w:tcBorders>
              <w:top w:val="single" w:sz="4" w:space="0" w:color="auto"/>
              <w:left w:val="single" w:sz="4" w:space="0" w:color="auto"/>
              <w:bottom w:val="single" w:sz="4" w:space="0" w:color="auto"/>
              <w:right w:val="single" w:sz="4" w:space="0" w:color="auto"/>
            </w:tcBorders>
          </w:tcPr>
          <w:p w14:paraId="105EC27E" w14:textId="77777777" w:rsidR="003B7027" w:rsidRPr="00920FF7" w:rsidRDefault="00296A74" w:rsidP="006E5F9A">
            <w:pPr>
              <w:pStyle w:val="TableParagraph"/>
              <w:suppressAutoHyphens/>
              <w:jc w:val="center"/>
              <w:rPr>
                <w:sz w:val="20"/>
                <w:szCs w:val="20"/>
              </w:rPr>
            </w:pPr>
            <w:r w:rsidRPr="00920FF7">
              <w:rPr>
                <w:sz w:val="20"/>
                <w:szCs w:val="20"/>
              </w:rPr>
              <w:t>144 (49,3)</w:t>
            </w:r>
          </w:p>
        </w:tc>
        <w:tc>
          <w:tcPr>
            <w:tcW w:w="1417" w:type="dxa"/>
            <w:tcBorders>
              <w:top w:val="single" w:sz="4" w:space="0" w:color="auto"/>
              <w:left w:val="single" w:sz="4" w:space="0" w:color="auto"/>
              <w:bottom w:val="single" w:sz="4" w:space="0" w:color="auto"/>
              <w:right w:val="single" w:sz="4" w:space="0" w:color="auto"/>
            </w:tcBorders>
          </w:tcPr>
          <w:p w14:paraId="1E5826C7" w14:textId="77777777" w:rsidR="003B7027" w:rsidRPr="00920FF7" w:rsidRDefault="00296A74" w:rsidP="006E5F9A">
            <w:pPr>
              <w:pStyle w:val="TableParagraph"/>
              <w:suppressAutoHyphens/>
              <w:jc w:val="center"/>
              <w:rPr>
                <w:sz w:val="20"/>
                <w:szCs w:val="20"/>
              </w:rPr>
            </w:pPr>
            <w:r w:rsidRPr="00920FF7">
              <w:rPr>
                <w:sz w:val="20"/>
                <w:szCs w:val="20"/>
              </w:rPr>
              <w:t>151 (52,4)</w:t>
            </w:r>
          </w:p>
        </w:tc>
        <w:tc>
          <w:tcPr>
            <w:tcW w:w="1138" w:type="dxa"/>
            <w:tcBorders>
              <w:top w:val="single" w:sz="4" w:space="0" w:color="auto"/>
              <w:left w:val="single" w:sz="4" w:space="0" w:color="auto"/>
              <w:bottom w:val="single" w:sz="4" w:space="0" w:color="auto"/>
              <w:right w:val="single" w:sz="4" w:space="0" w:color="auto"/>
            </w:tcBorders>
          </w:tcPr>
          <w:p w14:paraId="36D47350" w14:textId="77777777" w:rsidR="003B7027" w:rsidRPr="00920FF7" w:rsidRDefault="00296A74" w:rsidP="006E5F9A">
            <w:pPr>
              <w:pStyle w:val="TableParagraph"/>
              <w:suppressAutoHyphens/>
              <w:jc w:val="center"/>
              <w:rPr>
                <w:sz w:val="20"/>
                <w:szCs w:val="20"/>
              </w:rPr>
            </w:pPr>
            <w:r w:rsidRPr="00920FF7">
              <w:rPr>
                <w:sz w:val="20"/>
                <w:szCs w:val="20"/>
              </w:rPr>
              <w:t>117 (40,8)</w:t>
            </w:r>
          </w:p>
        </w:tc>
      </w:tr>
      <w:tr w:rsidR="003B7027" w:rsidRPr="00777B93" w14:paraId="1B849448" w14:textId="77777777" w:rsidTr="00BF6076">
        <w:trPr>
          <w:cantSplit/>
        </w:trPr>
        <w:tc>
          <w:tcPr>
            <w:tcW w:w="1991" w:type="dxa"/>
            <w:tcBorders>
              <w:top w:val="single" w:sz="4" w:space="0" w:color="auto"/>
              <w:left w:val="single" w:sz="4" w:space="0" w:color="auto"/>
              <w:bottom w:val="single" w:sz="4" w:space="0" w:color="auto"/>
            </w:tcBorders>
          </w:tcPr>
          <w:p w14:paraId="5729E785" w14:textId="77777777" w:rsidR="003B7027" w:rsidRPr="00920FF7" w:rsidRDefault="003B7027" w:rsidP="006E5F9A">
            <w:pPr>
              <w:pStyle w:val="TableParagraph"/>
              <w:suppressAutoHyphens/>
              <w:rPr>
                <w:sz w:val="20"/>
                <w:szCs w:val="20"/>
              </w:rPr>
            </w:pPr>
          </w:p>
        </w:tc>
        <w:tc>
          <w:tcPr>
            <w:tcW w:w="1867" w:type="dxa"/>
            <w:tcBorders>
              <w:top w:val="single" w:sz="4" w:space="0" w:color="auto"/>
              <w:bottom w:val="single" w:sz="4" w:space="0" w:color="auto"/>
              <w:right w:val="single" w:sz="4" w:space="0" w:color="auto"/>
            </w:tcBorders>
          </w:tcPr>
          <w:p w14:paraId="7DA3ABCF" w14:textId="77777777" w:rsidR="003B7027" w:rsidRPr="00920FF7" w:rsidRDefault="00296A74" w:rsidP="006E5F9A">
            <w:pPr>
              <w:pStyle w:val="TableParagraph"/>
              <w:suppressAutoHyphens/>
              <w:rPr>
                <w:sz w:val="20"/>
                <w:szCs w:val="20"/>
              </w:rPr>
            </w:pPr>
            <w:r w:rsidRPr="00920FF7">
              <w:rPr>
                <w:sz w:val="20"/>
                <w:szCs w:val="20"/>
              </w:rPr>
              <w:t>ACR70, n (%)</w:t>
            </w:r>
          </w:p>
        </w:tc>
        <w:tc>
          <w:tcPr>
            <w:tcW w:w="1347" w:type="dxa"/>
            <w:tcBorders>
              <w:top w:val="single" w:sz="4" w:space="0" w:color="auto"/>
              <w:left w:val="single" w:sz="4" w:space="0" w:color="auto"/>
              <w:bottom w:val="single" w:sz="4" w:space="0" w:color="auto"/>
              <w:right w:val="single" w:sz="4" w:space="0" w:color="auto"/>
            </w:tcBorders>
          </w:tcPr>
          <w:p w14:paraId="0B0323E1" w14:textId="77777777" w:rsidR="003B7027" w:rsidRPr="00920FF7" w:rsidRDefault="00296A74" w:rsidP="006E5F9A">
            <w:pPr>
              <w:pStyle w:val="TableParagraph"/>
              <w:suppressAutoHyphens/>
              <w:jc w:val="center"/>
              <w:rPr>
                <w:sz w:val="20"/>
                <w:szCs w:val="20"/>
              </w:rPr>
            </w:pPr>
            <w:r w:rsidRPr="00920FF7">
              <w:rPr>
                <w:sz w:val="20"/>
                <w:szCs w:val="20"/>
              </w:rPr>
              <w:t>125 (43,1)**</w:t>
            </w:r>
          </w:p>
        </w:tc>
        <w:tc>
          <w:tcPr>
            <w:tcW w:w="1453" w:type="dxa"/>
            <w:tcBorders>
              <w:top w:val="single" w:sz="4" w:space="0" w:color="auto"/>
              <w:left w:val="single" w:sz="4" w:space="0" w:color="auto"/>
              <w:bottom w:val="single" w:sz="4" w:space="0" w:color="auto"/>
              <w:right w:val="single" w:sz="4" w:space="0" w:color="auto"/>
            </w:tcBorders>
          </w:tcPr>
          <w:p w14:paraId="12843600" w14:textId="77777777" w:rsidR="003B7027" w:rsidRPr="00920FF7" w:rsidRDefault="00296A74" w:rsidP="006E5F9A">
            <w:pPr>
              <w:pStyle w:val="TableParagraph"/>
              <w:suppressAutoHyphens/>
              <w:jc w:val="center"/>
              <w:rPr>
                <w:sz w:val="20"/>
                <w:szCs w:val="20"/>
              </w:rPr>
            </w:pPr>
            <w:r w:rsidRPr="00920FF7">
              <w:rPr>
                <w:sz w:val="20"/>
                <w:szCs w:val="20"/>
              </w:rPr>
              <w:t>105 (36,0)</w:t>
            </w:r>
          </w:p>
        </w:tc>
        <w:tc>
          <w:tcPr>
            <w:tcW w:w="1417" w:type="dxa"/>
            <w:tcBorders>
              <w:top w:val="single" w:sz="4" w:space="0" w:color="auto"/>
              <w:left w:val="single" w:sz="4" w:space="0" w:color="auto"/>
              <w:bottom w:val="single" w:sz="4" w:space="0" w:color="auto"/>
              <w:right w:val="single" w:sz="4" w:space="0" w:color="auto"/>
            </w:tcBorders>
          </w:tcPr>
          <w:p w14:paraId="75184782" w14:textId="77777777" w:rsidR="003B7027" w:rsidRPr="00920FF7" w:rsidRDefault="00296A74" w:rsidP="006E5F9A">
            <w:pPr>
              <w:pStyle w:val="TableParagraph"/>
              <w:suppressAutoHyphens/>
              <w:jc w:val="center"/>
              <w:rPr>
                <w:sz w:val="20"/>
                <w:szCs w:val="20"/>
              </w:rPr>
            </w:pPr>
            <w:r w:rsidRPr="00920FF7">
              <w:rPr>
                <w:sz w:val="20"/>
                <w:szCs w:val="20"/>
              </w:rPr>
              <w:t>107 (37,2)</w:t>
            </w:r>
          </w:p>
        </w:tc>
        <w:tc>
          <w:tcPr>
            <w:tcW w:w="1138" w:type="dxa"/>
            <w:tcBorders>
              <w:top w:val="single" w:sz="4" w:space="0" w:color="auto"/>
              <w:left w:val="single" w:sz="4" w:space="0" w:color="auto"/>
              <w:bottom w:val="single" w:sz="4" w:space="0" w:color="auto"/>
              <w:right w:val="single" w:sz="4" w:space="0" w:color="auto"/>
            </w:tcBorders>
          </w:tcPr>
          <w:p w14:paraId="3F7C3831" w14:textId="77777777" w:rsidR="003B7027" w:rsidRPr="00920FF7" w:rsidRDefault="00296A74" w:rsidP="006E5F9A">
            <w:pPr>
              <w:pStyle w:val="TableParagraph"/>
              <w:suppressAutoHyphens/>
              <w:jc w:val="center"/>
              <w:rPr>
                <w:sz w:val="20"/>
                <w:szCs w:val="20"/>
              </w:rPr>
            </w:pPr>
            <w:r w:rsidRPr="00920FF7">
              <w:rPr>
                <w:sz w:val="20"/>
                <w:szCs w:val="20"/>
              </w:rPr>
              <w:t>83 (28,9)</w:t>
            </w:r>
          </w:p>
        </w:tc>
      </w:tr>
      <w:tr w:rsidR="00AB4AF0" w:rsidRPr="00ED6BAC" w14:paraId="03504F33" w14:textId="77777777" w:rsidTr="00BF6076">
        <w:trPr>
          <w:cantSplit/>
        </w:trPr>
        <w:tc>
          <w:tcPr>
            <w:tcW w:w="3858" w:type="dxa"/>
            <w:gridSpan w:val="2"/>
            <w:tcBorders>
              <w:top w:val="single" w:sz="4" w:space="0" w:color="auto"/>
              <w:left w:val="single" w:sz="4" w:space="0" w:color="000000"/>
              <w:bottom w:val="single" w:sz="4" w:space="0" w:color="auto"/>
              <w:right w:val="single" w:sz="4" w:space="0" w:color="auto"/>
            </w:tcBorders>
          </w:tcPr>
          <w:p w14:paraId="483957E3" w14:textId="77777777" w:rsidR="00AB4AF0" w:rsidRPr="00920FF7" w:rsidRDefault="00AB4AF0" w:rsidP="006E5F9A">
            <w:pPr>
              <w:pStyle w:val="TableParagraph"/>
              <w:suppressAutoHyphens/>
              <w:rPr>
                <w:sz w:val="20"/>
                <w:szCs w:val="20"/>
              </w:rPr>
            </w:pPr>
            <w:r w:rsidRPr="00920FF7">
              <w:rPr>
                <w:sz w:val="20"/>
                <w:szCs w:val="20"/>
              </w:rPr>
              <w:t>HAQ-DI (korjattu keskimääräinen muutos lähtötilanteesta)</w:t>
            </w:r>
          </w:p>
        </w:tc>
        <w:tc>
          <w:tcPr>
            <w:tcW w:w="1347" w:type="dxa"/>
            <w:tcBorders>
              <w:top w:val="single" w:sz="4" w:space="0" w:color="auto"/>
              <w:left w:val="single" w:sz="4" w:space="0" w:color="000000"/>
              <w:bottom w:val="single" w:sz="4" w:space="0" w:color="auto"/>
              <w:right w:val="single" w:sz="4" w:space="0" w:color="auto"/>
            </w:tcBorders>
          </w:tcPr>
          <w:p w14:paraId="5AED6F1D" w14:textId="77777777" w:rsidR="00AB4AF0" w:rsidRPr="00920FF7" w:rsidRDefault="00AB4AF0" w:rsidP="006E5F9A">
            <w:pPr>
              <w:pStyle w:val="TableParagraph"/>
              <w:suppressAutoHyphens/>
              <w:rPr>
                <w:sz w:val="20"/>
                <w:szCs w:val="20"/>
              </w:rPr>
            </w:pPr>
          </w:p>
        </w:tc>
        <w:tc>
          <w:tcPr>
            <w:tcW w:w="1453" w:type="dxa"/>
            <w:tcBorders>
              <w:top w:val="single" w:sz="4" w:space="0" w:color="auto"/>
              <w:left w:val="single" w:sz="4" w:space="0" w:color="000000"/>
              <w:bottom w:val="single" w:sz="4" w:space="0" w:color="auto"/>
              <w:right w:val="single" w:sz="4" w:space="0" w:color="auto"/>
            </w:tcBorders>
          </w:tcPr>
          <w:p w14:paraId="61CC8898" w14:textId="77777777" w:rsidR="00AB4AF0" w:rsidRPr="00920FF7" w:rsidRDefault="00AB4AF0" w:rsidP="006E5F9A">
            <w:pPr>
              <w:pStyle w:val="TableParagraph"/>
              <w:suppressAutoHyphens/>
              <w:rPr>
                <w:sz w:val="20"/>
                <w:szCs w:val="20"/>
              </w:rPr>
            </w:pPr>
          </w:p>
        </w:tc>
        <w:tc>
          <w:tcPr>
            <w:tcW w:w="1417" w:type="dxa"/>
            <w:tcBorders>
              <w:top w:val="single" w:sz="4" w:space="0" w:color="auto"/>
              <w:left w:val="single" w:sz="4" w:space="0" w:color="000000"/>
              <w:bottom w:val="single" w:sz="4" w:space="0" w:color="auto"/>
              <w:right w:val="single" w:sz="4" w:space="0" w:color="auto"/>
            </w:tcBorders>
          </w:tcPr>
          <w:p w14:paraId="7EA11FFB" w14:textId="77777777" w:rsidR="00AB4AF0" w:rsidRPr="00920FF7" w:rsidRDefault="00AB4AF0" w:rsidP="006E5F9A">
            <w:pPr>
              <w:pStyle w:val="TableParagraph"/>
              <w:suppressAutoHyphens/>
              <w:rPr>
                <w:sz w:val="20"/>
                <w:szCs w:val="20"/>
              </w:rPr>
            </w:pPr>
          </w:p>
        </w:tc>
        <w:tc>
          <w:tcPr>
            <w:tcW w:w="1138" w:type="dxa"/>
            <w:tcBorders>
              <w:top w:val="single" w:sz="4" w:space="0" w:color="auto"/>
              <w:left w:val="single" w:sz="4" w:space="0" w:color="000000"/>
              <w:bottom w:val="single" w:sz="4" w:space="0" w:color="auto"/>
              <w:right w:val="single" w:sz="4" w:space="0" w:color="auto"/>
            </w:tcBorders>
          </w:tcPr>
          <w:p w14:paraId="0654EE8D" w14:textId="77777777" w:rsidR="00AB4AF0" w:rsidRPr="00920FF7" w:rsidRDefault="00AB4AF0" w:rsidP="006E5F9A">
            <w:pPr>
              <w:pStyle w:val="TableParagraph"/>
              <w:suppressAutoHyphens/>
              <w:rPr>
                <w:sz w:val="20"/>
                <w:szCs w:val="20"/>
              </w:rPr>
            </w:pPr>
          </w:p>
        </w:tc>
      </w:tr>
      <w:tr w:rsidR="003B7027" w:rsidRPr="00777B93" w14:paraId="7BBBFB3D" w14:textId="77777777" w:rsidTr="00BF6076">
        <w:trPr>
          <w:cantSplit/>
        </w:trPr>
        <w:tc>
          <w:tcPr>
            <w:tcW w:w="3858" w:type="dxa"/>
            <w:gridSpan w:val="2"/>
            <w:tcBorders>
              <w:top w:val="single" w:sz="4" w:space="0" w:color="auto"/>
              <w:left w:val="single" w:sz="4" w:space="0" w:color="000000"/>
              <w:bottom w:val="single" w:sz="8" w:space="0" w:color="000000"/>
              <w:right w:val="single" w:sz="4" w:space="0" w:color="auto"/>
            </w:tcBorders>
          </w:tcPr>
          <w:p w14:paraId="3AFAFEF1" w14:textId="77777777" w:rsidR="003B7027" w:rsidRPr="00920FF7" w:rsidRDefault="00296A74" w:rsidP="00A71F3E">
            <w:pPr>
              <w:pStyle w:val="TableParagraph"/>
              <w:suppressAutoHyphens/>
              <w:ind w:left="284"/>
              <w:rPr>
                <w:sz w:val="20"/>
                <w:szCs w:val="20"/>
              </w:rPr>
            </w:pPr>
            <w:r w:rsidRPr="00920FF7">
              <w:rPr>
                <w:sz w:val="20"/>
                <w:szCs w:val="20"/>
              </w:rPr>
              <w:t>Viikko 52</w:t>
            </w:r>
          </w:p>
        </w:tc>
        <w:tc>
          <w:tcPr>
            <w:tcW w:w="1347" w:type="dxa"/>
            <w:tcBorders>
              <w:top w:val="single" w:sz="4" w:space="0" w:color="auto"/>
              <w:left w:val="single" w:sz="4" w:space="0" w:color="auto"/>
              <w:bottom w:val="single" w:sz="4" w:space="0" w:color="auto"/>
              <w:right w:val="single" w:sz="4" w:space="0" w:color="auto"/>
            </w:tcBorders>
          </w:tcPr>
          <w:p w14:paraId="4A132BDC" w14:textId="77777777" w:rsidR="003B7027" w:rsidRPr="00920FF7" w:rsidRDefault="00296A74" w:rsidP="006E5F9A">
            <w:pPr>
              <w:pStyle w:val="TableParagraph"/>
              <w:suppressAutoHyphens/>
              <w:jc w:val="center"/>
              <w:rPr>
                <w:sz w:val="20"/>
                <w:szCs w:val="20"/>
              </w:rPr>
            </w:pPr>
            <w:r w:rsidRPr="00920FF7">
              <w:rPr>
                <w:sz w:val="20"/>
                <w:szCs w:val="20"/>
              </w:rPr>
              <w:t>-0,81*</w:t>
            </w:r>
          </w:p>
        </w:tc>
        <w:tc>
          <w:tcPr>
            <w:tcW w:w="1453" w:type="dxa"/>
            <w:tcBorders>
              <w:top w:val="single" w:sz="4" w:space="0" w:color="auto"/>
              <w:left w:val="single" w:sz="4" w:space="0" w:color="auto"/>
              <w:bottom w:val="single" w:sz="4" w:space="0" w:color="auto"/>
              <w:right w:val="single" w:sz="4" w:space="0" w:color="auto"/>
            </w:tcBorders>
          </w:tcPr>
          <w:p w14:paraId="5C866C44" w14:textId="77777777" w:rsidR="003B7027" w:rsidRPr="00920FF7" w:rsidRDefault="00296A74" w:rsidP="006E5F9A">
            <w:pPr>
              <w:pStyle w:val="TableParagraph"/>
              <w:suppressAutoHyphens/>
              <w:jc w:val="center"/>
              <w:rPr>
                <w:sz w:val="20"/>
                <w:szCs w:val="20"/>
              </w:rPr>
            </w:pPr>
            <w:r w:rsidRPr="00920FF7">
              <w:rPr>
                <w:sz w:val="20"/>
                <w:szCs w:val="20"/>
              </w:rPr>
              <w:t>-0,67</w:t>
            </w:r>
          </w:p>
        </w:tc>
        <w:tc>
          <w:tcPr>
            <w:tcW w:w="1417" w:type="dxa"/>
            <w:tcBorders>
              <w:top w:val="single" w:sz="4" w:space="0" w:color="auto"/>
              <w:left w:val="single" w:sz="4" w:space="0" w:color="auto"/>
              <w:bottom w:val="single" w:sz="4" w:space="0" w:color="auto"/>
              <w:right w:val="single" w:sz="4" w:space="0" w:color="auto"/>
            </w:tcBorders>
          </w:tcPr>
          <w:p w14:paraId="2BF44246" w14:textId="77777777" w:rsidR="003B7027" w:rsidRPr="00920FF7" w:rsidRDefault="00296A74" w:rsidP="006E5F9A">
            <w:pPr>
              <w:pStyle w:val="TableParagraph"/>
              <w:suppressAutoHyphens/>
              <w:jc w:val="center"/>
              <w:rPr>
                <w:sz w:val="20"/>
                <w:szCs w:val="20"/>
              </w:rPr>
            </w:pPr>
            <w:r w:rsidRPr="00920FF7">
              <w:rPr>
                <w:sz w:val="20"/>
                <w:szCs w:val="20"/>
              </w:rPr>
              <w:t>-0,75</w:t>
            </w:r>
          </w:p>
        </w:tc>
        <w:tc>
          <w:tcPr>
            <w:tcW w:w="1138" w:type="dxa"/>
            <w:tcBorders>
              <w:top w:val="single" w:sz="4" w:space="0" w:color="auto"/>
              <w:left w:val="single" w:sz="4" w:space="0" w:color="auto"/>
              <w:bottom w:val="single" w:sz="4" w:space="0" w:color="auto"/>
              <w:right w:val="single" w:sz="4" w:space="0" w:color="auto"/>
            </w:tcBorders>
          </w:tcPr>
          <w:p w14:paraId="549F3B8A" w14:textId="77777777" w:rsidR="003B7027" w:rsidRPr="00920FF7" w:rsidRDefault="00296A74" w:rsidP="006E5F9A">
            <w:pPr>
              <w:pStyle w:val="TableParagraph"/>
              <w:suppressAutoHyphens/>
              <w:jc w:val="center"/>
              <w:rPr>
                <w:sz w:val="20"/>
                <w:szCs w:val="20"/>
              </w:rPr>
            </w:pPr>
            <w:r w:rsidRPr="00920FF7">
              <w:rPr>
                <w:sz w:val="20"/>
                <w:szCs w:val="20"/>
              </w:rPr>
              <w:t>-0,64</w:t>
            </w:r>
          </w:p>
        </w:tc>
      </w:tr>
      <w:tr w:rsidR="00AB4AF0" w:rsidRPr="00ED6BAC" w14:paraId="7033DF38" w14:textId="77777777" w:rsidTr="00BF6076">
        <w:trPr>
          <w:cantSplit/>
        </w:trPr>
        <w:tc>
          <w:tcPr>
            <w:tcW w:w="9213" w:type="dxa"/>
            <w:gridSpan w:val="6"/>
            <w:tcBorders>
              <w:top w:val="single" w:sz="4" w:space="0" w:color="auto"/>
              <w:left w:val="single" w:sz="4" w:space="0" w:color="000000"/>
              <w:bottom w:val="single" w:sz="4" w:space="0" w:color="auto"/>
              <w:right w:val="single" w:sz="8" w:space="0" w:color="000000"/>
            </w:tcBorders>
          </w:tcPr>
          <w:p w14:paraId="75A258C1" w14:textId="77777777" w:rsidR="00AB4AF0" w:rsidRPr="00920FF7" w:rsidRDefault="00AB4AF0" w:rsidP="006E5F9A">
            <w:pPr>
              <w:pStyle w:val="TableParagraph"/>
              <w:suppressAutoHyphens/>
              <w:rPr>
                <w:b/>
                <w:sz w:val="20"/>
                <w:szCs w:val="20"/>
              </w:rPr>
            </w:pPr>
            <w:r w:rsidRPr="00920FF7">
              <w:rPr>
                <w:b/>
                <w:sz w:val="20"/>
                <w:szCs w:val="20"/>
              </w:rPr>
              <w:t>Radiologiset päätetapahtumat (keskimääräinen muutos lähtötilanteesta)</w:t>
            </w:r>
          </w:p>
        </w:tc>
      </w:tr>
      <w:tr w:rsidR="003B7027" w:rsidRPr="00777B93" w14:paraId="0677FB58" w14:textId="77777777" w:rsidTr="00BF6076">
        <w:trPr>
          <w:cantSplit/>
        </w:trPr>
        <w:tc>
          <w:tcPr>
            <w:tcW w:w="1991" w:type="dxa"/>
            <w:tcBorders>
              <w:top w:val="single" w:sz="4" w:space="0" w:color="auto"/>
              <w:left w:val="single" w:sz="4" w:space="0" w:color="auto"/>
              <w:bottom w:val="single" w:sz="4" w:space="0" w:color="auto"/>
            </w:tcBorders>
          </w:tcPr>
          <w:p w14:paraId="110751F8" w14:textId="77777777" w:rsidR="003B7027" w:rsidRPr="00920FF7" w:rsidRDefault="00296A74" w:rsidP="00A71F3E">
            <w:pPr>
              <w:pStyle w:val="TableParagraph"/>
              <w:suppressAutoHyphens/>
              <w:ind w:left="284"/>
              <w:rPr>
                <w:sz w:val="20"/>
                <w:szCs w:val="20"/>
              </w:rPr>
            </w:pPr>
            <w:r w:rsidRPr="00920FF7">
              <w:rPr>
                <w:sz w:val="20"/>
                <w:szCs w:val="20"/>
              </w:rPr>
              <w:t>Viikko 52</w:t>
            </w:r>
          </w:p>
        </w:tc>
        <w:tc>
          <w:tcPr>
            <w:tcW w:w="1867" w:type="dxa"/>
            <w:tcBorders>
              <w:top w:val="single" w:sz="4" w:space="0" w:color="auto"/>
              <w:left w:val="nil"/>
              <w:bottom w:val="single" w:sz="4" w:space="0" w:color="auto"/>
              <w:right w:val="single" w:sz="4" w:space="0" w:color="auto"/>
            </w:tcBorders>
          </w:tcPr>
          <w:p w14:paraId="60E05CDA" w14:textId="77777777" w:rsidR="003B7027" w:rsidRPr="00920FF7" w:rsidRDefault="00296A74" w:rsidP="006E5F9A">
            <w:pPr>
              <w:pStyle w:val="TableParagraph"/>
              <w:suppressAutoHyphens/>
              <w:jc w:val="center"/>
              <w:rPr>
                <w:sz w:val="20"/>
                <w:szCs w:val="20"/>
              </w:rPr>
            </w:pPr>
            <w:r w:rsidRPr="00920FF7">
              <w:rPr>
                <w:sz w:val="20"/>
                <w:szCs w:val="20"/>
              </w:rPr>
              <w:t>mTSS</w:t>
            </w:r>
          </w:p>
        </w:tc>
        <w:tc>
          <w:tcPr>
            <w:tcW w:w="1347" w:type="dxa"/>
            <w:tcBorders>
              <w:top w:val="single" w:sz="4" w:space="0" w:color="auto"/>
              <w:left w:val="single" w:sz="4" w:space="0" w:color="auto"/>
              <w:bottom w:val="single" w:sz="4" w:space="0" w:color="auto"/>
              <w:right w:val="single" w:sz="4" w:space="0" w:color="auto"/>
            </w:tcBorders>
          </w:tcPr>
          <w:p w14:paraId="1A56F528" w14:textId="77777777" w:rsidR="003B7027" w:rsidRPr="00920FF7" w:rsidRDefault="00296A74" w:rsidP="006E5F9A">
            <w:pPr>
              <w:pStyle w:val="TableParagraph"/>
              <w:suppressAutoHyphens/>
              <w:jc w:val="center"/>
              <w:rPr>
                <w:sz w:val="20"/>
                <w:szCs w:val="20"/>
              </w:rPr>
            </w:pPr>
            <w:r w:rsidRPr="00920FF7">
              <w:rPr>
                <w:sz w:val="20"/>
                <w:szCs w:val="20"/>
              </w:rPr>
              <w:t>0,08***</w:t>
            </w:r>
          </w:p>
        </w:tc>
        <w:tc>
          <w:tcPr>
            <w:tcW w:w="1453" w:type="dxa"/>
            <w:tcBorders>
              <w:top w:val="single" w:sz="4" w:space="0" w:color="auto"/>
              <w:left w:val="single" w:sz="4" w:space="0" w:color="auto"/>
              <w:bottom w:val="single" w:sz="4" w:space="0" w:color="auto"/>
              <w:right w:val="single" w:sz="4" w:space="0" w:color="auto"/>
            </w:tcBorders>
          </w:tcPr>
          <w:p w14:paraId="1507D0D5" w14:textId="77777777" w:rsidR="003B7027" w:rsidRPr="00920FF7" w:rsidRDefault="00296A74" w:rsidP="006E5F9A">
            <w:pPr>
              <w:pStyle w:val="TableParagraph"/>
              <w:suppressAutoHyphens/>
              <w:jc w:val="center"/>
              <w:rPr>
                <w:sz w:val="20"/>
                <w:szCs w:val="20"/>
              </w:rPr>
            </w:pPr>
            <w:r w:rsidRPr="00920FF7">
              <w:rPr>
                <w:sz w:val="20"/>
                <w:szCs w:val="20"/>
              </w:rPr>
              <w:t>0,26</w:t>
            </w:r>
          </w:p>
        </w:tc>
        <w:tc>
          <w:tcPr>
            <w:tcW w:w="1417" w:type="dxa"/>
            <w:tcBorders>
              <w:top w:val="single" w:sz="4" w:space="0" w:color="auto"/>
              <w:left w:val="single" w:sz="4" w:space="0" w:color="auto"/>
              <w:bottom w:val="single" w:sz="4" w:space="0" w:color="auto"/>
              <w:right w:val="single" w:sz="4" w:space="0" w:color="auto"/>
            </w:tcBorders>
          </w:tcPr>
          <w:p w14:paraId="67E331ED" w14:textId="77777777" w:rsidR="003B7027" w:rsidRPr="00920FF7" w:rsidRDefault="00296A74" w:rsidP="006E5F9A">
            <w:pPr>
              <w:pStyle w:val="TableParagraph"/>
              <w:suppressAutoHyphens/>
              <w:jc w:val="center"/>
              <w:rPr>
                <w:sz w:val="20"/>
                <w:szCs w:val="20"/>
              </w:rPr>
            </w:pPr>
            <w:r w:rsidRPr="00920FF7">
              <w:rPr>
                <w:sz w:val="20"/>
                <w:szCs w:val="20"/>
              </w:rPr>
              <w:t>0,42</w:t>
            </w:r>
          </w:p>
        </w:tc>
        <w:tc>
          <w:tcPr>
            <w:tcW w:w="1138" w:type="dxa"/>
            <w:tcBorders>
              <w:top w:val="single" w:sz="4" w:space="0" w:color="auto"/>
              <w:left w:val="single" w:sz="4" w:space="0" w:color="auto"/>
              <w:bottom w:val="single" w:sz="4" w:space="0" w:color="auto"/>
              <w:right w:val="single" w:sz="4" w:space="0" w:color="auto"/>
            </w:tcBorders>
          </w:tcPr>
          <w:p w14:paraId="11FF33EE" w14:textId="77777777" w:rsidR="003B7027" w:rsidRPr="00920FF7" w:rsidRDefault="00296A74" w:rsidP="006E5F9A">
            <w:pPr>
              <w:pStyle w:val="TableParagraph"/>
              <w:suppressAutoHyphens/>
              <w:jc w:val="center"/>
              <w:rPr>
                <w:sz w:val="20"/>
                <w:szCs w:val="20"/>
              </w:rPr>
            </w:pPr>
            <w:r w:rsidRPr="00920FF7">
              <w:rPr>
                <w:sz w:val="20"/>
                <w:szCs w:val="20"/>
              </w:rPr>
              <w:t>1,14</w:t>
            </w:r>
          </w:p>
        </w:tc>
      </w:tr>
      <w:tr w:rsidR="003B7027" w:rsidRPr="00777B93" w14:paraId="514AB0C1" w14:textId="77777777" w:rsidTr="00BF6076">
        <w:trPr>
          <w:cantSplit/>
        </w:trPr>
        <w:tc>
          <w:tcPr>
            <w:tcW w:w="1991" w:type="dxa"/>
            <w:tcBorders>
              <w:top w:val="single" w:sz="4" w:space="0" w:color="auto"/>
              <w:left w:val="single" w:sz="4" w:space="0" w:color="auto"/>
              <w:bottom w:val="single" w:sz="4" w:space="0" w:color="auto"/>
            </w:tcBorders>
          </w:tcPr>
          <w:p w14:paraId="43F21631" w14:textId="77777777" w:rsidR="003B7027" w:rsidRPr="00920FF7" w:rsidRDefault="003B7027" w:rsidP="006E5F9A">
            <w:pPr>
              <w:pStyle w:val="TableParagraph"/>
              <w:suppressAutoHyphens/>
              <w:rPr>
                <w:sz w:val="20"/>
                <w:szCs w:val="20"/>
              </w:rPr>
            </w:pPr>
          </w:p>
        </w:tc>
        <w:tc>
          <w:tcPr>
            <w:tcW w:w="1867" w:type="dxa"/>
            <w:tcBorders>
              <w:top w:val="single" w:sz="4" w:space="0" w:color="auto"/>
              <w:left w:val="nil"/>
              <w:bottom w:val="single" w:sz="4" w:space="0" w:color="auto"/>
              <w:right w:val="single" w:sz="4" w:space="0" w:color="auto"/>
            </w:tcBorders>
          </w:tcPr>
          <w:p w14:paraId="394A2A9F" w14:textId="77777777" w:rsidR="003B7027" w:rsidRPr="00920FF7" w:rsidRDefault="00296A74" w:rsidP="006E5F9A">
            <w:pPr>
              <w:pStyle w:val="TableParagraph"/>
              <w:suppressAutoHyphens/>
              <w:rPr>
                <w:sz w:val="20"/>
                <w:szCs w:val="20"/>
              </w:rPr>
            </w:pPr>
            <w:r w:rsidRPr="00920FF7">
              <w:rPr>
                <w:sz w:val="20"/>
                <w:szCs w:val="20"/>
              </w:rPr>
              <w:t>Eroosioindeksi</w:t>
            </w:r>
          </w:p>
        </w:tc>
        <w:tc>
          <w:tcPr>
            <w:tcW w:w="1347" w:type="dxa"/>
            <w:tcBorders>
              <w:top w:val="single" w:sz="4" w:space="0" w:color="auto"/>
              <w:left w:val="single" w:sz="4" w:space="0" w:color="auto"/>
              <w:bottom w:val="single" w:sz="4" w:space="0" w:color="auto"/>
              <w:right w:val="single" w:sz="4" w:space="0" w:color="auto"/>
            </w:tcBorders>
          </w:tcPr>
          <w:p w14:paraId="6D51E0EA" w14:textId="77777777" w:rsidR="003B7027" w:rsidRPr="00920FF7" w:rsidRDefault="00296A74" w:rsidP="006E5F9A">
            <w:pPr>
              <w:pStyle w:val="TableParagraph"/>
              <w:suppressAutoHyphens/>
              <w:jc w:val="center"/>
              <w:rPr>
                <w:sz w:val="20"/>
                <w:szCs w:val="20"/>
              </w:rPr>
            </w:pPr>
            <w:r w:rsidRPr="00920FF7">
              <w:rPr>
                <w:sz w:val="20"/>
                <w:szCs w:val="20"/>
              </w:rPr>
              <w:t>0,05**</w:t>
            </w:r>
          </w:p>
        </w:tc>
        <w:tc>
          <w:tcPr>
            <w:tcW w:w="1453" w:type="dxa"/>
            <w:tcBorders>
              <w:top w:val="single" w:sz="4" w:space="0" w:color="auto"/>
              <w:left w:val="single" w:sz="4" w:space="0" w:color="auto"/>
              <w:bottom w:val="single" w:sz="4" w:space="0" w:color="auto"/>
              <w:right w:val="single" w:sz="4" w:space="0" w:color="auto"/>
            </w:tcBorders>
          </w:tcPr>
          <w:p w14:paraId="792E51F6" w14:textId="77777777" w:rsidR="003B7027" w:rsidRPr="00920FF7" w:rsidRDefault="00296A74" w:rsidP="006E5F9A">
            <w:pPr>
              <w:pStyle w:val="TableParagraph"/>
              <w:suppressAutoHyphens/>
              <w:jc w:val="center"/>
              <w:rPr>
                <w:sz w:val="20"/>
                <w:szCs w:val="20"/>
              </w:rPr>
            </w:pPr>
            <w:r w:rsidRPr="00920FF7">
              <w:rPr>
                <w:sz w:val="20"/>
                <w:szCs w:val="20"/>
              </w:rPr>
              <w:t>0,15</w:t>
            </w:r>
          </w:p>
        </w:tc>
        <w:tc>
          <w:tcPr>
            <w:tcW w:w="1417" w:type="dxa"/>
            <w:tcBorders>
              <w:top w:val="single" w:sz="4" w:space="0" w:color="auto"/>
              <w:left w:val="single" w:sz="4" w:space="0" w:color="auto"/>
              <w:bottom w:val="single" w:sz="4" w:space="0" w:color="auto"/>
              <w:right w:val="single" w:sz="4" w:space="0" w:color="auto"/>
            </w:tcBorders>
          </w:tcPr>
          <w:p w14:paraId="010B4C5F" w14:textId="77777777" w:rsidR="003B7027" w:rsidRPr="00920FF7" w:rsidRDefault="00296A74" w:rsidP="006E5F9A">
            <w:pPr>
              <w:pStyle w:val="TableParagraph"/>
              <w:suppressAutoHyphens/>
              <w:jc w:val="center"/>
              <w:rPr>
                <w:sz w:val="20"/>
                <w:szCs w:val="20"/>
              </w:rPr>
            </w:pPr>
            <w:r w:rsidRPr="00920FF7">
              <w:rPr>
                <w:sz w:val="20"/>
                <w:szCs w:val="20"/>
              </w:rPr>
              <w:t>0,25</w:t>
            </w:r>
          </w:p>
        </w:tc>
        <w:tc>
          <w:tcPr>
            <w:tcW w:w="1138" w:type="dxa"/>
            <w:tcBorders>
              <w:top w:val="single" w:sz="4" w:space="0" w:color="auto"/>
              <w:left w:val="single" w:sz="4" w:space="0" w:color="auto"/>
              <w:bottom w:val="single" w:sz="4" w:space="0" w:color="auto"/>
              <w:right w:val="single" w:sz="4" w:space="0" w:color="auto"/>
            </w:tcBorders>
          </w:tcPr>
          <w:p w14:paraId="297D91AF" w14:textId="77777777" w:rsidR="003B7027" w:rsidRPr="00920FF7" w:rsidRDefault="00296A74" w:rsidP="006E5F9A">
            <w:pPr>
              <w:pStyle w:val="TableParagraph"/>
              <w:suppressAutoHyphens/>
              <w:jc w:val="center"/>
              <w:rPr>
                <w:sz w:val="20"/>
                <w:szCs w:val="20"/>
              </w:rPr>
            </w:pPr>
            <w:r w:rsidRPr="00920FF7">
              <w:rPr>
                <w:sz w:val="20"/>
                <w:szCs w:val="20"/>
              </w:rPr>
              <w:t>0,63</w:t>
            </w:r>
          </w:p>
        </w:tc>
      </w:tr>
      <w:tr w:rsidR="003B7027" w:rsidRPr="00777B93" w14:paraId="72172889" w14:textId="77777777" w:rsidTr="00BF6076">
        <w:trPr>
          <w:cantSplit/>
        </w:trPr>
        <w:tc>
          <w:tcPr>
            <w:tcW w:w="1991" w:type="dxa"/>
            <w:tcBorders>
              <w:top w:val="single" w:sz="4" w:space="0" w:color="auto"/>
              <w:left w:val="single" w:sz="4" w:space="0" w:color="auto"/>
              <w:bottom w:val="single" w:sz="4" w:space="0" w:color="auto"/>
            </w:tcBorders>
          </w:tcPr>
          <w:p w14:paraId="396BBAB6" w14:textId="77777777" w:rsidR="003B7027" w:rsidRPr="00920FF7" w:rsidRDefault="003B7027" w:rsidP="006E5F9A">
            <w:pPr>
              <w:pStyle w:val="TableParagraph"/>
              <w:suppressAutoHyphens/>
              <w:rPr>
                <w:sz w:val="20"/>
                <w:szCs w:val="20"/>
              </w:rPr>
            </w:pPr>
          </w:p>
        </w:tc>
        <w:tc>
          <w:tcPr>
            <w:tcW w:w="1867" w:type="dxa"/>
            <w:tcBorders>
              <w:top w:val="single" w:sz="4" w:space="0" w:color="auto"/>
              <w:left w:val="nil"/>
              <w:bottom w:val="single" w:sz="4" w:space="0" w:color="auto"/>
              <w:right w:val="single" w:sz="4" w:space="0" w:color="auto"/>
            </w:tcBorders>
          </w:tcPr>
          <w:p w14:paraId="74E6AB23" w14:textId="77777777" w:rsidR="003B7027" w:rsidRPr="00920FF7" w:rsidRDefault="00296A74" w:rsidP="006E5F9A">
            <w:pPr>
              <w:pStyle w:val="TableParagraph"/>
              <w:suppressAutoHyphens/>
              <w:rPr>
                <w:sz w:val="20"/>
                <w:szCs w:val="20"/>
              </w:rPr>
            </w:pPr>
            <w:r w:rsidRPr="00920FF7">
              <w:rPr>
                <w:sz w:val="20"/>
                <w:szCs w:val="20"/>
              </w:rPr>
              <w:t>Nivelraon kaventuminen</w:t>
            </w:r>
          </w:p>
        </w:tc>
        <w:tc>
          <w:tcPr>
            <w:tcW w:w="1347" w:type="dxa"/>
            <w:tcBorders>
              <w:top w:val="single" w:sz="4" w:space="0" w:color="auto"/>
              <w:left w:val="single" w:sz="4" w:space="0" w:color="auto"/>
              <w:bottom w:val="single" w:sz="4" w:space="0" w:color="auto"/>
              <w:right w:val="single" w:sz="4" w:space="0" w:color="auto"/>
            </w:tcBorders>
          </w:tcPr>
          <w:p w14:paraId="50404172" w14:textId="77777777" w:rsidR="003B7027" w:rsidRPr="00920FF7" w:rsidRDefault="00296A74" w:rsidP="006E5F9A">
            <w:pPr>
              <w:pStyle w:val="TableParagraph"/>
              <w:suppressAutoHyphens/>
              <w:jc w:val="center"/>
              <w:rPr>
                <w:sz w:val="20"/>
                <w:szCs w:val="20"/>
              </w:rPr>
            </w:pPr>
            <w:r w:rsidRPr="00920FF7">
              <w:rPr>
                <w:sz w:val="20"/>
                <w:szCs w:val="20"/>
              </w:rPr>
              <w:t>0,03</w:t>
            </w:r>
          </w:p>
        </w:tc>
        <w:tc>
          <w:tcPr>
            <w:tcW w:w="1453" w:type="dxa"/>
            <w:tcBorders>
              <w:top w:val="single" w:sz="4" w:space="0" w:color="auto"/>
              <w:left w:val="single" w:sz="4" w:space="0" w:color="auto"/>
              <w:bottom w:val="single" w:sz="4" w:space="0" w:color="auto"/>
              <w:right w:val="single" w:sz="4" w:space="0" w:color="auto"/>
            </w:tcBorders>
          </w:tcPr>
          <w:p w14:paraId="4C1B8343" w14:textId="77777777" w:rsidR="003B7027" w:rsidRPr="00920FF7" w:rsidRDefault="00296A74" w:rsidP="006E5F9A">
            <w:pPr>
              <w:pStyle w:val="TableParagraph"/>
              <w:suppressAutoHyphens/>
              <w:jc w:val="center"/>
              <w:rPr>
                <w:sz w:val="20"/>
                <w:szCs w:val="20"/>
              </w:rPr>
            </w:pPr>
            <w:r w:rsidRPr="00920FF7">
              <w:rPr>
                <w:sz w:val="20"/>
                <w:szCs w:val="20"/>
              </w:rPr>
              <w:t>0,11</w:t>
            </w:r>
          </w:p>
        </w:tc>
        <w:tc>
          <w:tcPr>
            <w:tcW w:w="1417" w:type="dxa"/>
            <w:tcBorders>
              <w:top w:val="single" w:sz="4" w:space="0" w:color="auto"/>
              <w:left w:val="single" w:sz="4" w:space="0" w:color="auto"/>
              <w:bottom w:val="single" w:sz="4" w:space="0" w:color="auto"/>
              <w:right w:val="single" w:sz="4" w:space="0" w:color="auto"/>
            </w:tcBorders>
          </w:tcPr>
          <w:p w14:paraId="56877ACE" w14:textId="77777777" w:rsidR="003B7027" w:rsidRPr="00920FF7" w:rsidRDefault="00296A74" w:rsidP="006E5F9A">
            <w:pPr>
              <w:pStyle w:val="TableParagraph"/>
              <w:suppressAutoHyphens/>
              <w:jc w:val="center"/>
              <w:rPr>
                <w:sz w:val="20"/>
                <w:szCs w:val="20"/>
              </w:rPr>
            </w:pPr>
            <w:r w:rsidRPr="00920FF7">
              <w:rPr>
                <w:sz w:val="20"/>
                <w:szCs w:val="20"/>
              </w:rPr>
              <w:t>0,17</w:t>
            </w:r>
          </w:p>
        </w:tc>
        <w:tc>
          <w:tcPr>
            <w:tcW w:w="1138" w:type="dxa"/>
            <w:tcBorders>
              <w:top w:val="single" w:sz="4" w:space="0" w:color="auto"/>
              <w:left w:val="single" w:sz="4" w:space="0" w:color="auto"/>
              <w:bottom w:val="single" w:sz="4" w:space="0" w:color="auto"/>
              <w:right w:val="single" w:sz="4" w:space="0" w:color="auto"/>
            </w:tcBorders>
          </w:tcPr>
          <w:p w14:paraId="267F0608" w14:textId="77777777" w:rsidR="003B7027" w:rsidRPr="00920FF7" w:rsidRDefault="00296A74" w:rsidP="006E5F9A">
            <w:pPr>
              <w:pStyle w:val="TableParagraph"/>
              <w:suppressAutoHyphens/>
              <w:jc w:val="center"/>
              <w:rPr>
                <w:sz w:val="20"/>
                <w:szCs w:val="20"/>
              </w:rPr>
            </w:pPr>
            <w:r w:rsidRPr="00920FF7">
              <w:rPr>
                <w:sz w:val="20"/>
                <w:szCs w:val="20"/>
              </w:rPr>
              <w:t>0,51</w:t>
            </w:r>
          </w:p>
        </w:tc>
      </w:tr>
      <w:tr w:rsidR="003B7027" w:rsidRPr="00777B93" w14:paraId="0C9200B4" w14:textId="77777777" w:rsidTr="00BF6076">
        <w:trPr>
          <w:cantSplit/>
        </w:trPr>
        <w:tc>
          <w:tcPr>
            <w:tcW w:w="3858" w:type="dxa"/>
            <w:gridSpan w:val="2"/>
            <w:tcBorders>
              <w:top w:val="single" w:sz="4" w:space="0" w:color="auto"/>
              <w:left w:val="single" w:sz="4" w:space="0" w:color="auto"/>
              <w:bottom w:val="single" w:sz="4" w:space="0" w:color="auto"/>
              <w:right w:val="single" w:sz="4" w:space="0" w:color="auto"/>
            </w:tcBorders>
          </w:tcPr>
          <w:p w14:paraId="7D7B027B" w14:textId="77777777" w:rsidR="003B7027" w:rsidRPr="00920FF7" w:rsidRDefault="00296A74" w:rsidP="006E5F9A">
            <w:pPr>
              <w:pStyle w:val="TableParagraph"/>
              <w:suppressAutoHyphens/>
              <w:jc w:val="right"/>
              <w:rPr>
                <w:sz w:val="20"/>
                <w:szCs w:val="20"/>
              </w:rPr>
            </w:pPr>
            <w:r w:rsidRPr="00920FF7">
              <w:rPr>
                <w:sz w:val="20"/>
                <w:szCs w:val="20"/>
              </w:rPr>
              <w:t>Ei radiologista etenemistä, n (%) (muutos</w:t>
            </w:r>
            <w:r w:rsidR="00F40657" w:rsidRPr="00920FF7">
              <w:rPr>
                <w:sz w:val="20"/>
                <w:szCs w:val="20"/>
              </w:rPr>
              <w:t xml:space="preserve"> </w:t>
            </w:r>
            <w:r w:rsidRPr="00920FF7">
              <w:rPr>
                <w:sz w:val="20"/>
                <w:szCs w:val="20"/>
              </w:rPr>
              <w:t>lähtötilanteesta, kun mTSS ≤0)</w:t>
            </w:r>
          </w:p>
        </w:tc>
        <w:tc>
          <w:tcPr>
            <w:tcW w:w="1347" w:type="dxa"/>
            <w:tcBorders>
              <w:top w:val="single" w:sz="4" w:space="0" w:color="auto"/>
              <w:left w:val="single" w:sz="4" w:space="0" w:color="auto"/>
              <w:bottom w:val="single" w:sz="4" w:space="0" w:color="auto"/>
              <w:right w:val="single" w:sz="4" w:space="0" w:color="auto"/>
            </w:tcBorders>
          </w:tcPr>
          <w:p w14:paraId="731B2C7B" w14:textId="77777777" w:rsidR="003B7027" w:rsidRPr="00920FF7" w:rsidRDefault="00296A74" w:rsidP="006E5F9A">
            <w:pPr>
              <w:pStyle w:val="TableParagraph"/>
              <w:suppressAutoHyphens/>
              <w:jc w:val="center"/>
              <w:rPr>
                <w:b/>
                <w:sz w:val="20"/>
                <w:szCs w:val="20"/>
              </w:rPr>
            </w:pPr>
            <w:r w:rsidRPr="00920FF7">
              <w:rPr>
                <w:sz w:val="20"/>
                <w:szCs w:val="20"/>
              </w:rPr>
              <w:t>226 (83)</w:t>
            </w:r>
            <w:r w:rsidRPr="00920FF7">
              <w:rPr>
                <w:b/>
                <w:sz w:val="20"/>
                <w:szCs w:val="20"/>
                <w:vertAlign w:val="superscript"/>
              </w:rPr>
              <w:t>‡</w:t>
            </w:r>
          </w:p>
        </w:tc>
        <w:tc>
          <w:tcPr>
            <w:tcW w:w="1453" w:type="dxa"/>
            <w:tcBorders>
              <w:top w:val="single" w:sz="4" w:space="0" w:color="auto"/>
              <w:left w:val="single" w:sz="4" w:space="0" w:color="auto"/>
              <w:bottom w:val="single" w:sz="4" w:space="0" w:color="auto"/>
              <w:right w:val="single" w:sz="4" w:space="0" w:color="auto"/>
            </w:tcBorders>
          </w:tcPr>
          <w:p w14:paraId="74865800" w14:textId="77777777" w:rsidR="003B7027" w:rsidRPr="00920FF7" w:rsidRDefault="00296A74" w:rsidP="006E5F9A">
            <w:pPr>
              <w:pStyle w:val="TableParagraph"/>
              <w:suppressAutoHyphens/>
              <w:jc w:val="center"/>
              <w:rPr>
                <w:b/>
                <w:sz w:val="20"/>
                <w:szCs w:val="20"/>
              </w:rPr>
            </w:pPr>
            <w:r w:rsidRPr="00920FF7">
              <w:rPr>
                <w:sz w:val="20"/>
                <w:szCs w:val="20"/>
              </w:rPr>
              <w:t>226 (82)</w:t>
            </w:r>
            <w:r w:rsidRPr="00920FF7">
              <w:rPr>
                <w:b/>
                <w:sz w:val="20"/>
                <w:szCs w:val="20"/>
                <w:vertAlign w:val="superscript"/>
              </w:rPr>
              <w:t>‡</w:t>
            </w:r>
          </w:p>
        </w:tc>
        <w:tc>
          <w:tcPr>
            <w:tcW w:w="1417" w:type="dxa"/>
            <w:tcBorders>
              <w:top w:val="single" w:sz="4" w:space="0" w:color="auto"/>
              <w:left w:val="single" w:sz="4" w:space="0" w:color="auto"/>
              <w:bottom w:val="single" w:sz="4" w:space="0" w:color="auto"/>
              <w:right w:val="single" w:sz="4" w:space="0" w:color="auto"/>
            </w:tcBorders>
          </w:tcPr>
          <w:p w14:paraId="60EAF8CD" w14:textId="77777777" w:rsidR="003B7027" w:rsidRPr="00920FF7" w:rsidRDefault="00296A74" w:rsidP="006E5F9A">
            <w:pPr>
              <w:pStyle w:val="TableParagraph"/>
              <w:suppressAutoHyphens/>
              <w:jc w:val="center"/>
              <w:rPr>
                <w:sz w:val="20"/>
                <w:szCs w:val="20"/>
              </w:rPr>
            </w:pPr>
            <w:r w:rsidRPr="00920FF7">
              <w:rPr>
                <w:sz w:val="20"/>
                <w:szCs w:val="20"/>
              </w:rPr>
              <w:t>211 (79)</w:t>
            </w:r>
          </w:p>
        </w:tc>
        <w:tc>
          <w:tcPr>
            <w:tcW w:w="1138" w:type="dxa"/>
            <w:tcBorders>
              <w:top w:val="single" w:sz="4" w:space="0" w:color="auto"/>
              <w:left w:val="single" w:sz="4" w:space="0" w:color="auto"/>
              <w:bottom w:val="single" w:sz="4" w:space="0" w:color="auto"/>
              <w:right w:val="single" w:sz="4" w:space="0" w:color="auto"/>
            </w:tcBorders>
          </w:tcPr>
          <w:p w14:paraId="3157B39B" w14:textId="77777777" w:rsidR="003B7027" w:rsidRPr="00920FF7" w:rsidRDefault="00296A74" w:rsidP="006E5F9A">
            <w:pPr>
              <w:pStyle w:val="TableParagraph"/>
              <w:suppressAutoHyphens/>
              <w:jc w:val="center"/>
              <w:rPr>
                <w:sz w:val="20"/>
                <w:szCs w:val="20"/>
              </w:rPr>
            </w:pPr>
            <w:r w:rsidRPr="00920FF7">
              <w:rPr>
                <w:sz w:val="20"/>
                <w:szCs w:val="20"/>
              </w:rPr>
              <w:t>194 (73)</w:t>
            </w:r>
          </w:p>
        </w:tc>
      </w:tr>
      <w:tr w:rsidR="00F40657" w:rsidRPr="00777B93" w14:paraId="02D8E84F" w14:textId="77777777" w:rsidTr="00BF6076">
        <w:trPr>
          <w:cantSplit/>
        </w:trPr>
        <w:tc>
          <w:tcPr>
            <w:tcW w:w="9213" w:type="dxa"/>
            <w:gridSpan w:val="6"/>
            <w:tcBorders>
              <w:top w:val="single" w:sz="4" w:space="0" w:color="auto"/>
              <w:left w:val="single" w:sz="4" w:space="0" w:color="000000"/>
              <w:bottom w:val="single" w:sz="4" w:space="0" w:color="auto"/>
              <w:right w:val="single" w:sz="8" w:space="0" w:color="000000"/>
            </w:tcBorders>
          </w:tcPr>
          <w:p w14:paraId="5831A021" w14:textId="77777777" w:rsidR="00F40657" w:rsidRPr="00920FF7" w:rsidRDefault="00F40657" w:rsidP="00CA43F5">
            <w:pPr>
              <w:pStyle w:val="TableParagraph"/>
              <w:keepNext/>
              <w:suppressAutoHyphens/>
              <w:rPr>
                <w:b/>
                <w:sz w:val="20"/>
                <w:szCs w:val="20"/>
              </w:rPr>
            </w:pPr>
            <w:r w:rsidRPr="00920FF7">
              <w:rPr>
                <w:b/>
                <w:sz w:val="20"/>
                <w:szCs w:val="20"/>
              </w:rPr>
              <w:lastRenderedPageBreak/>
              <w:t>Eksploratiiviset päätetapahtumat</w:t>
            </w:r>
          </w:p>
        </w:tc>
      </w:tr>
      <w:tr w:rsidR="003B7027" w:rsidRPr="00777B93" w14:paraId="037736F1" w14:textId="77777777" w:rsidTr="00BF6076">
        <w:trPr>
          <w:cantSplit/>
        </w:trPr>
        <w:tc>
          <w:tcPr>
            <w:tcW w:w="3858" w:type="dxa"/>
            <w:gridSpan w:val="2"/>
            <w:tcBorders>
              <w:top w:val="single" w:sz="4" w:space="0" w:color="auto"/>
              <w:left w:val="single" w:sz="4" w:space="0" w:color="auto"/>
              <w:bottom w:val="single" w:sz="4" w:space="0" w:color="auto"/>
              <w:right w:val="single" w:sz="4" w:space="0" w:color="auto"/>
            </w:tcBorders>
          </w:tcPr>
          <w:p w14:paraId="5654DBC4" w14:textId="77777777" w:rsidR="003B7027" w:rsidRPr="00CA43F5" w:rsidRDefault="00296A74" w:rsidP="00CA43F5">
            <w:pPr>
              <w:pStyle w:val="TableParagraph"/>
              <w:keepNext/>
              <w:suppressAutoHyphens/>
              <w:jc w:val="right"/>
              <w:rPr>
                <w:sz w:val="20"/>
                <w:szCs w:val="20"/>
                <w:lang w:val="en-US"/>
              </w:rPr>
            </w:pPr>
            <w:proofErr w:type="spellStart"/>
            <w:r w:rsidRPr="00CA43F5">
              <w:rPr>
                <w:sz w:val="20"/>
                <w:szCs w:val="20"/>
                <w:lang w:val="en-US"/>
              </w:rPr>
              <w:t>Viikko</w:t>
            </w:r>
            <w:proofErr w:type="spellEnd"/>
            <w:r w:rsidRPr="00CA43F5">
              <w:rPr>
                <w:sz w:val="20"/>
                <w:szCs w:val="20"/>
                <w:lang w:val="en-US"/>
              </w:rPr>
              <w:t xml:space="preserve"> 24: ACR/EULAR-</w:t>
            </w:r>
            <w:proofErr w:type="spellStart"/>
            <w:r w:rsidRPr="00CA43F5">
              <w:rPr>
                <w:sz w:val="20"/>
                <w:szCs w:val="20"/>
                <w:lang w:val="en-US"/>
              </w:rPr>
              <w:t>remissio</w:t>
            </w:r>
            <w:proofErr w:type="spellEnd"/>
            <w:r w:rsidRPr="00CA43F5">
              <w:rPr>
                <w:sz w:val="20"/>
                <w:szCs w:val="20"/>
                <w:lang w:val="en-US"/>
              </w:rPr>
              <w:t>, Boole, n (%)</w:t>
            </w:r>
          </w:p>
        </w:tc>
        <w:tc>
          <w:tcPr>
            <w:tcW w:w="1347" w:type="dxa"/>
            <w:tcBorders>
              <w:top w:val="single" w:sz="4" w:space="0" w:color="auto"/>
              <w:left w:val="single" w:sz="4" w:space="0" w:color="auto"/>
              <w:bottom w:val="single" w:sz="4" w:space="0" w:color="auto"/>
              <w:right w:val="single" w:sz="4" w:space="0" w:color="auto"/>
            </w:tcBorders>
          </w:tcPr>
          <w:p w14:paraId="107FC979" w14:textId="77777777" w:rsidR="003B7027" w:rsidRPr="00920FF7" w:rsidRDefault="00296A74" w:rsidP="006E5F9A">
            <w:pPr>
              <w:pStyle w:val="TableParagraph"/>
              <w:suppressAutoHyphens/>
              <w:jc w:val="center"/>
              <w:rPr>
                <w:b/>
                <w:sz w:val="20"/>
                <w:szCs w:val="20"/>
              </w:rPr>
            </w:pPr>
            <w:r w:rsidRPr="00920FF7">
              <w:rPr>
                <w:sz w:val="20"/>
                <w:szCs w:val="20"/>
              </w:rPr>
              <w:t xml:space="preserve">47 (18,4) </w:t>
            </w:r>
            <w:r w:rsidRPr="00920FF7">
              <w:rPr>
                <w:b/>
                <w:sz w:val="20"/>
                <w:szCs w:val="20"/>
                <w:vertAlign w:val="superscript"/>
              </w:rPr>
              <w:t>‡</w:t>
            </w:r>
          </w:p>
        </w:tc>
        <w:tc>
          <w:tcPr>
            <w:tcW w:w="1453" w:type="dxa"/>
            <w:tcBorders>
              <w:top w:val="single" w:sz="4" w:space="0" w:color="auto"/>
              <w:left w:val="single" w:sz="4" w:space="0" w:color="auto"/>
              <w:bottom w:val="single" w:sz="4" w:space="0" w:color="auto"/>
              <w:right w:val="single" w:sz="4" w:space="0" w:color="auto"/>
            </w:tcBorders>
          </w:tcPr>
          <w:p w14:paraId="1160D438" w14:textId="77777777" w:rsidR="003B7027" w:rsidRPr="00920FF7" w:rsidRDefault="00296A74" w:rsidP="006E5F9A">
            <w:pPr>
              <w:pStyle w:val="TableParagraph"/>
              <w:suppressAutoHyphens/>
              <w:jc w:val="center"/>
              <w:rPr>
                <w:sz w:val="20"/>
                <w:szCs w:val="20"/>
              </w:rPr>
            </w:pPr>
            <w:r w:rsidRPr="00920FF7">
              <w:rPr>
                <w:sz w:val="20"/>
                <w:szCs w:val="20"/>
              </w:rPr>
              <w:t>38 (14,2)</w:t>
            </w:r>
          </w:p>
        </w:tc>
        <w:tc>
          <w:tcPr>
            <w:tcW w:w="1417" w:type="dxa"/>
            <w:tcBorders>
              <w:top w:val="single" w:sz="4" w:space="0" w:color="auto"/>
              <w:left w:val="single" w:sz="4" w:space="0" w:color="auto"/>
              <w:bottom w:val="single" w:sz="4" w:space="0" w:color="auto"/>
              <w:right w:val="single" w:sz="4" w:space="0" w:color="auto"/>
            </w:tcBorders>
          </w:tcPr>
          <w:p w14:paraId="4ABA10BB" w14:textId="77777777" w:rsidR="003B7027" w:rsidRPr="00920FF7" w:rsidRDefault="00296A74" w:rsidP="006E5F9A">
            <w:pPr>
              <w:pStyle w:val="TableParagraph"/>
              <w:suppressAutoHyphens/>
              <w:jc w:val="center"/>
              <w:rPr>
                <w:b/>
                <w:sz w:val="20"/>
                <w:szCs w:val="20"/>
              </w:rPr>
            </w:pPr>
            <w:r w:rsidRPr="00920FF7">
              <w:rPr>
                <w:sz w:val="20"/>
                <w:szCs w:val="20"/>
              </w:rPr>
              <w:t xml:space="preserve">43 (16,7) </w:t>
            </w:r>
            <w:r w:rsidRPr="00920FF7">
              <w:rPr>
                <w:b/>
                <w:sz w:val="20"/>
                <w:szCs w:val="20"/>
                <w:vertAlign w:val="superscript"/>
              </w:rPr>
              <w:t>‡</w:t>
            </w:r>
          </w:p>
        </w:tc>
        <w:tc>
          <w:tcPr>
            <w:tcW w:w="1138" w:type="dxa"/>
            <w:tcBorders>
              <w:top w:val="single" w:sz="4" w:space="0" w:color="auto"/>
              <w:left w:val="single" w:sz="4" w:space="0" w:color="auto"/>
              <w:bottom w:val="single" w:sz="4" w:space="0" w:color="auto"/>
              <w:right w:val="single" w:sz="4" w:space="0" w:color="auto"/>
            </w:tcBorders>
          </w:tcPr>
          <w:p w14:paraId="5F20AC19" w14:textId="77777777" w:rsidR="003B7027" w:rsidRPr="00920FF7" w:rsidRDefault="00296A74" w:rsidP="006E5F9A">
            <w:pPr>
              <w:pStyle w:val="TableParagraph"/>
              <w:suppressAutoHyphens/>
              <w:jc w:val="center"/>
              <w:rPr>
                <w:sz w:val="20"/>
                <w:szCs w:val="20"/>
              </w:rPr>
            </w:pPr>
            <w:r w:rsidRPr="00920FF7">
              <w:rPr>
                <w:sz w:val="20"/>
                <w:szCs w:val="20"/>
              </w:rPr>
              <w:t>25 (10,0)</w:t>
            </w:r>
          </w:p>
        </w:tc>
      </w:tr>
      <w:tr w:rsidR="003B7027" w:rsidRPr="00777B93" w14:paraId="78DC996A" w14:textId="77777777" w:rsidTr="00BF6076">
        <w:trPr>
          <w:cantSplit/>
        </w:trPr>
        <w:tc>
          <w:tcPr>
            <w:tcW w:w="3858" w:type="dxa"/>
            <w:gridSpan w:val="2"/>
            <w:tcBorders>
              <w:top w:val="single" w:sz="4" w:space="0" w:color="auto"/>
              <w:left w:val="single" w:sz="4" w:space="0" w:color="auto"/>
              <w:bottom w:val="single" w:sz="4" w:space="0" w:color="auto"/>
              <w:right w:val="single" w:sz="4" w:space="0" w:color="auto"/>
            </w:tcBorders>
          </w:tcPr>
          <w:p w14:paraId="0F8378B2" w14:textId="77777777" w:rsidR="003B7027" w:rsidRPr="00CA43F5" w:rsidRDefault="00296A74" w:rsidP="00CA43F5">
            <w:pPr>
              <w:pStyle w:val="TableParagraph"/>
              <w:keepNext/>
              <w:suppressAutoHyphens/>
              <w:jc w:val="right"/>
              <w:rPr>
                <w:sz w:val="20"/>
                <w:szCs w:val="20"/>
                <w:lang w:val="en-US"/>
              </w:rPr>
            </w:pPr>
            <w:r w:rsidRPr="00CA43F5">
              <w:rPr>
                <w:sz w:val="20"/>
                <w:szCs w:val="20"/>
                <w:lang w:val="en-US"/>
              </w:rPr>
              <w:t>ACR/EULAR-</w:t>
            </w:r>
            <w:proofErr w:type="spellStart"/>
            <w:r w:rsidRPr="00CA43F5">
              <w:rPr>
                <w:sz w:val="20"/>
                <w:szCs w:val="20"/>
                <w:lang w:val="en-US"/>
              </w:rPr>
              <w:t>remissio</w:t>
            </w:r>
            <w:proofErr w:type="spellEnd"/>
            <w:r w:rsidRPr="00CA43F5">
              <w:rPr>
                <w:sz w:val="20"/>
                <w:szCs w:val="20"/>
                <w:lang w:val="en-US"/>
              </w:rPr>
              <w:t xml:space="preserve">, </w:t>
            </w:r>
            <w:proofErr w:type="spellStart"/>
            <w:r w:rsidRPr="00CA43F5">
              <w:rPr>
                <w:sz w:val="20"/>
                <w:szCs w:val="20"/>
                <w:lang w:val="en-US"/>
              </w:rPr>
              <w:t>indeksi</w:t>
            </w:r>
            <w:proofErr w:type="spellEnd"/>
            <w:r w:rsidRPr="00CA43F5">
              <w:rPr>
                <w:sz w:val="20"/>
                <w:szCs w:val="20"/>
                <w:lang w:val="en-US"/>
              </w:rPr>
              <w:t>, n (%)</w:t>
            </w:r>
          </w:p>
        </w:tc>
        <w:tc>
          <w:tcPr>
            <w:tcW w:w="1347" w:type="dxa"/>
            <w:tcBorders>
              <w:top w:val="single" w:sz="4" w:space="0" w:color="auto"/>
              <w:left w:val="single" w:sz="4" w:space="0" w:color="auto"/>
              <w:bottom w:val="single" w:sz="4" w:space="0" w:color="auto"/>
              <w:right w:val="single" w:sz="4" w:space="0" w:color="auto"/>
            </w:tcBorders>
          </w:tcPr>
          <w:p w14:paraId="41BA0088" w14:textId="77777777" w:rsidR="003B7027" w:rsidRPr="00920FF7" w:rsidRDefault="00296A74" w:rsidP="006E5F9A">
            <w:pPr>
              <w:pStyle w:val="TableParagraph"/>
              <w:suppressAutoHyphens/>
              <w:jc w:val="center"/>
              <w:rPr>
                <w:b/>
                <w:sz w:val="20"/>
                <w:szCs w:val="20"/>
              </w:rPr>
            </w:pPr>
            <w:r w:rsidRPr="00920FF7">
              <w:rPr>
                <w:sz w:val="20"/>
                <w:szCs w:val="20"/>
              </w:rPr>
              <w:t xml:space="preserve">73 (28,5) </w:t>
            </w:r>
            <w:r w:rsidRPr="00920FF7">
              <w:rPr>
                <w:b/>
                <w:sz w:val="20"/>
                <w:szCs w:val="20"/>
                <w:vertAlign w:val="superscript"/>
              </w:rPr>
              <w:t>‡</w:t>
            </w:r>
          </w:p>
        </w:tc>
        <w:tc>
          <w:tcPr>
            <w:tcW w:w="1453" w:type="dxa"/>
            <w:tcBorders>
              <w:top w:val="single" w:sz="4" w:space="0" w:color="auto"/>
              <w:left w:val="single" w:sz="4" w:space="0" w:color="auto"/>
              <w:bottom w:val="single" w:sz="4" w:space="0" w:color="auto"/>
              <w:right w:val="single" w:sz="4" w:space="0" w:color="auto"/>
            </w:tcBorders>
          </w:tcPr>
          <w:p w14:paraId="17B34045" w14:textId="77777777" w:rsidR="003B7027" w:rsidRPr="00920FF7" w:rsidRDefault="00296A74" w:rsidP="006E5F9A">
            <w:pPr>
              <w:pStyle w:val="TableParagraph"/>
              <w:suppressAutoHyphens/>
              <w:jc w:val="center"/>
              <w:rPr>
                <w:sz w:val="20"/>
                <w:szCs w:val="20"/>
              </w:rPr>
            </w:pPr>
            <w:r w:rsidRPr="00920FF7">
              <w:rPr>
                <w:sz w:val="20"/>
                <w:szCs w:val="20"/>
              </w:rPr>
              <w:t>60 (22,6)</w:t>
            </w:r>
          </w:p>
        </w:tc>
        <w:tc>
          <w:tcPr>
            <w:tcW w:w="1417" w:type="dxa"/>
            <w:tcBorders>
              <w:top w:val="single" w:sz="4" w:space="0" w:color="auto"/>
              <w:left w:val="single" w:sz="4" w:space="0" w:color="auto"/>
              <w:bottom w:val="single" w:sz="4" w:space="0" w:color="auto"/>
              <w:right w:val="single" w:sz="4" w:space="0" w:color="auto"/>
            </w:tcBorders>
          </w:tcPr>
          <w:p w14:paraId="52B548E5" w14:textId="77777777" w:rsidR="003B7027" w:rsidRPr="00920FF7" w:rsidRDefault="00296A74" w:rsidP="006E5F9A">
            <w:pPr>
              <w:pStyle w:val="TableParagraph"/>
              <w:suppressAutoHyphens/>
              <w:jc w:val="center"/>
              <w:rPr>
                <w:sz w:val="20"/>
                <w:szCs w:val="20"/>
              </w:rPr>
            </w:pPr>
            <w:r w:rsidRPr="00920FF7">
              <w:rPr>
                <w:sz w:val="20"/>
                <w:szCs w:val="20"/>
              </w:rPr>
              <w:t>58 (22,6)</w:t>
            </w:r>
          </w:p>
        </w:tc>
        <w:tc>
          <w:tcPr>
            <w:tcW w:w="1138" w:type="dxa"/>
            <w:tcBorders>
              <w:top w:val="single" w:sz="4" w:space="0" w:color="auto"/>
              <w:left w:val="single" w:sz="4" w:space="0" w:color="auto"/>
              <w:bottom w:val="single" w:sz="4" w:space="0" w:color="auto"/>
              <w:right w:val="single" w:sz="4" w:space="0" w:color="auto"/>
            </w:tcBorders>
          </w:tcPr>
          <w:p w14:paraId="0FBA4B04" w14:textId="77777777" w:rsidR="003B7027" w:rsidRPr="00920FF7" w:rsidRDefault="00296A74" w:rsidP="006E5F9A">
            <w:pPr>
              <w:pStyle w:val="TableParagraph"/>
              <w:suppressAutoHyphens/>
              <w:jc w:val="center"/>
              <w:rPr>
                <w:sz w:val="20"/>
                <w:szCs w:val="20"/>
              </w:rPr>
            </w:pPr>
            <w:r w:rsidRPr="00920FF7">
              <w:rPr>
                <w:sz w:val="20"/>
                <w:szCs w:val="20"/>
              </w:rPr>
              <w:t>41 (16,4)</w:t>
            </w:r>
          </w:p>
        </w:tc>
      </w:tr>
      <w:tr w:rsidR="003B7027" w:rsidRPr="00777B93" w14:paraId="1D8CDD08" w14:textId="77777777" w:rsidTr="00BF6076">
        <w:trPr>
          <w:cantSplit/>
        </w:trPr>
        <w:tc>
          <w:tcPr>
            <w:tcW w:w="3858" w:type="dxa"/>
            <w:gridSpan w:val="2"/>
            <w:tcBorders>
              <w:top w:val="single" w:sz="4" w:space="0" w:color="auto"/>
              <w:left w:val="single" w:sz="4" w:space="0" w:color="auto"/>
              <w:bottom w:val="single" w:sz="4" w:space="0" w:color="auto"/>
              <w:right w:val="single" w:sz="4" w:space="0" w:color="auto"/>
            </w:tcBorders>
          </w:tcPr>
          <w:p w14:paraId="41F663DB" w14:textId="77777777" w:rsidR="003B7027" w:rsidRPr="00CA43F5" w:rsidRDefault="00296A74" w:rsidP="00CA43F5">
            <w:pPr>
              <w:pStyle w:val="TableParagraph"/>
              <w:keepNext/>
              <w:suppressAutoHyphens/>
              <w:jc w:val="right"/>
              <w:rPr>
                <w:sz w:val="20"/>
                <w:szCs w:val="20"/>
                <w:lang w:val="en-US"/>
              </w:rPr>
            </w:pPr>
            <w:proofErr w:type="spellStart"/>
            <w:r w:rsidRPr="00CA43F5">
              <w:rPr>
                <w:sz w:val="20"/>
                <w:szCs w:val="20"/>
                <w:lang w:val="en-US"/>
              </w:rPr>
              <w:t>Viikko</w:t>
            </w:r>
            <w:proofErr w:type="spellEnd"/>
            <w:r w:rsidRPr="00CA43F5">
              <w:rPr>
                <w:sz w:val="20"/>
                <w:szCs w:val="20"/>
                <w:lang w:val="en-US"/>
              </w:rPr>
              <w:t xml:space="preserve"> 52: ACR/EULAR-</w:t>
            </w:r>
            <w:proofErr w:type="spellStart"/>
            <w:r w:rsidRPr="00CA43F5">
              <w:rPr>
                <w:sz w:val="20"/>
                <w:szCs w:val="20"/>
                <w:lang w:val="en-US"/>
              </w:rPr>
              <w:t>remissio</w:t>
            </w:r>
            <w:proofErr w:type="spellEnd"/>
            <w:r w:rsidRPr="00CA43F5">
              <w:rPr>
                <w:sz w:val="20"/>
                <w:szCs w:val="20"/>
                <w:lang w:val="en-US"/>
              </w:rPr>
              <w:t>, Boole, n (%)</w:t>
            </w:r>
          </w:p>
        </w:tc>
        <w:tc>
          <w:tcPr>
            <w:tcW w:w="1347" w:type="dxa"/>
            <w:tcBorders>
              <w:top w:val="single" w:sz="4" w:space="0" w:color="auto"/>
              <w:left w:val="single" w:sz="4" w:space="0" w:color="auto"/>
              <w:bottom w:val="single" w:sz="4" w:space="0" w:color="auto"/>
              <w:right w:val="single" w:sz="4" w:space="0" w:color="auto"/>
            </w:tcBorders>
          </w:tcPr>
          <w:p w14:paraId="24619536" w14:textId="77777777" w:rsidR="003B7027" w:rsidRPr="00920FF7" w:rsidRDefault="00296A74" w:rsidP="006E5F9A">
            <w:pPr>
              <w:pStyle w:val="TableParagraph"/>
              <w:suppressAutoHyphens/>
              <w:jc w:val="center"/>
              <w:rPr>
                <w:b/>
                <w:sz w:val="20"/>
                <w:szCs w:val="20"/>
              </w:rPr>
            </w:pPr>
            <w:r w:rsidRPr="00920FF7">
              <w:rPr>
                <w:sz w:val="20"/>
                <w:szCs w:val="20"/>
              </w:rPr>
              <w:t xml:space="preserve">59 (25,7) </w:t>
            </w:r>
            <w:r w:rsidRPr="00920FF7">
              <w:rPr>
                <w:b/>
                <w:sz w:val="20"/>
                <w:szCs w:val="20"/>
                <w:vertAlign w:val="superscript"/>
              </w:rPr>
              <w:t>‡</w:t>
            </w:r>
          </w:p>
        </w:tc>
        <w:tc>
          <w:tcPr>
            <w:tcW w:w="1453" w:type="dxa"/>
            <w:tcBorders>
              <w:top w:val="single" w:sz="4" w:space="0" w:color="auto"/>
              <w:left w:val="single" w:sz="4" w:space="0" w:color="auto"/>
              <w:bottom w:val="single" w:sz="4" w:space="0" w:color="auto"/>
              <w:right w:val="single" w:sz="4" w:space="0" w:color="auto"/>
            </w:tcBorders>
          </w:tcPr>
          <w:p w14:paraId="4EA60B7D" w14:textId="77777777" w:rsidR="003B7027" w:rsidRPr="00920FF7" w:rsidRDefault="00296A74" w:rsidP="006E5F9A">
            <w:pPr>
              <w:pStyle w:val="TableParagraph"/>
              <w:suppressAutoHyphens/>
              <w:jc w:val="center"/>
              <w:rPr>
                <w:sz w:val="20"/>
                <w:szCs w:val="20"/>
              </w:rPr>
            </w:pPr>
            <w:r w:rsidRPr="00920FF7">
              <w:rPr>
                <w:sz w:val="20"/>
                <w:szCs w:val="20"/>
              </w:rPr>
              <w:t>43 (18,7)</w:t>
            </w:r>
          </w:p>
        </w:tc>
        <w:tc>
          <w:tcPr>
            <w:tcW w:w="1417" w:type="dxa"/>
            <w:tcBorders>
              <w:top w:val="single" w:sz="4" w:space="0" w:color="auto"/>
              <w:left w:val="single" w:sz="4" w:space="0" w:color="auto"/>
              <w:bottom w:val="single" w:sz="4" w:space="0" w:color="auto"/>
              <w:right w:val="single" w:sz="4" w:space="0" w:color="auto"/>
            </w:tcBorders>
          </w:tcPr>
          <w:p w14:paraId="53139034" w14:textId="77777777" w:rsidR="003B7027" w:rsidRPr="00920FF7" w:rsidRDefault="00296A74" w:rsidP="006E5F9A">
            <w:pPr>
              <w:pStyle w:val="TableParagraph"/>
              <w:suppressAutoHyphens/>
              <w:jc w:val="center"/>
              <w:rPr>
                <w:sz w:val="20"/>
                <w:szCs w:val="20"/>
              </w:rPr>
            </w:pPr>
            <w:r w:rsidRPr="00920FF7">
              <w:rPr>
                <w:sz w:val="20"/>
                <w:szCs w:val="20"/>
              </w:rPr>
              <w:t>48 (21,1)</w:t>
            </w:r>
          </w:p>
        </w:tc>
        <w:tc>
          <w:tcPr>
            <w:tcW w:w="1138" w:type="dxa"/>
            <w:tcBorders>
              <w:top w:val="single" w:sz="4" w:space="0" w:color="auto"/>
              <w:left w:val="single" w:sz="4" w:space="0" w:color="auto"/>
              <w:bottom w:val="single" w:sz="4" w:space="0" w:color="auto"/>
              <w:right w:val="single" w:sz="4" w:space="0" w:color="auto"/>
            </w:tcBorders>
          </w:tcPr>
          <w:p w14:paraId="308FF3E8" w14:textId="77777777" w:rsidR="003B7027" w:rsidRPr="00920FF7" w:rsidRDefault="00296A74" w:rsidP="006E5F9A">
            <w:pPr>
              <w:pStyle w:val="TableParagraph"/>
              <w:suppressAutoHyphens/>
              <w:jc w:val="center"/>
              <w:rPr>
                <w:sz w:val="20"/>
                <w:szCs w:val="20"/>
              </w:rPr>
            </w:pPr>
            <w:r w:rsidRPr="00920FF7">
              <w:rPr>
                <w:sz w:val="20"/>
                <w:szCs w:val="20"/>
              </w:rPr>
              <w:t>34 (15,5)</w:t>
            </w:r>
          </w:p>
        </w:tc>
      </w:tr>
      <w:tr w:rsidR="003B7027" w:rsidRPr="00777B93" w14:paraId="59188797" w14:textId="77777777" w:rsidTr="00BF6076">
        <w:trPr>
          <w:cantSplit/>
        </w:trPr>
        <w:tc>
          <w:tcPr>
            <w:tcW w:w="3858" w:type="dxa"/>
            <w:gridSpan w:val="2"/>
            <w:tcBorders>
              <w:top w:val="single" w:sz="4" w:space="0" w:color="auto"/>
              <w:left w:val="single" w:sz="4" w:space="0" w:color="auto"/>
              <w:bottom w:val="single" w:sz="4" w:space="0" w:color="auto"/>
              <w:right w:val="single" w:sz="4" w:space="0" w:color="auto"/>
            </w:tcBorders>
          </w:tcPr>
          <w:p w14:paraId="400835E7" w14:textId="77777777" w:rsidR="003B7027" w:rsidRPr="00CA43F5" w:rsidRDefault="00296A74" w:rsidP="006E5F9A">
            <w:pPr>
              <w:pStyle w:val="TableParagraph"/>
              <w:suppressAutoHyphens/>
              <w:jc w:val="right"/>
              <w:rPr>
                <w:sz w:val="20"/>
                <w:szCs w:val="20"/>
                <w:lang w:val="en-US"/>
              </w:rPr>
            </w:pPr>
            <w:r w:rsidRPr="00CA43F5">
              <w:rPr>
                <w:sz w:val="20"/>
                <w:szCs w:val="20"/>
                <w:lang w:val="en-US"/>
              </w:rPr>
              <w:t>ACR/EULAR-</w:t>
            </w:r>
            <w:proofErr w:type="spellStart"/>
            <w:r w:rsidRPr="00CA43F5">
              <w:rPr>
                <w:sz w:val="20"/>
                <w:szCs w:val="20"/>
                <w:lang w:val="en-US"/>
              </w:rPr>
              <w:t>remissio</w:t>
            </w:r>
            <w:proofErr w:type="spellEnd"/>
            <w:r w:rsidRPr="00CA43F5">
              <w:rPr>
                <w:sz w:val="20"/>
                <w:szCs w:val="20"/>
                <w:lang w:val="en-US"/>
              </w:rPr>
              <w:t xml:space="preserve">, </w:t>
            </w:r>
            <w:proofErr w:type="spellStart"/>
            <w:r w:rsidRPr="00CA43F5">
              <w:rPr>
                <w:sz w:val="20"/>
                <w:szCs w:val="20"/>
                <w:lang w:val="en-US"/>
              </w:rPr>
              <w:t>indeksi</w:t>
            </w:r>
            <w:proofErr w:type="spellEnd"/>
            <w:r w:rsidRPr="00CA43F5">
              <w:rPr>
                <w:sz w:val="20"/>
                <w:szCs w:val="20"/>
                <w:lang w:val="en-US"/>
              </w:rPr>
              <w:t>, n (%)</w:t>
            </w:r>
          </w:p>
        </w:tc>
        <w:tc>
          <w:tcPr>
            <w:tcW w:w="1347" w:type="dxa"/>
            <w:tcBorders>
              <w:top w:val="single" w:sz="4" w:space="0" w:color="auto"/>
              <w:left w:val="single" w:sz="4" w:space="0" w:color="auto"/>
              <w:bottom w:val="single" w:sz="4" w:space="0" w:color="auto"/>
              <w:right w:val="single" w:sz="4" w:space="0" w:color="auto"/>
            </w:tcBorders>
          </w:tcPr>
          <w:p w14:paraId="1608A906" w14:textId="77777777" w:rsidR="003B7027" w:rsidRPr="00920FF7" w:rsidRDefault="00296A74" w:rsidP="006E5F9A">
            <w:pPr>
              <w:pStyle w:val="TableParagraph"/>
              <w:suppressAutoHyphens/>
              <w:jc w:val="center"/>
              <w:rPr>
                <w:b/>
                <w:sz w:val="20"/>
                <w:szCs w:val="20"/>
              </w:rPr>
            </w:pPr>
            <w:r w:rsidRPr="00920FF7">
              <w:rPr>
                <w:sz w:val="20"/>
                <w:szCs w:val="20"/>
              </w:rPr>
              <w:t xml:space="preserve">83 (36,1) </w:t>
            </w:r>
            <w:r w:rsidRPr="00920FF7">
              <w:rPr>
                <w:b/>
                <w:sz w:val="20"/>
                <w:szCs w:val="20"/>
                <w:vertAlign w:val="superscript"/>
              </w:rPr>
              <w:t>‡</w:t>
            </w:r>
          </w:p>
        </w:tc>
        <w:tc>
          <w:tcPr>
            <w:tcW w:w="1453" w:type="dxa"/>
            <w:tcBorders>
              <w:top w:val="single" w:sz="4" w:space="0" w:color="auto"/>
              <w:left w:val="single" w:sz="4" w:space="0" w:color="auto"/>
              <w:bottom w:val="single" w:sz="4" w:space="0" w:color="auto"/>
              <w:right w:val="single" w:sz="4" w:space="0" w:color="auto"/>
            </w:tcBorders>
          </w:tcPr>
          <w:p w14:paraId="6549174E" w14:textId="77777777" w:rsidR="003B7027" w:rsidRPr="00920FF7" w:rsidRDefault="00296A74" w:rsidP="006E5F9A">
            <w:pPr>
              <w:pStyle w:val="TableParagraph"/>
              <w:suppressAutoHyphens/>
              <w:jc w:val="center"/>
              <w:rPr>
                <w:sz w:val="20"/>
                <w:szCs w:val="20"/>
              </w:rPr>
            </w:pPr>
            <w:r w:rsidRPr="00920FF7">
              <w:rPr>
                <w:sz w:val="20"/>
                <w:szCs w:val="20"/>
              </w:rPr>
              <w:t>69 (30,0)</w:t>
            </w:r>
          </w:p>
        </w:tc>
        <w:tc>
          <w:tcPr>
            <w:tcW w:w="1417" w:type="dxa"/>
            <w:tcBorders>
              <w:top w:val="single" w:sz="4" w:space="0" w:color="auto"/>
              <w:left w:val="single" w:sz="4" w:space="0" w:color="auto"/>
              <w:bottom w:val="single" w:sz="4" w:space="0" w:color="auto"/>
              <w:right w:val="single" w:sz="4" w:space="0" w:color="auto"/>
            </w:tcBorders>
          </w:tcPr>
          <w:p w14:paraId="400FFA28" w14:textId="77777777" w:rsidR="003B7027" w:rsidRPr="00920FF7" w:rsidRDefault="00296A74" w:rsidP="006E5F9A">
            <w:pPr>
              <w:pStyle w:val="TableParagraph"/>
              <w:suppressAutoHyphens/>
              <w:jc w:val="center"/>
              <w:rPr>
                <w:sz w:val="20"/>
                <w:szCs w:val="20"/>
              </w:rPr>
            </w:pPr>
            <w:r w:rsidRPr="00920FF7">
              <w:rPr>
                <w:sz w:val="20"/>
                <w:szCs w:val="20"/>
              </w:rPr>
              <w:t>66 (29,3)</w:t>
            </w:r>
          </w:p>
        </w:tc>
        <w:tc>
          <w:tcPr>
            <w:tcW w:w="1138" w:type="dxa"/>
            <w:tcBorders>
              <w:top w:val="single" w:sz="4" w:space="0" w:color="auto"/>
              <w:left w:val="single" w:sz="4" w:space="0" w:color="auto"/>
              <w:bottom w:val="single" w:sz="4" w:space="0" w:color="auto"/>
              <w:right w:val="single" w:sz="4" w:space="0" w:color="auto"/>
            </w:tcBorders>
          </w:tcPr>
          <w:p w14:paraId="3FFC9CCF" w14:textId="77777777" w:rsidR="003B7027" w:rsidRPr="00920FF7" w:rsidRDefault="00296A74" w:rsidP="006E5F9A">
            <w:pPr>
              <w:pStyle w:val="TableParagraph"/>
              <w:suppressAutoHyphens/>
              <w:jc w:val="center"/>
              <w:rPr>
                <w:sz w:val="20"/>
                <w:szCs w:val="20"/>
              </w:rPr>
            </w:pPr>
            <w:r w:rsidRPr="00920FF7">
              <w:rPr>
                <w:sz w:val="20"/>
                <w:szCs w:val="20"/>
              </w:rPr>
              <w:t>49 (22,4)</w:t>
            </w:r>
          </w:p>
        </w:tc>
      </w:tr>
    </w:tbl>
    <w:p w14:paraId="1D169642" w14:textId="77777777" w:rsidR="003B7027" w:rsidRPr="00920FF7" w:rsidRDefault="00296A74" w:rsidP="00920FF7">
      <w:pPr>
        <w:ind w:left="851" w:hanging="851"/>
        <w:rPr>
          <w:i/>
          <w:sz w:val="18"/>
          <w:szCs w:val="18"/>
        </w:rPr>
      </w:pPr>
      <w:proofErr w:type="spellStart"/>
      <w:r w:rsidRPr="00920FF7">
        <w:rPr>
          <w:i/>
          <w:sz w:val="18"/>
          <w:szCs w:val="18"/>
        </w:rPr>
        <w:t>mTSS</w:t>
      </w:r>
      <w:proofErr w:type="spellEnd"/>
      <w:r w:rsidRPr="00920FF7">
        <w:rPr>
          <w:i/>
          <w:sz w:val="18"/>
          <w:szCs w:val="18"/>
        </w:rPr>
        <w:tab/>
        <w:t>- modified Total Sharp Score</w:t>
      </w:r>
    </w:p>
    <w:p w14:paraId="068F12C2" w14:textId="77777777" w:rsidR="003B7027" w:rsidRPr="00CA43F5" w:rsidRDefault="00296A74" w:rsidP="006E5F9A">
      <w:pPr>
        <w:rPr>
          <w:sz w:val="18"/>
          <w:szCs w:val="18"/>
          <w:lang w:val="fi-FI"/>
        </w:rPr>
      </w:pPr>
      <w:r w:rsidRPr="00CA43F5">
        <w:rPr>
          <w:sz w:val="18"/>
          <w:szCs w:val="18"/>
          <w:lang w:val="fi-FI"/>
        </w:rPr>
        <w:t>Kaikki tehoa koskevat vertailut vs. lumevalmiste + MTX. ***p</w:t>
      </w:r>
      <w:r w:rsidRPr="00CA43F5">
        <w:rPr>
          <w:rFonts w:hint="eastAsia"/>
          <w:sz w:val="18"/>
          <w:szCs w:val="18"/>
          <w:lang w:val="fi-FI"/>
        </w:rPr>
        <w:t>≤</w:t>
      </w:r>
      <w:r w:rsidRPr="00CA43F5">
        <w:rPr>
          <w:sz w:val="18"/>
          <w:szCs w:val="18"/>
          <w:lang w:val="fi-FI"/>
        </w:rPr>
        <w:t>0,0001; **p&lt;0,001; *p&lt;0,05;</w:t>
      </w:r>
    </w:p>
    <w:p w14:paraId="39CF5978" w14:textId="77777777" w:rsidR="003B7027" w:rsidRPr="00CA43F5" w:rsidRDefault="00296A74" w:rsidP="006E5F9A">
      <w:pPr>
        <w:rPr>
          <w:sz w:val="18"/>
          <w:szCs w:val="18"/>
          <w:lang w:val="fi-FI"/>
        </w:rPr>
      </w:pPr>
      <w:r w:rsidRPr="00CA43F5">
        <w:rPr>
          <w:sz w:val="18"/>
          <w:szCs w:val="18"/>
          <w:lang w:val="fi-FI"/>
        </w:rPr>
        <w:t>‡p-arvo &lt; 0,05 vs. lumevalmiste + MTX, mutta päätetapahtuma oli eksploratiivinen (ei mukana tilastollisen testauksen hierarkiassa eikä monivertailua ole siksi kontrolloitu)</w:t>
      </w:r>
    </w:p>
    <w:p w14:paraId="62A824E3" w14:textId="77777777" w:rsidR="003B7027" w:rsidRPr="0028514E" w:rsidRDefault="003B7027" w:rsidP="006E5F9A">
      <w:pPr>
        <w:pStyle w:val="a4"/>
        <w:ind w:left="0"/>
        <w:rPr>
          <w:sz w:val="18"/>
        </w:rPr>
      </w:pPr>
    </w:p>
    <w:p w14:paraId="679BFF90" w14:textId="77777777" w:rsidR="003B7027" w:rsidRPr="00CA43F5" w:rsidRDefault="00296A74" w:rsidP="006E5F9A">
      <w:pPr>
        <w:rPr>
          <w:iCs/>
          <w:u w:val="single"/>
          <w:lang w:val="fi-FI"/>
        </w:rPr>
      </w:pPr>
      <w:r w:rsidRPr="00CA43F5">
        <w:rPr>
          <w:iCs/>
          <w:u w:val="single"/>
          <w:lang w:val="fi-FI"/>
        </w:rPr>
        <w:t>COVID-19</w:t>
      </w:r>
    </w:p>
    <w:p w14:paraId="66A8351D" w14:textId="77777777" w:rsidR="00F40657" w:rsidRPr="00CA43F5" w:rsidRDefault="00F40657" w:rsidP="006E5F9A">
      <w:pPr>
        <w:rPr>
          <w:i/>
          <w:lang w:val="fi-FI"/>
        </w:rPr>
      </w:pPr>
    </w:p>
    <w:p w14:paraId="5E0A98C3" w14:textId="77777777" w:rsidR="003B7027" w:rsidRPr="0028514E" w:rsidRDefault="00296A74" w:rsidP="006E5F9A">
      <w:pPr>
        <w:pStyle w:val="a4"/>
        <w:ind w:left="0"/>
        <w:rPr>
          <w:u w:val="single"/>
        </w:rPr>
      </w:pPr>
      <w:r w:rsidRPr="0028514E">
        <w:rPr>
          <w:u w:val="single"/>
        </w:rPr>
        <w:t>Kliininen teho</w:t>
      </w:r>
    </w:p>
    <w:p w14:paraId="57935B03" w14:textId="77777777" w:rsidR="003B7027" w:rsidRPr="0028514E" w:rsidRDefault="003B7027" w:rsidP="006E5F9A">
      <w:pPr>
        <w:pStyle w:val="a4"/>
        <w:ind w:left="0"/>
      </w:pPr>
    </w:p>
    <w:p w14:paraId="4B176AB0" w14:textId="77777777" w:rsidR="003B7027" w:rsidRPr="001C1F69" w:rsidRDefault="00296A74" w:rsidP="001C1F69">
      <w:pPr>
        <w:rPr>
          <w:b/>
          <w:bCs/>
        </w:rPr>
      </w:pPr>
      <w:r w:rsidRPr="001C1F69">
        <w:rPr>
          <w:b/>
          <w:bCs/>
        </w:rPr>
        <w:t>RECOVERY (Randomised Evaluation of COVID-19 Therapy) -työryhmätutkimus sairaalahoidossa olevilla COVID-19-diagnoosin saaneilla aikuisilla</w:t>
      </w:r>
    </w:p>
    <w:p w14:paraId="5C64D1A7" w14:textId="77777777" w:rsidR="00F40657" w:rsidRPr="0028514E" w:rsidRDefault="00F40657" w:rsidP="006E5F9A">
      <w:pPr>
        <w:pStyle w:val="a4"/>
        <w:ind w:left="0"/>
      </w:pPr>
    </w:p>
    <w:p w14:paraId="22CBED34" w14:textId="77777777" w:rsidR="003B7027" w:rsidRPr="0028514E" w:rsidRDefault="00296A74" w:rsidP="006E5F9A">
      <w:pPr>
        <w:pStyle w:val="a4"/>
        <w:ind w:left="0"/>
      </w:pPr>
      <w:r w:rsidRPr="0028514E">
        <w:t>RECOVERY oli laaja, satunnaistettu, kontrolloitu, avoin, monikeskusalustatutkimus, joka tehtiin Isossa-Britanniassa mahdollisten hoitojen tehon ja turvallisuuden arvioimiseksi sairaalahoidossa olevilla vaikeaa COVID-19-tautia sairastavilla aikuispotilailla. Kaikki mukaan soveltuneet potilaat</w:t>
      </w:r>
      <w:r w:rsidR="00F40657" w:rsidRPr="0028514E">
        <w:t xml:space="preserve"> </w:t>
      </w:r>
      <w:r w:rsidRPr="0028514E">
        <w:t>saivat tavanomaista hoitoa ja alkuvaiheessa (päävaiheessa) heidät satunnaistettiin. Tutkimukseen mukaan soveltuneilla potilailla oli kliinisesti epäilty tai laboratoriotestein varmistettu SARS-CoV-2- infektio, eikä heillä ollut vasta-aiheita millekään hoidolle. Potilaat, joilla oli kliinisesti havaittu etenevä COVID-19-tauti (määritelty happisaturaatioksi &lt; 92 % huoneilmassa tai happihoito ja CRP-arvo</w:t>
      </w:r>
      <w:r w:rsidR="00F40657" w:rsidRPr="0028514E">
        <w:t xml:space="preserve"> </w:t>
      </w:r>
      <w:r w:rsidRPr="0028514E">
        <w:t>≥ 75 mg/l), soveltuivat toiseen satunnaistamiseen saamaan joko tosilitsumabia laskimoon tai pelkästään tavanomaista hoitoa.</w:t>
      </w:r>
    </w:p>
    <w:p w14:paraId="0457AF33" w14:textId="77777777" w:rsidR="00F40657" w:rsidRPr="0028514E" w:rsidRDefault="00F40657" w:rsidP="006E5F9A">
      <w:pPr>
        <w:pStyle w:val="a4"/>
        <w:ind w:left="0"/>
      </w:pPr>
    </w:p>
    <w:p w14:paraId="32E8D9B2" w14:textId="77777777" w:rsidR="003B7027" w:rsidRPr="0028514E" w:rsidRDefault="00296A74" w:rsidP="006E5F9A">
      <w:pPr>
        <w:pStyle w:val="a4"/>
        <w:ind w:left="0"/>
      </w:pPr>
      <w:r w:rsidRPr="0028514E">
        <w:t>Tehon analyysit tehtiin hoitoaikeen mukaisesta (ITT) potilasjoukosta, johon kuului 4116 potilasta, joista 2022 potilasta satunnaistettiin tosilitsumabin ja tavanomaisen hoidon yhdistelmää saaneeseen haaraan ja 2094 potilasta satunnaistettiin pelkästään tavanomaista hoitoa saaneeseen haaraan.</w:t>
      </w:r>
      <w:r w:rsidR="00F40657" w:rsidRPr="0028514E">
        <w:t xml:space="preserve"> </w:t>
      </w:r>
      <w:r w:rsidRPr="0028514E">
        <w:t>Hoitoaikeen mukaisen potilasjoukon demografiset ja taudin ominaisuudet lähtötilanteessa olivat hyvin tasapainossa hoitohaarojen kesken. Osallistujien ikä oli keskimäärin 63,6 vuotta (keskihajonta</w:t>
      </w:r>
      <w:r w:rsidR="00F40657" w:rsidRPr="0028514E">
        <w:t xml:space="preserve"> </w:t>
      </w:r>
      <w:r w:rsidRPr="0028514E">
        <w:t>13,6 vuotta). Valtaosa potilaista oli miehiä (67 %) ja valkoihoisia (76 %). CRP-arvon mediaani (vaihteluväli) oli 143 mg/l (75–982).</w:t>
      </w:r>
    </w:p>
    <w:p w14:paraId="29F454E9" w14:textId="77777777" w:rsidR="00F40657" w:rsidRPr="0028514E" w:rsidRDefault="00F40657" w:rsidP="006E5F9A">
      <w:pPr>
        <w:pStyle w:val="a4"/>
        <w:ind w:left="0"/>
      </w:pPr>
    </w:p>
    <w:p w14:paraId="1D6A40EB" w14:textId="77777777" w:rsidR="003B7027" w:rsidRPr="0028514E" w:rsidRDefault="00296A74" w:rsidP="006E5F9A">
      <w:pPr>
        <w:pStyle w:val="a4"/>
        <w:ind w:left="0"/>
      </w:pPr>
      <w:r w:rsidRPr="0028514E">
        <w:t>Lähtötilanteessa 0,2 % (n = 9) potilaista ei saanut lisähappea, 45 % potilaista tarvitsi pienivirtauksista happihoitoa, 41 % potilaista tarvitsi kajoamatonta hengityskonehoitoa tai suurivirtauksista happihoitoa ja 14 % potilaista tarvitsi invasiivista hengityskonehoitoa; 82 %:n raportoitiin saaneen systeemistä kortikosteroidihoitoa (määriteltiin potilaiksi, jotka aloittivat systeemisen kortikosteroidihoidon joko ennen satunnaistamista tai satunnaistamisajankohtana). Yleisimmät samanaikaiset sairaudet olivat diabetes (28,4 %), sydänsairaus (22,6 %) ja krooninen keuhkosairaus (23,3 %).</w:t>
      </w:r>
    </w:p>
    <w:p w14:paraId="10493BC9" w14:textId="77777777" w:rsidR="00F40657" w:rsidRPr="0028514E" w:rsidRDefault="00F40657" w:rsidP="006E5F9A">
      <w:pPr>
        <w:pStyle w:val="a4"/>
        <w:ind w:left="0"/>
      </w:pPr>
    </w:p>
    <w:p w14:paraId="64873B46" w14:textId="77777777" w:rsidR="003B7027" w:rsidRPr="0028514E" w:rsidRDefault="00296A74" w:rsidP="006E5F9A">
      <w:pPr>
        <w:pStyle w:val="a4"/>
        <w:ind w:left="0"/>
      </w:pPr>
      <w:r w:rsidRPr="0028514E">
        <w:t xml:space="preserve">Ensisijainen hoitotulos oli kuolleisuus päivän 28 kohdalla. Tosilitsumabin ja tavanomaisen hoidon yhdistelmää saaneen haaran ja pelkästään tavanomaista hoitoa saaneen haaran vertailussa riskitiheyksien suhde oli 0,85 (95 %:n luottamusväli: 0,76–0,94), joka oli tilastollisesti merkitsevä tulos (p </w:t>
      </w:r>
      <w:r w:rsidR="009E78E1" w:rsidRPr="00D21B43">
        <w:t>=</w:t>
      </w:r>
      <w:r w:rsidRPr="0028514E">
        <w:t xml:space="preserve"> 0,0028). Kuoleman todennäköisyyden päivään 28 mennessä arvioitiin olleen tosilitsumabihaarassa 30,7 % ja tavanomaisen hoidon haarassa 34,9 %. Riskin eroksi arvioitiin -4,1 % (95 %:n luottamusväli: -7,0 – -1,3 %), mikä on yhdenmukainen ensisijaisen analyysin kanssa. Ennalta määritellyssä alaryhmässä, jossa potilaat saivat lähtötilanteessa systeemistä kortikosteroidihoitoa, riskitiheyssuhde oli 0,79 (95 %:n luottamusväli: 0,70–0,89), ja ennalta määritellyssä alaryhmässä, </w:t>
      </w:r>
      <w:r w:rsidRPr="0028514E">
        <w:lastRenderedPageBreak/>
        <w:t>jossa potilaat eivät saaneet lähtötilanteessa systeemistä kortikosteroidihoitoa, se oli 1,16 (95 %:n luottamusväli: 0,91–1,48).</w:t>
      </w:r>
    </w:p>
    <w:p w14:paraId="32F9E18B" w14:textId="77777777" w:rsidR="003B7027" w:rsidRPr="0028514E" w:rsidRDefault="003B7027" w:rsidP="006E5F9A">
      <w:pPr>
        <w:pStyle w:val="a4"/>
        <w:ind w:left="0"/>
      </w:pPr>
    </w:p>
    <w:p w14:paraId="374E67AA" w14:textId="77777777" w:rsidR="003B7027" w:rsidRPr="0028514E" w:rsidRDefault="00296A74" w:rsidP="006E5F9A">
      <w:pPr>
        <w:pStyle w:val="a4"/>
        <w:ind w:left="0"/>
      </w:pPr>
      <w:r w:rsidRPr="0028514E">
        <w:t>Sairaalasta kotiutumiseen kuluneen ajan mediaani oli tosilitsumabin ja tavanomaisen hoidon yhdistelmää saaneessa haarassa 19 päivää ja tavanomaista hoitoa saaneessa haarassa &gt; 28 päivää (riskitiheyksien suhde [95 %:n luottamusväli] = 1,22 [1,12–1,33]).</w:t>
      </w:r>
    </w:p>
    <w:p w14:paraId="55EBBA40" w14:textId="77777777" w:rsidR="00F40657" w:rsidRPr="0028514E" w:rsidRDefault="00F40657" w:rsidP="006E5F9A">
      <w:pPr>
        <w:pStyle w:val="a4"/>
        <w:ind w:left="0"/>
      </w:pPr>
    </w:p>
    <w:p w14:paraId="4F550CC1" w14:textId="77777777" w:rsidR="003B7027" w:rsidRPr="0028514E" w:rsidRDefault="00296A74" w:rsidP="006E5F9A">
      <w:pPr>
        <w:pStyle w:val="a4"/>
        <w:ind w:left="0"/>
      </w:pPr>
      <w:r w:rsidRPr="0028514E">
        <w:t>Niistä potilaista, jotka eivät tarvinneet lähtötilanteessa invasiivista hengityskonehoitoa, päivään 28 mennessä hengityskonehoitoa tarvinneiden tai kuolleiden osuus oli tosilitsumabin ja tavanomaisen hoidon yhdistelmää saaneessa haarassa 35 % (619/1754) ja pelkästään tavanomaista hoitoa saaneessa haarassa 42 % (754/1800) (riskisuhde [95 %:n luottamusväli] = 0,84, [0,77–0,92] p &lt; 0,0001).</w:t>
      </w:r>
    </w:p>
    <w:p w14:paraId="0CD72A59" w14:textId="77777777" w:rsidR="003B7027" w:rsidRPr="0028514E" w:rsidRDefault="003B7027" w:rsidP="006E5F9A">
      <w:pPr>
        <w:pStyle w:val="a4"/>
        <w:ind w:left="0"/>
      </w:pPr>
    </w:p>
    <w:p w14:paraId="358050D4" w14:textId="77777777" w:rsidR="003B7027" w:rsidRPr="0028514E" w:rsidRDefault="00296A74" w:rsidP="006E5F9A">
      <w:pPr>
        <w:pStyle w:val="a4"/>
        <w:ind w:left="0"/>
      </w:pPr>
      <w:r w:rsidRPr="0028514E">
        <w:rPr>
          <w:u w:val="single"/>
        </w:rPr>
        <w:t>Pediatriset potilaat</w:t>
      </w:r>
    </w:p>
    <w:p w14:paraId="16A9AD36" w14:textId="77777777" w:rsidR="003B7027" w:rsidRPr="00CA43F5" w:rsidRDefault="00296A74" w:rsidP="006E5F9A">
      <w:pPr>
        <w:rPr>
          <w:i/>
          <w:lang w:val="fi-FI"/>
        </w:rPr>
      </w:pPr>
      <w:r w:rsidRPr="00CA43F5">
        <w:rPr>
          <w:i/>
          <w:lang w:val="fi-FI"/>
        </w:rPr>
        <w:t>Yleisoireista lastenreumaa sairastavat potilaat</w:t>
      </w:r>
    </w:p>
    <w:p w14:paraId="06669C14" w14:textId="77777777" w:rsidR="003B7027" w:rsidRPr="0028514E" w:rsidRDefault="00296A74" w:rsidP="006E5F9A">
      <w:pPr>
        <w:pStyle w:val="a4"/>
        <w:ind w:left="0"/>
        <w:rPr>
          <w:i/>
          <w:iCs/>
        </w:rPr>
      </w:pPr>
      <w:r w:rsidRPr="0028514E">
        <w:rPr>
          <w:i/>
          <w:iCs/>
        </w:rPr>
        <w:t>Kliininen teho</w:t>
      </w:r>
    </w:p>
    <w:p w14:paraId="297E6C3B" w14:textId="77777777" w:rsidR="003B7027" w:rsidRPr="0028514E" w:rsidRDefault="00296A74" w:rsidP="006E5F9A">
      <w:pPr>
        <w:pStyle w:val="a4"/>
        <w:ind w:left="0"/>
      </w:pPr>
      <w:r w:rsidRPr="0028514E">
        <w:t>Tosilitsumabin tehoa aktiivisen yleisoireisen lastenreuman hoidossa on selvitetty 12 viikkoa kestäneessä satunnaistetussa kaksoissokkoutetussa lumelääkekontrolloidussa tutkimuksessa, jossa oli kaksi rinnakkaista ryhmää. Tutkimukseen hyväksytyillä potilailla oli aktiivinen tauti ja he olivat sairastaneet yleisoireista nivelreumaa vähintään kuusi kuukautta. Akuutissa pahenemisvaiheessa olevia potilaita, jotka tarvitsivat &gt; 0,5 mg/kg prednisoniannoksia, ei hyväksytty tutkimukseen.</w:t>
      </w:r>
      <w:r w:rsidR="00F40657" w:rsidRPr="0028514E">
        <w:t xml:space="preserve"> </w:t>
      </w:r>
      <w:r w:rsidRPr="0028514E">
        <w:t>Vaikutusta makrofagiaktivaatio-oireyhtymän hoidossa ei ole tutkittu.</w:t>
      </w:r>
    </w:p>
    <w:p w14:paraId="720AD96A" w14:textId="77777777" w:rsidR="003B7027" w:rsidRPr="0028514E" w:rsidRDefault="003B7027" w:rsidP="006E5F9A">
      <w:pPr>
        <w:pStyle w:val="a4"/>
        <w:ind w:left="0"/>
      </w:pPr>
    </w:p>
    <w:p w14:paraId="2FEBE9E3" w14:textId="6377C51D" w:rsidR="003B7027" w:rsidRPr="0028514E" w:rsidRDefault="00296A74" w:rsidP="00D57B3C">
      <w:pPr>
        <w:pStyle w:val="a4"/>
        <w:ind w:left="0"/>
      </w:pPr>
      <w:r w:rsidRPr="0028514E">
        <w:t>Potilaat (MTX-hoidossa tai ilman) satunnaistettiin (tosilitsumabi:lumelääke = 2:1) jompaankumpaan kahdesta hoitoryhmästä. Toisessa ryhmässä 75 potilasta sai tosilitsumabi-infuusion joka toinen viikko, joko annoksella 8 mg/kg (≥ 30 kg painavat potilaat) tai annoksella 12 mg/kg (&lt; 30 kg painavat potilaat) ja toisessa ryhmässä 37 potilaalle annettiin lumelääkeinfuusio joka toinen viikko.</w:t>
      </w:r>
      <w:r w:rsidR="00D57B3C">
        <w:t xml:space="preserve"> </w:t>
      </w:r>
      <w:r w:rsidRPr="0028514E">
        <w:t>Kortikosteroidiannoksen asteittainen pienentäminen oli sallittua kuudennelta viikolta alkaen niille</w:t>
      </w:r>
      <w:r w:rsidR="008A3DEA" w:rsidRPr="0028514E">
        <w:t xml:space="preserve"> </w:t>
      </w:r>
      <w:r w:rsidRPr="0028514E">
        <w:t>potilaille, jotka saavuttivat JIA ACR70-vasteen (JIA = juveniili idiopaattinen artriitti). 12 viikon jälkeen tai vaihdettuaan hoitoa taudin pahenemisen vuoksi potilaita siirrettiin tutkimuksen avoimeen vaiheeseen, jossa he saivat painonmukaista jatkohoitoa.</w:t>
      </w:r>
    </w:p>
    <w:p w14:paraId="0878681C" w14:textId="77777777" w:rsidR="003B7027" w:rsidRPr="0028514E" w:rsidRDefault="003B7027" w:rsidP="006E5F9A">
      <w:pPr>
        <w:pStyle w:val="a4"/>
        <w:ind w:left="0"/>
      </w:pPr>
    </w:p>
    <w:p w14:paraId="0E3EA7F5" w14:textId="77777777" w:rsidR="003B7027" w:rsidRPr="00CA43F5" w:rsidRDefault="00296A74" w:rsidP="006E5F9A">
      <w:pPr>
        <w:rPr>
          <w:i/>
          <w:lang w:val="fi-FI"/>
        </w:rPr>
      </w:pPr>
      <w:r w:rsidRPr="00CA43F5">
        <w:rPr>
          <w:i/>
          <w:lang w:val="fi-FI"/>
        </w:rPr>
        <w:t>Kliininen vaste</w:t>
      </w:r>
    </w:p>
    <w:p w14:paraId="14BE14CF" w14:textId="77777777" w:rsidR="003B7027" w:rsidRPr="0028514E" w:rsidRDefault="00296A74" w:rsidP="006E5F9A">
      <w:pPr>
        <w:pStyle w:val="a4"/>
        <w:ind w:left="0"/>
      </w:pPr>
      <w:r w:rsidRPr="0028514E">
        <w:t>Tutkimuksen ensisijainen päätetapahtuma oli niiden potilaiden osuus, jotka viikkoon 12 mennessä saavuttivat JIA ACR-kriteerien perusteella vähintään 30 % paremman vasteen (JIA ACR30-vaste) ja jotka olivat kuumeettomia (ei ≥ 37,5 °C:n mittaustuloksia seitsemän edellisen vuorokauden aikana). 85 % (64/75) tosilitsumabihoitoa ja 24,3 % (9/37) lumelääkettä saaneista potilaista saavutti tämän päätetapahtuman. Ryhmien välinen ero oli erittäin merkitsevä (p&lt; 0,0001).</w:t>
      </w:r>
    </w:p>
    <w:p w14:paraId="5B310285" w14:textId="77777777" w:rsidR="00F40657" w:rsidRPr="0028514E" w:rsidRDefault="00F40657" w:rsidP="006E5F9A">
      <w:pPr>
        <w:pStyle w:val="a4"/>
        <w:ind w:left="0"/>
      </w:pPr>
    </w:p>
    <w:p w14:paraId="023A8070" w14:textId="77777777" w:rsidR="003B7027" w:rsidRPr="0028514E" w:rsidRDefault="00296A74" w:rsidP="006E5F9A">
      <w:pPr>
        <w:pStyle w:val="a4"/>
        <w:ind w:left="0"/>
      </w:pPr>
      <w:r w:rsidRPr="0028514E">
        <w:t>Potilaiden jakaumat saavutettujen JIA ACR 30, 50, 70 ja 90 -vasteiden mukaan esitetään taulukossa 8.</w:t>
      </w:r>
    </w:p>
    <w:p w14:paraId="195DED2E" w14:textId="77777777" w:rsidR="003B7027" w:rsidRPr="0028514E" w:rsidRDefault="003B7027" w:rsidP="006E5F9A">
      <w:pPr>
        <w:pStyle w:val="a4"/>
        <w:ind w:left="0"/>
      </w:pPr>
    </w:p>
    <w:p w14:paraId="4360C2CC" w14:textId="77777777" w:rsidR="003B7027" w:rsidRPr="00CA43F5" w:rsidRDefault="00296A74" w:rsidP="009E78E1">
      <w:pPr>
        <w:pStyle w:val="Tabletitle"/>
        <w:rPr>
          <w:lang w:val="fi-FI"/>
        </w:rPr>
      </w:pPr>
      <w:r w:rsidRPr="00CA43F5">
        <w:rPr>
          <w:lang w:val="fi-FI"/>
        </w:rPr>
        <w:t>Taulukko 8.</w:t>
      </w:r>
      <w:r w:rsidR="00F40657" w:rsidRPr="00CA43F5">
        <w:rPr>
          <w:lang w:val="fi-FI"/>
        </w:rPr>
        <w:tab/>
      </w:r>
      <w:r w:rsidRPr="00CA43F5">
        <w:rPr>
          <w:lang w:val="fi-FI"/>
        </w:rPr>
        <w:t>JIA ACR-vasteosuudet viikolla 12 (% potilaista)</w:t>
      </w:r>
    </w:p>
    <w:p w14:paraId="721DE8B8" w14:textId="77777777" w:rsidR="00F40657" w:rsidRPr="00CA43F5" w:rsidRDefault="00F40657" w:rsidP="009E78E1">
      <w:pPr>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234"/>
        <w:gridCol w:w="2409"/>
        <w:gridCol w:w="3261"/>
      </w:tblGrid>
      <w:tr w:rsidR="003B7027" w:rsidRPr="00777B93" w14:paraId="35A76518" w14:textId="77777777" w:rsidTr="00BF6076">
        <w:trPr>
          <w:trHeight w:val="20"/>
          <w:tblHeader/>
        </w:trPr>
        <w:tc>
          <w:tcPr>
            <w:tcW w:w="2234" w:type="dxa"/>
          </w:tcPr>
          <w:p w14:paraId="0075C82B" w14:textId="77777777" w:rsidR="003B7027" w:rsidRPr="0028514E" w:rsidRDefault="00296A74" w:rsidP="006E5F9A">
            <w:pPr>
              <w:pStyle w:val="TableParagraph"/>
              <w:rPr>
                <w:b/>
              </w:rPr>
            </w:pPr>
            <w:r w:rsidRPr="0028514E">
              <w:rPr>
                <w:b/>
              </w:rPr>
              <w:t>Vaste</w:t>
            </w:r>
          </w:p>
        </w:tc>
        <w:tc>
          <w:tcPr>
            <w:tcW w:w="2409" w:type="dxa"/>
          </w:tcPr>
          <w:p w14:paraId="38B03A7F" w14:textId="77777777" w:rsidR="00A71F3E" w:rsidRDefault="00296A74" w:rsidP="006E5F9A">
            <w:pPr>
              <w:pStyle w:val="TableParagraph"/>
              <w:jc w:val="center"/>
              <w:rPr>
                <w:b/>
              </w:rPr>
            </w:pPr>
            <w:r w:rsidRPr="0028514E">
              <w:rPr>
                <w:b/>
              </w:rPr>
              <w:t xml:space="preserve">Tosilitsumabi </w:t>
            </w:r>
          </w:p>
          <w:p w14:paraId="418CCDB2" w14:textId="50BE8990" w:rsidR="003B7027" w:rsidRPr="0028514E" w:rsidRDefault="00296A74" w:rsidP="006E5F9A">
            <w:pPr>
              <w:pStyle w:val="TableParagraph"/>
              <w:jc w:val="center"/>
              <w:rPr>
                <w:b/>
              </w:rPr>
            </w:pPr>
            <w:r w:rsidRPr="0028514E">
              <w:rPr>
                <w:b/>
              </w:rPr>
              <w:t>N = 75</w:t>
            </w:r>
          </w:p>
        </w:tc>
        <w:tc>
          <w:tcPr>
            <w:tcW w:w="3261" w:type="dxa"/>
          </w:tcPr>
          <w:p w14:paraId="11FE0AC8" w14:textId="77777777" w:rsidR="00A71F3E" w:rsidRDefault="00296A74" w:rsidP="006E5F9A">
            <w:pPr>
              <w:pStyle w:val="TableParagraph"/>
              <w:jc w:val="center"/>
              <w:rPr>
                <w:b/>
              </w:rPr>
            </w:pPr>
            <w:r w:rsidRPr="0028514E">
              <w:rPr>
                <w:b/>
              </w:rPr>
              <w:t xml:space="preserve">Lume </w:t>
            </w:r>
          </w:p>
          <w:p w14:paraId="51BC08B8" w14:textId="5BC0E42A" w:rsidR="003B7027" w:rsidRPr="0028514E" w:rsidRDefault="00296A74" w:rsidP="006E5F9A">
            <w:pPr>
              <w:pStyle w:val="TableParagraph"/>
              <w:jc w:val="center"/>
              <w:rPr>
                <w:b/>
              </w:rPr>
            </w:pPr>
            <w:r w:rsidRPr="0028514E">
              <w:rPr>
                <w:b/>
              </w:rPr>
              <w:t>N = 37</w:t>
            </w:r>
          </w:p>
        </w:tc>
      </w:tr>
      <w:tr w:rsidR="003B7027" w:rsidRPr="00777B93" w14:paraId="41FB1874" w14:textId="77777777" w:rsidTr="00BF6076">
        <w:trPr>
          <w:trHeight w:val="20"/>
        </w:trPr>
        <w:tc>
          <w:tcPr>
            <w:tcW w:w="2234" w:type="dxa"/>
          </w:tcPr>
          <w:p w14:paraId="71DE12EC" w14:textId="77777777" w:rsidR="003B7027" w:rsidRPr="0028514E" w:rsidRDefault="00296A74" w:rsidP="006E5F9A">
            <w:pPr>
              <w:pStyle w:val="TableParagraph"/>
            </w:pPr>
            <w:r w:rsidRPr="0028514E">
              <w:t>JIA ACR 30</w:t>
            </w:r>
          </w:p>
        </w:tc>
        <w:tc>
          <w:tcPr>
            <w:tcW w:w="2409" w:type="dxa"/>
          </w:tcPr>
          <w:p w14:paraId="6F88D354" w14:textId="77777777" w:rsidR="003B7027" w:rsidRPr="0028514E" w:rsidRDefault="00296A74" w:rsidP="006E5F9A">
            <w:pPr>
              <w:pStyle w:val="TableParagraph"/>
              <w:jc w:val="center"/>
            </w:pPr>
            <w:r w:rsidRPr="0028514E">
              <w:t>90,7 %</w:t>
            </w:r>
            <w:r w:rsidRPr="0028514E">
              <w:rPr>
                <w:vertAlign w:val="superscript"/>
              </w:rPr>
              <w:t>1</w:t>
            </w:r>
          </w:p>
        </w:tc>
        <w:tc>
          <w:tcPr>
            <w:tcW w:w="3261" w:type="dxa"/>
          </w:tcPr>
          <w:p w14:paraId="6F20376C" w14:textId="77777777" w:rsidR="003B7027" w:rsidRPr="0028514E" w:rsidRDefault="00296A74" w:rsidP="006E5F9A">
            <w:pPr>
              <w:pStyle w:val="TableParagraph"/>
              <w:jc w:val="center"/>
            </w:pPr>
            <w:r w:rsidRPr="0028514E">
              <w:t>24,3 %</w:t>
            </w:r>
          </w:p>
        </w:tc>
      </w:tr>
      <w:tr w:rsidR="003B7027" w:rsidRPr="00777B93" w14:paraId="5EF76BC7" w14:textId="77777777" w:rsidTr="00BF6076">
        <w:trPr>
          <w:trHeight w:val="20"/>
        </w:trPr>
        <w:tc>
          <w:tcPr>
            <w:tcW w:w="2234" w:type="dxa"/>
          </w:tcPr>
          <w:p w14:paraId="58E5FB79" w14:textId="77777777" w:rsidR="003B7027" w:rsidRPr="0028514E" w:rsidRDefault="00296A74" w:rsidP="006E5F9A">
            <w:pPr>
              <w:pStyle w:val="TableParagraph"/>
            </w:pPr>
            <w:r w:rsidRPr="0028514E">
              <w:t>JIA ACR 50</w:t>
            </w:r>
          </w:p>
        </w:tc>
        <w:tc>
          <w:tcPr>
            <w:tcW w:w="2409" w:type="dxa"/>
          </w:tcPr>
          <w:p w14:paraId="09ED28ED" w14:textId="77777777" w:rsidR="003B7027" w:rsidRPr="0028514E" w:rsidRDefault="00296A74" w:rsidP="006E5F9A">
            <w:pPr>
              <w:pStyle w:val="TableParagraph"/>
              <w:jc w:val="center"/>
            </w:pPr>
            <w:r w:rsidRPr="0028514E">
              <w:t>85,3 %</w:t>
            </w:r>
            <w:r w:rsidRPr="0028514E">
              <w:rPr>
                <w:vertAlign w:val="superscript"/>
              </w:rPr>
              <w:t>1</w:t>
            </w:r>
          </w:p>
        </w:tc>
        <w:tc>
          <w:tcPr>
            <w:tcW w:w="3261" w:type="dxa"/>
          </w:tcPr>
          <w:p w14:paraId="6A47C903" w14:textId="77777777" w:rsidR="003B7027" w:rsidRPr="0028514E" w:rsidRDefault="00296A74" w:rsidP="006E5F9A">
            <w:pPr>
              <w:pStyle w:val="TableParagraph"/>
              <w:jc w:val="center"/>
            </w:pPr>
            <w:r w:rsidRPr="0028514E">
              <w:t>10,8 %</w:t>
            </w:r>
          </w:p>
        </w:tc>
      </w:tr>
      <w:tr w:rsidR="003B7027" w:rsidRPr="00777B93" w14:paraId="1DB7324F" w14:textId="77777777" w:rsidTr="00BF6076">
        <w:trPr>
          <w:trHeight w:val="20"/>
        </w:trPr>
        <w:tc>
          <w:tcPr>
            <w:tcW w:w="2234" w:type="dxa"/>
          </w:tcPr>
          <w:p w14:paraId="54EE9C84" w14:textId="77777777" w:rsidR="003B7027" w:rsidRPr="0028514E" w:rsidRDefault="00296A74" w:rsidP="006E5F9A">
            <w:pPr>
              <w:pStyle w:val="TableParagraph"/>
            </w:pPr>
            <w:r w:rsidRPr="0028514E">
              <w:t>JIA ACR 70</w:t>
            </w:r>
          </w:p>
        </w:tc>
        <w:tc>
          <w:tcPr>
            <w:tcW w:w="2409" w:type="dxa"/>
          </w:tcPr>
          <w:p w14:paraId="60F74B05" w14:textId="77777777" w:rsidR="003B7027" w:rsidRPr="0028514E" w:rsidRDefault="00296A74" w:rsidP="006E5F9A">
            <w:pPr>
              <w:pStyle w:val="TableParagraph"/>
              <w:jc w:val="center"/>
            </w:pPr>
            <w:r w:rsidRPr="0028514E">
              <w:t>70,7 %</w:t>
            </w:r>
            <w:r w:rsidRPr="0028514E">
              <w:rPr>
                <w:vertAlign w:val="superscript"/>
              </w:rPr>
              <w:t>1</w:t>
            </w:r>
          </w:p>
        </w:tc>
        <w:tc>
          <w:tcPr>
            <w:tcW w:w="3261" w:type="dxa"/>
          </w:tcPr>
          <w:p w14:paraId="0A05DB35" w14:textId="77777777" w:rsidR="003B7027" w:rsidRPr="0028514E" w:rsidRDefault="00296A74" w:rsidP="006E5F9A">
            <w:pPr>
              <w:pStyle w:val="TableParagraph"/>
              <w:jc w:val="center"/>
            </w:pPr>
            <w:r w:rsidRPr="0028514E">
              <w:t>8,1 %</w:t>
            </w:r>
          </w:p>
        </w:tc>
      </w:tr>
      <w:tr w:rsidR="003B7027" w:rsidRPr="00777B93" w14:paraId="77A5CB6D" w14:textId="77777777" w:rsidTr="00BF6076">
        <w:trPr>
          <w:trHeight w:val="20"/>
        </w:trPr>
        <w:tc>
          <w:tcPr>
            <w:tcW w:w="2234" w:type="dxa"/>
          </w:tcPr>
          <w:p w14:paraId="1811C111" w14:textId="77777777" w:rsidR="003B7027" w:rsidRPr="0028514E" w:rsidRDefault="00296A74" w:rsidP="006E5F9A">
            <w:pPr>
              <w:pStyle w:val="TableParagraph"/>
            </w:pPr>
            <w:r w:rsidRPr="0028514E">
              <w:t>JIA ACR 90</w:t>
            </w:r>
          </w:p>
        </w:tc>
        <w:tc>
          <w:tcPr>
            <w:tcW w:w="2409" w:type="dxa"/>
          </w:tcPr>
          <w:p w14:paraId="7C285DC6" w14:textId="77777777" w:rsidR="003B7027" w:rsidRPr="0028514E" w:rsidRDefault="00296A74" w:rsidP="006E5F9A">
            <w:pPr>
              <w:pStyle w:val="TableParagraph"/>
              <w:jc w:val="center"/>
            </w:pPr>
            <w:r w:rsidRPr="0028514E">
              <w:t>37,3 %</w:t>
            </w:r>
            <w:r w:rsidRPr="0028514E">
              <w:rPr>
                <w:vertAlign w:val="superscript"/>
              </w:rPr>
              <w:t>1</w:t>
            </w:r>
          </w:p>
        </w:tc>
        <w:tc>
          <w:tcPr>
            <w:tcW w:w="3261" w:type="dxa"/>
          </w:tcPr>
          <w:p w14:paraId="33A26267" w14:textId="77777777" w:rsidR="003B7027" w:rsidRPr="0028514E" w:rsidRDefault="00296A74" w:rsidP="006E5F9A">
            <w:pPr>
              <w:pStyle w:val="TableParagraph"/>
              <w:jc w:val="center"/>
            </w:pPr>
            <w:r w:rsidRPr="0028514E">
              <w:t>5,4 %</w:t>
            </w:r>
          </w:p>
        </w:tc>
      </w:tr>
    </w:tbl>
    <w:p w14:paraId="2E7A15C7" w14:textId="77777777" w:rsidR="003B7027" w:rsidRPr="009E78E1" w:rsidRDefault="00296A74" w:rsidP="006E5F9A">
      <w:pPr>
        <w:rPr>
          <w:i/>
          <w:sz w:val="18"/>
          <w:szCs w:val="18"/>
        </w:rPr>
      </w:pPr>
      <w:r w:rsidRPr="009E78E1">
        <w:rPr>
          <w:sz w:val="18"/>
          <w:szCs w:val="18"/>
          <w:vertAlign w:val="superscript"/>
        </w:rPr>
        <w:t>1</w:t>
      </w:r>
      <w:r w:rsidRPr="009E78E1">
        <w:rPr>
          <w:i/>
          <w:sz w:val="18"/>
          <w:szCs w:val="18"/>
        </w:rPr>
        <w:t xml:space="preserve">p&lt;0.0001, </w:t>
      </w:r>
      <w:proofErr w:type="spellStart"/>
      <w:r w:rsidRPr="009E78E1">
        <w:rPr>
          <w:i/>
          <w:sz w:val="18"/>
          <w:szCs w:val="18"/>
        </w:rPr>
        <w:t>tosilitsumabi</w:t>
      </w:r>
      <w:proofErr w:type="spellEnd"/>
      <w:r w:rsidRPr="009E78E1">
        <w:rPr>
          <w:i/>
          <w:sz w:val="18"/>
          <w:szCs w:val="18"/>
        </w:rPr>
        <w:t xml:space="preserve"> vs. </w:t>
      </w:r>
      <w:proofErr w:type="spellStart"/>
      <w:r w:rsidRPr="009E78E1">
        <w:rPr>
          <w:i/>
          <w:sz w:val="18"/>
          <w:szCs w:val="18"/>
        </w:rPr>
        <w:t>lumelääke</w:t>
      </w:r>
      <w:proofErr w:type="spellEnd"/>
    </w:p>
    <w:p w14:paraId="1CA22C77" w14:textId="77777777" w:rsidR="003B7027" w:rsidRPr="0028514E" w:rsidRDefault="003B7027" w:rsidP="006E5F9A">
      <w:pPr>
        <w:pStyle w:val="a4"/>
        <w:ind w:left="0"/>
        <w:rPr>
          <w:i/>
          <w:sz w:val="18"/>
        </w:rPr>
      </w:pPr>
    </w:p>
    <w:p w14:paraId="14909B6A" w14:textId="77777777" w:rsidR="003B7027" w:rsidRPr="0028514E" w:rsidRDefault="00296A74" w:rsidP="006E5F9A">
      <w:pPr>
        <w:rPr>
          <w:i/>
        </w:rPr>
      </w:pPr>
      <w:proofErr w:type="spellStart"/>
      <w:r w:rsidRPr="0028514E">
        <w:rPr>
          <w:i/>
        </w:rPr>
        <w:t>Systeemiset</w:t>
      </w:r>
      <w:proofErr w:type="spellEnd"/>
      <w:r w:rsidRPr="0028514E">
        <w:rPr>
          <w:i/>
        </w:rPr>
        <w:t xml:space="preserve"> </w:t>
      </w:r>
      <w:proofErr w:type="spellStart"/>
      <w:r w:rsidRPr="0028514E">
        <w:rPr>
          <w:i/>
        </w:rPr>
        <w:t>vaikutukset</w:t>
      </w:r>
      <w:proofErr w:type="spellEnd"/>
    </w:p>
    <w:p w14:paraId="0AA6DE3E" w14:textId="77777777" w:rsidR="003B7027" w:rsidRPr="0028514E" w:rsidRDefault="00296A74" w:rsidP="006E5F9A">
      <w:pPr>
        <w:pStyle w:val="a4"/>
        <w:ind w:left="0"/>
      </w:pPr>
      <w:r w:rsidRPr="0028514E">
        <w:t>Tosilitsumabiryhmän potilaista, joilla oli yleisoireisesta lastenreumasta johtuvaa kuumetta hoidon alussa, 85 % oli kuumeettomia viikolla 12 (ei ≥ 37,5 °C:n mittaustuloksia 14 edellisen vuorokauden aikana). Lumelääkeryhmässä kuumeettomien potilaiden osuus oli vain 21 % (p &lt; 0,0001).</w:t>
      </w:r>
    </w:p>
    <w:p w14:paraId="3EA8B4DC" w14:textId="77777777" w:rsidR="00F40657" w:rsidRPr="0028514E" w:rsidRDefault="00F40657" w:rsidP="006E5F9A">
      <w:pPr>
        <w:pStyle w:val="a4"/>
        <w:ind w:left="0"/>
      </w:pPr>
    </w:p>
    <w:p w14:paraId="692F2892" w14:textId="77777777" w:rsidR="003B7027" w:rsidRPr="0028514E" w:rsidRDefault="00296A74" w:rsidP="006E5F9A">
      <w:pPr>
        <w:pStyle w:val="a4"/>
        <w:ind w:left="0"/>
      </w:pPr>
      <w:r w:rsidRPr="0028514E">
        <w:lastRenderedPageBreak/>
        <w:t>12 viikon tosilitsumabihoidon jälkeen vakioitu keskimääräinen muutos VAS-kipuindeksissä oli 41 VAS-pisteen vähennys (asteikolla 0–100 pistettä) verrattuna yhden VAS-pisteen vähennykseen lumelääkeryhmässä (p &lt; 0,0001).</w:t>
      </w:r>
    </w:p>
    <w:p w14:paraId="51346246" w14:textId="77777777" w:rsidR="003B7027" w:rsidRPr="0028514E" w:rsidRDefault="003B7027" w:rsidP="006E5F9A">
      <w:pPr>
        <w:pStyle w:val="a4"/>
        <w:ind w:left="0"/>
      </w:pPr>
    </w:p>
    <w:p w14:paraId="61AAED39" w14:textId="77777777" w:rsidR="003B7027" w:rsidRPr="00CA43F5" w:rsidRDefault="00296A74" w:rsidP="006E5F9A">
      <w:pPr>
        <w:rPr>
          <w:i/>
          <w:lang w:val="fi-FI"/>
        </w:rPr>
      </w:pPr>
      <w:r w:rsidRPr="00CA43F5">
        <w:rPr>
          <w:i/>
          <w:lang w:val="fi-FI"/>
        </w:rPr>
        <w:t>Kortikosteroidiannoksen asteittainen pienentäminen</w:t>
      </w:r>
    </w:p>
    <w:p w14:paraId="755B7CB8" w14:textId="77777777" w:rsidR="003B7027" w:rsidRPr="0028514E" w:rsidRDefault="00296A74" w:rsidP="006E5F9A">
      <w:pPr>
        <w:pStyle w:val="a4"/>
        <w:ind w:left="0"/>
      </w:pPr>
      <w:r w:rsidRPr="0028514E">
        <w:t>Kortikosteroidiannoksen pienentäminen sallittiin JIA ACR70-vasteen saavuttaneille potilaille. Tosilitsumabiryhmässä 17 potilasta (24 %) ja lumelääkeryhmässä yksi (3 %) potilas pystyi pienentämään kortikosteroidiannostaan vähintään 20 % ilman JIA ARC30-vasteen heikkenemistä tai systeemisten oireiden ilmaantumista viikkoon 12 mennessä (p = 0,028). Kortikosteroidiannoksen pienentämistä jatkettiin, ja tutkimusviikolla 44 oraalisten kortikosteroidien ottamisen oli lopettanut 44 potilasta. Samaan aikaan JIA ACR-vasteet pysyivät ennallaan.</w:t>
      </w:r>
    </w:p>
    <w:p w14:paraId="51CC96F4" w14:textId="77777777" w:rsidR="003B7027" w:rsidRPr="0028514E" w:rsidRDefault="003B7027" w:rsidP="006E5F9A">
      <w:pPr>
        <w:pStyle w:val="a4"/>
        <w:ind w:left="0"/>
      </w:pPr>
    </w:p>
    <w:p w14:paraId="30C7EF13" w14:textId="77777777" w:rsidR="003B7027" w:rsidRPr="00CA43F5" w:rsidRDefault="00296A74" w:rsidP="006E5F9A">
      <w:pPr>
        <w:rPr>
          <w:i/>
          <w:lang w:val="fi-FI"/>
        </w:rPr>
      </w:pPr>
      <w:r w:rsidRPr="00CA43F5">
        <w:rPr>
          <w:i/>
          <w:lang w:val="fi-FI"/>
        </w:rPr>
        <w:t>Terveydentilaa ja elämänlaatua kuvaavat tulokset</w:t>
      </w:r>
    </w:p>
    <w:p w14:paraId="012B7CFB" w14:textId="77777777" w:rsidR="003B7027" w:rsidRPr="0028514E" w:rsidRDefault="00296A74" w:rsidP="006E5F9A">
      <w:pPr>
        <w:pStyle w:val="a4"/>
        <w:ind w:left="0"/>
      </w:pPr>
      <w:r w:rsidRPr="0028514E">
        <w:t>Niiden potilaiden osuus, jotka osoittivat pienintä kliinisesti merkittävää paranemista kaikissa lapsipotilaan toimintakyvyn arviointiin perustuvissa mittareissa (yksilöllisen kokonais-HAQ-DI- indeksin pieneneminen ≥ 0,13 yksikköä), oli viikolla 12 huomattavasti suurempi tosilitsumabiryhmässä kuin lumelääkeryhmässä, 77 % vs 19 % (p &lt; 0,0001).</w:t>
      </w:r>
    </w:p>
    <w:p w14:paraId="7C664AD3" w14:textId="77777777" w:rsidR="003B7027" w:rsidRPr="0028514E" w:rsidRDefault="003B7027" w:rsidP="006E5F9A">
      <w:pPr>
        <w:pStyle w:val="a4"/>
        <w:ind w:left="0"/>
      </w:pPr>
    </w:p>
    <w:p w14:paraId="7B516FD8" w14:textId="77777777" w:rsidR="003B7027" w:rsidRPr="00CA43F5" w:rsidRDefault="00296A74" w:rsidP="006E5F9A">
      <w:pPr>
        <w:rPr>
          <w:i/>
          <w:lang w:val="fi-FI"/>
        </w:rPr>
      </w:pPr>
      <w:r w:rsidRPr="00CA43F5">
        <w:rPr>
          <w:i/>
          <w:lang w:val="fi-FI"/>
        </w:rPr>
        <w:t>Laboratorioarvot</w:t>
      </w:r>
    </w:p>
    <w:p w14:paraId="7E3CAC1F" w14:textId="77777777" w:rsidR="003B7027" w:rsidRPr="0028514E" w:rsidRDefault="00296A74" w:rsidP="006E5F9A">
      <w:pPr>
        <w:pStyle w:val="a4"/>
        <w:ind w:left="0"/>
      </w:pPr>
      <w:r w:rsidRPr="0028514E">
        <w:t>Tosilitsumabiryhmän potilaista 67 prosentilla (50/75) hemoglobiiniarvo oli hoidon alkaessa viitealueen alarajan alapuolella. Viikolla 12 hemoglobiiniarvo oli noussut viitealueelle 80 prosentilla näistä potilaista (40/50), kun lumeryhmässä vastaava nousu todettiin vain 7 prosentilla (2/29) potilaista, joiden hemoglobiini oli hoidon alkaessa viitealueen alapuolella (p &lt; 0,0001).</w:t>
      </w:r>
    </w:p>
    <w:p w14:paraId="78A42ECC" w14:textId="77777777" w:rsidR="00F40657" w:rsidRPr="0028514E" w:rsidRDefault="00F40657" w:rsidP="006E5F9A">
      <w:pPr>
        <w:pStyle w:val="a4"/>
        <w:ind w:left="0"/>
      </w:pPr>
    </w:p>
    <w:p w14:paraId="4DA44CF5" w14:textId="77777777" w:rsidR="003B7027" w:rsidRPr="00CA43F5" w:rsidRDefault="00296A74" w:rsidP="006E5F9A">
      <w:pPr>
        <w:rPr>
          <w:i/>
          <w:lang w:val="fi-FI"/>
        </w:rPr>
      </w:pPr>
      <w:r w:rsidRPr="00CA43F5">
        <w:rPr>
          <w:i/>
          <w:lang w:val="fi-FI"/>
        </w:rPr>
        <w:t>Polyartriittipotilaat</w:t>
      </w:r>
    </w:p>
    <w:p w14:paraId="33292ECB" w14:textId="77777777" w:rsidR="003B7027" w:rsidRPr="0028514E" w:rsidRDefault="00296A74" w:rsidP="006E5F9A">
      <w:pPr>
        <w:pStyle w:val="a4"/>
        <w:ind w:left="0"/>
        <w:rPr>
          <w:i/>
          <w:iCs/>
        </w:rPr>
      </w:pPr>
      <w:r w:rsidRPr="0028514E">
        <w:rPr>
          <w:i/>
          <w:iCs/>
        </w:rPr>
        <w:t>Kliininen teho</w:t>
      </w:r>
    </w:p>
    <w:p w14:paraId="4DF4E8C7" w14:textId="77777777" w:rsidR="003B7027" w:rsidRPr="0028514E" w:rsidRDefault="00296A74" w:rsidP="006E5F9A">
      <w:pPr>
        <w:pStyle w:val="a4"/>
        <w:ind w:left="0"/>
      </w:pPr>
      <w:r w:rsidRPr="0028514E">
        <w:t>Tosilitsumabin tehoa aktiivista polyartriittia sairastavien lasten hoidossa on selvitetty kolmiosaisessa tutkimuksessa WA19977, johon kuului avoin jatkotutkimus. Osa I koostui 16 viikkoa kestäneestä aktiivisesta tosilitsumabihoidon aloitusjaksosta (n = 188), jonka jälkeinen osa II oli 24 viikkoa kestänyt satunnaistettu kaksoissokkoutettu lumekontrolloitu hoidon lopettamisjakso (n = 163). Tämän</w:t>
      </w:r>
      <w:r w:rsidR="00F40657" w:rsidRPr="0028514E">
        <w:t xml:space="preserve"> </w:t>
      </w:r>
      <w:r w:rsidRPr="0028514E">
        <w:t>jälkeen seurasi osa III, joka oli 64 viikkoa kestänyt avoin jakso. Osassa I tutkimukseen hyväksytyt</w:t>
      </w:r>
      <w:r w:rsidR="00F40657" w:rsidRPr="0028514E">
        <w:t xml:space="preserve"> </w:t>
      </w:r>
      <w:r w:rsidRPr="0028514E">
        <w:t>≥ 30 kg:n painoiset potilaat saivat neljä 8 mg/kg tosilitsumabiannosta laskimoon neljän viikon välein, kun taas &lt; 30 kg:n painoiset potilaat satunnaistettiin suhteessa 1:1 saamaan laskimoon neljä tosilitsumabiannosta (joko 8 mg/kg tai 10 mg/kg) neljän viikon välein. Jos potilas oli tutkimuksessa mukana osan I päättymiseen saakka ja sai viikolla 16 vähintään JIA ACR30 -vasteen verrattuna lähtötilanteeseen, potilas soveltui jatkamaan tutkimusta sokkoutetussa hoidon lopettamisjaksossa (osa II). Osassa II potilaat satunnaistettiin joko tosilitsumabihoitoon (samoina annoksina kuin osassa I) tai lumelääkkeeseen suhteessa 1:1 samanaikaisen MTX:n ja kortikosteroidien käytön perusteella stratifioituna. Potilaat olivat mukana osassa II viikkoon 40 saakka tai kunnes potilas täytti JIA ACR30</w:t>
      </w:r>
      <w:r w:rsidR="00F40657" w:rsidRPr="0028514E">
        <w:t xml:space="preserve"> </w:t>
      </w:r>
      <w:r w:rsidRPr="0028514E">
        <w:t>-pahenemisvaiheen kriteerit (viikkoon 16 verrattuna), mikä johti potilaan siirtymiseen tosilitsumabihoitoon (osassa I annetulla annostuksella).</w:t>
      </w:r>
    </w:p>
    <w:p w14:paraId="4792FBA0" w14:textId="77777777" w:rsidR="00F40657" w:rsidRPr="0028514E" w:rsidRDefault="00F40657" w:rsidP="006E5F9A">
      <w:pPr>
        <w:pStyle w:val="a4"/>
        <w:ind w:left="0"/>
      </w:pPr>
    </w:p>
    <w:p w14:paraId="6CCC0117" w14:textId="77777777" w:rsidR="003B7027" w:rsidRPr="00CA43F5" w:rsidRDefault="00296A74" w:rsidP="00D440EB">
      <w:pPr>
        <w:keepNext/>
        <w:rPr>
          <w:i/>
          <w:lang w:val="fi-FI"/>
        </w:rPr>
      </w:pPr>
      <w:r w:rsidRPr="00CA43F5">
        <w:rPr>
          <w:i/>
          <w:lang w:val="fi-FI"/>
        </w:rPr>
        <w:t>Kliininen vaste</w:t>
      </w:r>
    </w:p>
    <w:p w14:paraId="6952B2A2" w14:textId="77777777" w:rsidR="003B7027" w:rsidRPr="0028514E" w:rsidRDefault="00296A74" w:rsidP="006E5F9A">
      <w:pPr>
        <w:pStyle w:val="a4"/>
        <w:ind w:left="0"/>
      </w:pPr>
      <w:r w:rsidRPr="0028514E">
        <w:t>Tutkimuksen ensisijainen päätetapahtuma oli niiden potilaiden osuus, joiden sairaus oli pahentunut ACR30-kriteerien mukaisesti viikolta 16 viikolle 40. Sairaus paheni 48 %:lla (48,1 %, 39/81) lumelääkettä saaneista ja 25,6 %:lla (21/82) tosilitsumabia saaneista potilaista. Nämä osuuksien väliset erot olivat tilastollisesti merkitseviä (p = 0.0024).</w:t>
      </w:r>
    </w:p>
    <w:p w14:paraId="249BE49E" w14:textId="77777777" w:rsidR="003B7027" w:rsidRPr="0028514E" w:rsidRDefault="003B7027" w:rsidP="006E5F9A">
      <w:pPr>
        <w:pStyle w:val="a4"/>
        <w:ind w:left="0"/>
      </w:pPr>
    </w:p>
    <w:p w14:paraId="0B9E4D3B" w14:textId="77777777" w:rsidR="003B7027" w:rsidRPr="0028514E" w:rsidRDefault="00296A74" w:rsidP="006E5F9A">
      <w:pPr>
        <w:pStyle w:val="a4"/>
        <w:ind w:left="0"/>
      </w:pPr>
      <w:r w:rsidRPr="0028514E">
        <w:t>Osan I päättyessä JIA ACR30 -vasteen saaneita oli 89,4 %, JIA ACR50 -vasteen saaneita 83,0 %, JIA ACR70 -vasteen saaneita 62,2 % ja JIA ACR90 -vasteen saaneita oli 26,1 %.</w:t>
      </w:r>
    </w:p>
    <w:p w14:paraId="53057D04" w14:textId="77777777" w:rsidR="00E456A9" w:rsidRPr="0028514E" w:rsidRDefault="00E456A9" w:rsidP="006E5F9A">
      <w:pPr>
        <w:pStyle w:val="a4"/>
        <w:ind w:left="0"/>
      </w:pPr>
    </w:p>
    <w:p w14:paraId="1499DF38" w14:textId="77777777" w:rsidR="003B7027" w:rsidRPr="0028514E" w:rsidRDefault="00296A74" w:rsidP="006E5F9A">
      <w:pPr>
        <w:pStyle w:val="a4"/>
        <w:ind w:left="0"/>
      </w:pPr>
      <w:r w:rsidRPr="0028514E">
        <w:t xml:space="preserve">Hoidon lopettamisjakson aikana (osa II) JIA ACR30 -,50 - ja 70 -vasteen saaneiden potilaiden prosenttiosuudet viikolla 40 verrattuna lähtötilanteeseen on esitetty taulukossa 9. Jos potilaalla oli pahenemisvaihe osan II aikana tai potilas vetäytyi tutkimuksesta, hänet luokiteltiin tässä tilastollisessa analyysissä ryhmään ei-vastetta. JIA ACR -vasteiden lisäanalyysi, osoitti, että niistä potilaista, joilla tosilitsumabihoito oli jatkuvaa viikolle 40 asti, 95,1 % saavutti vähintään JIA ACR 30 -vasteen. Tässä </w:t>
      </w:r>
      <w:r w:rsidRPr="0028514E">
        <w:lastRenderedPageBreak/>
        <w:t>lisäanalyysissa huomioitiin havaintoarvot viikolla 40 riippumatta potilaalla esiintyneistä pahenemisvaiheista.</w:t>
      </w:r>
    </w:p>
    <w:p w14:paraId="6E1515DF" w14:textId="77777777" w:rsidR="003B7027" w:rsidRPr="0028514E" w:rsidRDefault="003B7027" w:rsidP="006E5F9A">
      <w:pPr>
        <w:pStyle w:val="a4"/>
        <w:ind w:left="0"/>
      </w:pPr>
    </w:p>
    <w:p w14:paraId="39F5047F" w14:textId="77777777" w:rsidR="003B7027" w:rsidRPr="00CA43F5" w:rsidRDefault="00296A74" w:rsidP="009E78E1">
      <w:pPr>
        <w:pStyle w:val="Tabletitle"/>
        <w:rPr>
          <w:lang w:val="fi-FI"/>
        </w:rPr>
      </w:pPr>
      <w:r w:rsidRPr="00CA43F5">
        <w:rPr>
          <w:lang w:val="fi-FI"/>
        </w:rPr>
        <w:t>Taulukko 9.</w:t>
      </w:r>
      <w:r w:rsidR="00E456A9" w:rsidRPr="00CA43F5">
        <w:rPr>
          <w:lang w:val="fi-FI"/>
        </w:rPr>
        <w:tab/>
      </w:r>
      <w:r w:rsidRPr="00CA43F5">
        <w:rPr>
          <w:lang w:val="fi-FI"/>
        </w:rPr>
        <w:t>JIA ACR -vasteosuudet viikolla 40 verrattuna lähtötilanteeseen (potilaiden prosenttiosuudet)</w:t>
      </w:r>
    </w:p>
    <w:p w14:paraId="07BA58FA" w14:textId="77777777" w:rsidR="00E456A9" w:rsidRPr="00CA43F5" w:rsidRDefault="00E456A9" w:rsidP="009E78E1">
      <w:pPr>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234"/>
        <w:gridCol w:w="2409"/>
        <w:gridCol w:w="3261"/>
      </w:tblGrid>
      <w:tr w:rsidR="003B7027" w:rsidRPr="00777B93" w14:paraId="710093D6" w14:textId="77777777" w:rsidTr="00D57B3C">
        <w:trPr>
          <w:trHeight w:val="20"/>
          <w:tblHeader/>
        </w:trPr>
        <w:tc>
          <w:tcPr>
            <w:tcW w:w="2234" w:type="dxa"/>
          </w:tcPr>
          <w:p w14:paraId="12F42452" w14:textId="77777777" w:rsidR="003B7027" w:rsidRPr="0028514E" w:rsidRDefault="00296A74" w:rsidP="006E5F9A">
            <w:pPr>
              <w:pStyle w:val="TableParagraph"/>
              <w:rPr>
                <w:b/>
              </w:rPr>
            </w:pPr>
            <w:r w:rsidRPr="0028514E">
              <w:rPr>
                <w:b/>
              </w:rPr>
              <w:t>Vaste</w:t>
            </w:r>
          </w:p>
        </w:tc>
        <w:tc>
          <w:tcPr>
            <w:tcW w:w="2409" w:type="dxa"/>
          </w:tcPr>
          <w:p w14:paraId="3B222BCA" w14:textId="77777777" w:rsidR="003B7027" w:rsidRPr="00A71F3E" w:rsidRDefault="00296A74" w:rsidP="006E5F9A">
            <w:pPr>
              <w:pStyle w:val="TableParagraph"/>
              <w:jc w:val="center"/>
              <w:rPr>
                <w:b/>
                <w:bCs/>
              </w:rPr>
            </w:pPr>
            <w:r w:rsidRPr="00A71F3E">
              <w:rPr>
                <w:b/>
                <w:bCs/>
              </w:rPr>
              <w:t>Tosilitsumabi</w:t>
            </w:r>
          </w:p>
          <w:p w14:paraId="28F6C198" w14:textId="77777777" w:rsidR="003B7027" w:rsidRPr="00A71F3E" w:rsidRDefault="00296A74" w:rsidP="006E5F9A">
            <w:pPr>
              <w:pStyle w:val="TableParagraph"/>
              <w:jc w:val="center"/>
              <w:rPr>
                <w:b/>
                <w:bCs/>
              </w:rPr>
            </w:pPr>
            <w:r w:rsidRPr="00A71F3E">
              <w:rPr>
                <w:b/>
                <w:bCs/>
              </w:rPr>
              <w:t>N = 82</w:t>
            </w:r>
          </w:p>
        </w:tc>
        <w:tc>
          <w:tcPr>
            <w:tcW w:w="3261" w:type="dxa"/>
          </w:tcPr>
          <w:p w14:paraId="1D6DBC90" w14:textId="77777777" w:rsidR="003B7027" w:rsidRPr="00A71F3E" w:rsidRDefault="00296A74" w:rsidP="006E5F9A">
            <w:pPr>
              <w:pStyle w:val="TableParagraph"/>
              <w:jc w:val="center"/>
              <w:rPr>
                <w:b/>
                <w:bCs/>
              </w:rPr>
            </w:pPr>
            <w:r w:rsidRPr="00A71F3E">
              <w:rPr>
                <w:b/>
                <w:bCs/>
              </w:rPr>
              <w:t>Lume</w:t>
            </w:r>
          </w:p>
          <w:p w14:paraId="15E799B6" w14:textId="77777777" w:rsidR="003B7027" w:rsidRPr="00A71F3E" w:rsidRDefault="00296A74" w:rsidP="006E5F9A">
            <w:pPr>
              <w:pStyle w:val="TableParagraph"/>
              <w:jc w:val="center"/>
              <w:rPr>
                <w:b/>
                <w:bCs/>
              </w:rPr>
            </w:pPr>
            <w:r w:rsidRPr="00A71F3E">
              <w:rPr>
                <w:b/>
                <w:bCs/>
              </w:rPr>
              <w:t>N = 81</w:t>
            </w:r>
          </w:p>
        </w:tc>
      </w:tr>
      <w:tr w:rsidR="003B7027" w:rsidRPr="00777B93" w14:paraId="4A22C4C5" w14:textId="77777777" w:rsidTr="00BF6076">
        <w:trPr>
          <w:trHeight w:val="20"/>
        </w:trPr>
        <w:tc>
          <w:tcPr>
            <w:tcW w:w="2234" w:type="dxa"/>
          </w:tcPr>
          <w:p w14:paraId="3E3465D7" w14:textId="77777777" w:rsidR="003B7027" w:rsidRPr="0028514E" w:rsidRDefault="00296A74" w:rsidP="006E5F9A">
            <w:pPr>
              <w:pStyle w:val="TableParagraph"/>
            </w:pPr>
            <w:r w:rsidRPr="0028514E">
              <w:t>ACR 30</w:t>
            </w:r>
          </w:p>
        </w:tc>
        <w:tc>
          <w:tcPr>
            <w:tcW w:w="2409" w:type="dxa"/>
          </w:tcPr>
          <w:p w14:paraId="7B33AE90" w14:textId="77777777" w:rsidR="003B7027" w:rsidRPr="0028514E" w:rsidRDefault="00296A74" w:rsidP="006E5F9A">
            <w:pPr>
              <w:pStyle w:val="TableParagraph"/>
              <w:jc w:val="center"/>
            </w:pPr>
            <w:r w:rsidRPr="0028514E">
              <w:t>74,4 %*</w:t>
            </w:r>
          </w:p>
        </w:tc>
        <w:tc>
          <w:tcPr>
            <w:tcW w:w="3261" w:type="dxa"/>
          </w:tcPr>
          <w:p w14:paraId="08BCB2C4" w14:textId="77777777" w:rsidR="003B7027" w:rsidRPr="0028514E" w:rsidRDefault="00296A74" w:rsidP="006E5F9A">
            <w:pPr>
              <w:pStyle w:val="TableParagraph"/>
              <w:jc w:val="center"/>
            </w:pPr>
            <w:r w:rsidRPr="0028514E">
              <w:t>54,3 %*</w:t>
            </w:r>
          </w:p>
        </w:tc>
      </w:tr>
      <w:tr w:rsidR="003B7027" w:rsidRPr="00777B93" w14:paraId="2935369B" w14:textId="77777777" w:rsidTr="00BF6076">
        <w:trPr>
          <w:trHeight w:val="20"/>
        </w:trPr>
        <w:tc>
          <w:tcPr>
            <w:tcW w:w="2234" w:type="dxa"/>
          </w:tcPr>
          <w:p w14:paraId="32E3A2EB" w14:textId="77777777" w:rsidR="003B7027" w:rsidRPr="0028514E" w:rsidRDefault="00296A74" w:rsidP="006E5F9A">
            <w:pPr>
              <w:pStyle w:val="TableParagraph"/>
            </w:pPr>
            <w:r w:rsidRPr="0028514E">
              <w:t>ACR 50</w:t>
            </w:r>
          </w:p>
        </w:tc>
        <w:tc>
          <w:tcPr>
            <w:tcW w:w="2409" w:type="dxa"/>
          </w:tcPr>
          <w:p w14:paraId="61EDD3AE" w14:textId="77777777" w:rsidR="003B7027" w:rsidRPr="0028514E" w:rsidRDefault="00296A74" w:rsidP="006E5F9A">
            <w:pPr>
              <w:pStyle w:val="TableParagraph"/>
              <w:jc w:val="center"/>
            </w:pPr>
            <w:r w:rsidRPr="0028514E">
              <w:t>73,2 %*</w:t>
            </w:r>
          </w:p>
        </w:tc>
        <w:tc>
          <w:tcPr>
            <w:tcW w:w="3261" w:type="dxa"/>
          </w:tcPr>
          <w:p w14:paraId="7BDEB0E5" w14:textId="77777777" w:rsidR="003B7027" w:rsidRPr="0028514E" w:rsidRDefault="00296A74" w:rsidP="006E5F9A">
            <w:pPr>
              <w:pStyle w:val="TableParagraph"/>
              <w:jc w:val="center"/>
            </w:pPr>
            <w:r w:rsidRPr="0028514E">
              <w:t>51,9 %*</w:t>
            </w:r>
          </w:p>
        </w:tc>
      </w:tr>
      <w:tr w:rsidR="003B7027" w:rsidRPr="00777B93" w14:paraId="52173FF6" w14:textId="77777777" w:rsidTr="00BF6076">
        <w:trPr>
          <w:trHeight w:val="20"/>
        </w:trPr>
        <w:tc>
          <w:tcPr>
            <w:tcW w:w="2234" w:type="dxa"/>
          </w:tcPr>
          <w:p w14:paraId="797CA40F" w14:textId="77777777" w:rsidR="003B7027" w:rsidRPr="0028514E" w:rsidRDefault="00296A74" w:rsidP="006E5F9A">
            <w:pPr>
              <w:pStyle w:val="TableParagraph"/>
            </w:pPr>
            <w:r w:rsidRPr="0028514E">
              <w:t>ACR 70</w:t>
            </w:r>
          </w:p>
        </w:tc>
        <w:tc>
          <w:tcPr>
            <w:tcW w:w="2409" w:type="dxa"/>
          </w:tcPr>
          <w:p w14:paraId="3DAEC5CA" w14:textId="77777777" w:rsidR="003B7027" w:rsidRPr="0028514E" w:rsidRDefault="00296A74" w:rsidP="006E5F9A">
            <w:pPr>
              <w:pStyle w:val="TableParagraph"/>
              <w:jc w:val="center"/>
            </w:pPr>
            <w:r w:rsidRPr="0028514E">
              <w:t>64,6 %*</w:t>
            </w:r>
          </w:p>
        </w:tc>
        <w:tc>
          <w:tcPr>
            <w:tcW w:w="3261" w:type="dxa"/>
          </w:tcPr>
          <w:p w14:paraId="74E6B769" w14:textId="77777777" w:rsidR="003B7027" w:rsidRPr="0028514E" w:rsidRDefault="00296A74" w:rsidP="006E5F9A">
            <w:pPr>
              <w:pStyle w:val="TableParagraph"/>
              <w:jc w:val="center"/>
            </w:pPr>
            <w:r w:rsidRPr="0028514E">
              <w:t>42,0 %*</w:t>
            </w:r>
          </w:p>
        </w:tc>
      </w:tr>
    </w:tbl>
    <w:p w14:paraId="60FDB448" w14:textId="77777777" w:rsidR="003B7027" w:rsidRPr="0028514E" w:rsidRDefault="00296A74" w:rsidP="006E5F9A">
      <w:pPr>
        <w:rPr>
          <w:i/>
          <w:sz w:val="18"/>
          <w:szCs w:val="18"/>
        </w:rPr>
      </w:pPr>
      <w:r w:rsidRPr="0028514E">
        <w:rPr>
          <w:sz w:val="18"/>
          <w:szCs w:val="18"/>
        </w:rPr>
        <w:t>*</w:t>
      </w:r>
      <w:r w:rsidRPr="0028514E">
        <w:rPr>
          <w:i/>
          <w:sz w:val="18"/>
          <w:szCs w:val="18"/>
        </w:rPr>
        <w:t xml:space="preserve">p&lt;0,01, </w:t>
      </w:r>
      <w:proofErr w:type="spellStart"/>
      <w:r w:rsidRPr="0028514E">
        <w:rPr>
          <w:i/>
          <w:sz w:val="18"/>
          <w:szCs w:val="18"/>
        </w:rPr>
        <w:t>tosilitsumabi</w:t>
      </w:r>
      <w:proofErr w:type="spellEnd"/>
      <w:r w:rsidRPr="0028514E">
        <w:rPr>
          <w:i/>
          <w:sz w:val="18"/>
          <w:szCs w:val="18"/>
        </w:rPr>
        <w:t xml:space="preserve"> vs. </w:t>
      </w:r>
      <w:proofErr w:type="spellStart"/>
      <w:r w:rsidRPr="0028514E">
        <w:rPr>
          <w:i/>
          <w:sz w:val="18"/>
          <w:szCs w:val="18"/>
        </w:rPr>
        <w:t>lumelääke</w:t>
      </w:r>
      <w:proofErr w:type="spellEnd"/>
    </w:p>
    <w:p w14:paraId="7FFA07EB" w14:textId="77777777" w:rsidR="003B7027" w:rsidRPr="0028514E" w:rsidRDefault="003B7027" w:rsidP="006E5F9A">
      <w:pPr>
        <w:pStyle w:val="a4"/>
        <w:ind w:left="0"/>
        <w:rPr>
          <w:i/>
          <w:sz w:val="18"/>
        </w:rPr>
      </w:pPr>
    </w:p>
    <w:p w14:paraId="360EB370" w14:textId="77777777" w:rsidR="003B7027" w:rsidRPr="0028514E" w:rsidRDefault="00296A74" w:rsidP="006E5F9A">
      <w:pPr>
        <w:pStyle w:val="a4"/>
        <w:ind w:left="0"/>
      </w:pPr>
      <w:r w:rsidRPr="0028514E">
        <w:t>Taudin aktiivisuutta osoittavien nivelten lukumäärä väheni merkitsevästi lähtötilanteesta tosilitsumabihoitoa saaneilla potilailla verrattuna lumelääkettä saaneisiin potilaisiin (korjattu keskimuutos -14,3 vs -11,4, p = 0,0435). Lääkärin yleisarvio taudin aktiivisuudesta asteikolla</w:t>
      </w:r>
      <w:r w:rsidR="00E456A9" w:rsidRPr="0028514E">
        <w:t xml:space="preserve"> </w:t>
      </w:r>
      <w:r w:rsidRPr="0028514E">
        <w:t>0−100 mm mitattuna osoitti, että tosilitsumabi vähensi taudin aktiivisuutta enemmän kuin lumelääke (korjattu keskimuutos -45,2 mm vs -35,2 mm, p = 0,0031).</w:t>
      </w:r>
    </w:p>
    <w:p w14:paraId="6D06AD45" w14:textId="77777777" w:rsidR="003B7027" w:rsidRPr="0028514E" w:rsidRDefault="003B7027" w:rsidP="006E5F9A">
      <w:pPr>
        <w:pStyle w:val="a4"/>
        <w:ind w:left="0"/>
      </w:pPr>
    </w:p>
    <w:p w14:paraId="34322B40" w14:textId="77777777" w:rsidR="003B7027" w:rsidRPr="0028514E" w:rsidRDefault="00296A74" w:rsidP="003C43CF">
      <w:pPr>
        <w:pStyle w:val="a4"/>
        <w:ind w:left="0"/>
      </w:pPr>
      <w:r w:rsidRPr="0028514E">
        <w:t>VAS-kipuindeksin korjattu keskimuutos viikon 40 jälkeen oli tosilitsumabihoitoa saaneilla 32,4 mm (asteikolla 0–100 mm) ja 22,3 mm lumelääkettä saaneilla potilailla (tilastollisesti erittäin merkitsevä; p = 0,0076).</w:t>
      </w:r>
    </w:p>
    <w:p w14:paraId="03B20168" w14:textId="77777777" w:rsidR="00E456A9" w:rsidRPr="0028514E" w:rsidRDefault="00E456A9" w:rsidP="003C43CF">
      <w:pPr>
        <w:pStyle w:val="a4"/>
        <w:ind w:left="0"/>
      </w:pPr>
    </w:p>
    <w:p w14:paraId="5EECAD60" w14:textId="77777777" w:rsidR="003B7027" w:rsidRPr="0028514E" w:rsidRDefault="00296A74" w:rsidP="006E5F9A">
      <w:pPr>
        <w:pStyle w:val="a4"/>
        <w:ind w:left="0"/>
      </w:pPr>
      <w:r w:rsidRPr="0028514E">
        <w:t>ACR-vasteita saavuttaneiden potilaiden osuudet olivat numeerisesti pienempiä niillä potilailla , jotka olivat aiemmin saaneet biologista lääkehoitoa, kuten taulukossa 10 esitetään.</w:t>
      </w:r>
    </w:p>
    <w:p w14:paraId="38C4175D" w14:textId="77777777" w:rsidR="00E456A9" w:rsidRPr="0028514E" w:rsidRDefault="00E456A9" w:rsidP="006E5F9A">
      <w:pPr>
        <w:pStyle w:val="a4"/>
        <w:ind w:left="0"/>
      </w:pPr>
    </w:p>
    <w:p w14:paraId="55C11C4E" w14:textId="77777777" w:rsidR="003B7027" w:rsidRPr="00CA43F5" w:rsidRDefault="00296A74" w:rsidP="009E78E1">
      <w:pPr>
        <w:pStyle w:val="Tabletitle"/>
        <w:rPr>
          <w:lang w:val="fi-FI"/>
        </w:rPr>
      </w:pPr>
      <w:r w:rsidRPr="00CA43F5">
        <w:rPr>
          <w:lang w:val="fi-FI"/>
        </w:rPr>
        <w:t>Taulukko 10.</w:t>
      </w:r>
      <w:r w:rsidR="00E456A9" w:rsidRPr="00CA43F5">
        <w:rPr>
          <w:lang w:val="fi-FI"/>
        </w:rPr>
        <w:tab/>
      </w:r>
      <w:r w:rsidRPr="00CA43F5">
        <w:rPr>
          <w:lang w:val="fi-FI"/>
        </w:rPr>
        <w:t>Niiden potilaiden määrä ja prosenttiosuus, joiden tauti paheni JIA ACR -kriteerien perusteella vähintään 30 % sekä niiden potilaiden prosenttiosuus, jotka saivat JIA ACR30/50/70/90 - vasteen viikolla 40, jaoteltuna aikaisemman biologisen lääkityksen mukaan (ITT populaatio - tutkimuksen osa II)</w:t>
      </w:r>
    </w:p>
    <w:p w14:paraId="6C67CE26" w14:textId="77777777" w:rsidR="00E456A9" w:rsidRPr="00CA43F5" w:rsidRDefault="00E456A9" w:rsidP="009E78E1">
      <w:pPr>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830"/>
        <w:gridCol w:w="1560"/>
        <w:gridCol w:w="1559"/>
        <w:gridCol w:w="1559"/>
        <w:gridCol w:w="1245"/>
      </w:tblGrid>
      <w:tr w:rsidR="003B7027" w:rsidRPr="00777B93" w14:paraId="15062E4D" w14:textId="77777777" w:rsidTr="00A71F3E">
        <w:trPr>
          <w:cantSplit/>
          <w:trHeight w:val="20"/>
          <w:tblHeader/>
        </w:trPr>
        <w:tc>
          <w:tcPr>
            <w:tcW w:w="2830" w:type="dxa"/>
          </w:tcPr>
          <w:p w14:paraId="655C84A2" w14:textId="77777777" w:rsidR="003B7027" w:rsidRPr="0028514E" w:rsidRDefault="003B7027" w:rsidP="006E5F9A">
            <w:pPr>
              <w:pStyle w:val="TableParagraph"/>
              <w:rPr>
                <w:sz w:val="20"/>
              </w:rPr>
            </w:pPr>
          </w:p>
        </w:tc>
        <w:tc>
          <w:tcPr>
            <w:tcW w:w="3119" w:type="dxa"/>
            <w:gridSpan w:val="2"/>
          </w:tcPr>
          <w:p w14:paraId="29592C5F" w14:textId="77777777" w:rsidR="003B7027" w:rsidRPr="0028514E" w:rsidRDefault="00296A74" w:rsidP="006E5F9A">
            <w:pPr>
              <w:pStyle w:val="TableParagraph"/>
              <w:jc w:val="center"/>
              <w:rPr>
                <w:b/>
                <w:sz w:val="20"/>
              </w:rPr>
            </w:pPr>
            <w:r w:rsidRPr="0028514E">
              <w:rPr>
                <w:b/>
                <w:sz w:val="20"/>
              </w:rPr>
              <w:t>Lume</w:t>
            </w:r>
          </w:p>
        </w:tc>
        <w:tc>
          <w:tcPr>
            <w:tcW w:w="2804" w:type="dxa"/>
            <w:gridSpan w:val="2"/>
          </w:tcPr>
          <w:p w14:paraId="5D07F31B" w14:textId="77777777" w:rsidR="003B7027" w:rsidRPr="0028514E" w:rsidRDefault="00296A74" w:rsidP="006E5F9A">
            <w:pPr>
              <w:pStyle w:val="TableParagraph"/>
              <w:jc w:val="center"/>
              <w:rPr>
                <w:b/>
                <w:sz w:val="20"/>
              </w:rPr>
            </w:pPr>
            <w:r w:rsidRPr="0028514E">
              <w:rPr>
                <w:b/>
                <w:sz w:val="20"/>
              </w:rPr>
              <w:t>Tosilitsumabi</w:t>
            </w:r>
          </w:p>
        </w:tc>
      </w:tr>
      <w:tr w:rsidR="003B7027" w:rsidRPr="00777B93" w14:paraId="284A7B82" w14:textId="77777777" w:rsidTr="00A71F3E">
        <w:trPr>
          <w:cantSplit/>
          <w:trHeight w:val="20"/>
          <w:tblHeader/>
        </w:trPr>
        <w:tc>
          <w:tcPr>
            <w:tcW w:w="2830" w:type="dxa"/>
          </w:tcPr>
          <w:p w14:paraId="292AEB22" w14:textId="77777777" w:rsidR="003B7027" w:rsidRPr="0028514E" w:rsidRDefault="00296A74" w:rsidP="006E5F9A">
            <w:pPr>
              <w:pStyle w:val="TableParagraph"/>
              <w:rPr>
                <w:b/>
                <w:sz w:val="20"/>
              </w:rPr>
            </w:pPr>
            <w:r w:rsidRPr="0028514E">
              <w:rPr>
                <w:b/>
                <w:sz w:val="20"/>
              </w:rPr>
              <w:t>Biologinen käyttö</w:t>
            </w:r>
          </w:p>
        </w:tc>
        <w:tc>
          <w:tcPr>
            <w:tcW w:w="1560" w:type="dxa"/>
          </w:tcPr>
          <w:p w14:paraId="6E8B42CD" w14:textId="77777777" w:rsidR="003B7027" w:rsidRPr="0028514E" w:rsidRDefault="00296A74" w:rsidP="006E5F9A">
            <w:pPr>
              <w:pStyle w:val="TableParagraph"/>
              <w:jc w:val="center"/>
              <w:rPr>
                <w:b/>
                <w:sz w:val="20"/>
              </w:rPr>
            </w:pPr>
            <w:r w:rsidRPr="0028514E">
              <w:rPr>
                <w:b/>
                <w:sz w:val="20"/>
              </w:rPr>
              <w:t xml:space="preserve">Kyllä (N </w:t>
            </w:r>
            <w:r w:rsidRPr="0028514E">
              <w:rPr>
                <w:sz w:val="20"/>
              </w:rPr>
              <w:t xml:space="preserve">= </w:t>
            </w:r>
            <w:r w:rsidRPr="0028514E">
              <w:rPr>
                <w:b/>
                <w:sz w:val="20"/>
              </w:rPr>
              <w:t>23)</w:t>
            </w:r>
          </w:p>
        </w:tc>
        <w:tc>
          <w:tcPr>
            <w:tcW w:w="1559" w:type="dxa"/>
          </w:tcPr>
          <w:p w14:paraId="6F8EAF4D" w14:textId="77777777" w:rsidR="003B7027" w:rsidRPr="0028514E" w:rsidRDefault="00296A74" w:rsidP="006E5F9A">
            <w:pPr>
              <w:pStyle w:val="TableParagraph"/>
              <w:jc w:val="center"/>
              <w:rPr>
                <w:b/>
                <w:sz w:val="20"/>
              </w:rPr>
            </w:pPr>
            <w:r w:rsidRPr="0028514E">
              <w:rPr>
                <w:b/>
                <w:sz w:val="20"/>
              </w:rPr>
              <w:t xml:space="preserve">Ei (N </w:t>
            </w:r>
            <w:r w:rsidRPr="0028514E">
              <w:rPr>
                <w:sz w:val="20"/>
              </w:rPr>
              <w:t xml:space="preserve">= </w:t>
            </w:r>
            <w:r w:rsidRPr="0028514E">
              <w:rPr>
                <w:b/>
                <w:sz w:val="20"/>
              </w:rPr>
              <w:t>58)</w:t>
            </w:r>
          </w:p>
        </w:tc>
        <w:tc>
          <w:tcPr>
            <w:tcW w:w="1559" w:type="dxa"/>
          </w:tcPr>
          <w:p w14:paraId="4FE80E7D" w14:textId="77777777" w:rsidR="003B7027" w:rsidRPr="0028514E" w:rsidRDefault="00296A74" w:rsidP="006E5F9A">
            <w:pPr>
              <w:pStyle w:val="TableParagraph"/>
              <w:jc w:val="center"/>
              <w:rPr>
                <w:b/>
                <w:sz w:val="20"/>
              </w:rPr>
            </w:pPr>
            <w:r w:rsidRPr="0028514E">
              <w:rPr>
                <w:b/>
                <w:sz w:val="20"/>
              </w:rPr>
              <w:t xml:space="preserve">Kyllä (N </w:t>
            </w:r>
            <w:r w:rsidRPr="0028514E">
              <w:rPr>
                <w:sz w:val="20"/>
              </w:rPr>
              <w:t xml:space="preserve">= </w:t>
            </w:r>
            <w:r w:rsidRPr="0028514E">
              <w:rPr>
                <w:b/>
                <w:sz w:val="20"/>
              </w:rPr>
              <w:t>27)</w:t>
            </w:r>
          </w:p>
        </w:tc>
        <w:tc>
          <w:tcPr>
            <w:tcW w:w="1245" w:type="dxa"/>
          </w:tcPr>
          <w:p w14:paraId="1480B272" w14:textId="77777777" w:rsidR="003B7027" w:rsidRPr="0028514E" w:rsidRDefault="00296A74" w:rsidP="006E5F9A">
            <w:pPr>
              <w:pStyle w:val="TableParagraph"/>
              <w:jc w:val="center"/>
              <w:rPr>
                <w:b/>
                <w:sz w:val="20"/>
              </w:rPr>
            </w:pPr>
            <w:r w:rsidRPr="0028514E">
              <w:rPr>
                <w:b/>
                <w:sz w:val="20"/>
              </w:rPr>
              <w:t xml:space="preserve">Ei (N </w:t>
            </w:r>
            <w:r w:rsidRPr="0028514E">
              <w:rPr>
                <w:sz w:val="20"/>
              </w:rPr>
              <w:t xml:space="preserve">= </w:t>
            </w:r>
            <w:r w:rsidRPr="0028514E">
              <w:rPr>
                <w:b/>
                <w:sz w:val="20"/>
              </w:rPr>
              <w:t>55)</w:t>
            </w:r>
          </w:p>
        </w:tc>
      </w:tr>
      <w:tr w:rsidR="003B7027" w:rsidRPr="00777B93" w14:paraId="4337D246" w14:textId="77777777" w:rsidTr="00A71F3E">
        <w:trPr>
          <w:trHeight w:val="20"/>
        </w:trPr>
        <w:tc>
          <w:tcPr>
            <w:tcW w:w="2830" w:type="dxa"/>
          </w:tcPr>
          <w:p w14:paraId="4C70F7A1" w14:textId="77777777" w:rsidR="003B7027" w:rsidRPr="0028514E" w:rsidRDefault="00296A74" w:rsidP="006E5F9A">
            <w:pPr>
              <w:pStyle w:val="TableParagraph"/>
              <w:rPr>
                <w:sz w:val="20"/>
              </w:rPr>
            </w:pPr>
            <w:r w:rsidRPr="0028514E">
              <w:rPr>
                <w:sz w:val="20"/>
              </w:rPr>
              <w:t>ACR30-kriteerien mukainen taudin paheneminen</w:t>
            </w:r>
          </w:p>
        </w:tc>
        <w:tc>
          <w:tcPr>
            <w:tcW w:w="1560" w:type="dxa"/>
          </w:tcPr>
          <w:p w14:paraId="24D8A751" w14:textId="77777777" w:rsidR="003B7027" w:rsidRPr="0028514E" w:rsidRDefault="00296A74" w:rsidP="006E5F9A">
            <w:pPr>
              <w:pStyle w:val="TableParagraph"/>
              <w:jc w:val="center"/>
              <w:rPr>
                <w:sz w:val="20"/>
              </w:rPr>
            </w:pPr>
            <w:r w:rsidRPr="0028514E">
              <w:rPr>
                <w:sz w:val="20"/>
              </w:rPr>
              <w:t>18 (78,3)</w:t>
            </w:r>
          </w:p>
        </w:tc>
        <w:tc>
          <w:tcPr>
            <w:tcW w:w="1559" w:type="dxa"/>
          </w:tcPr>
          <w:p w14:paraId="2697A160" w14:textId="77777777" w:rsidR="003B7027" w:rsidRPr="0028514E" w:rsidRDefault="00296A74" w:rsidP="006E5F9A">
            <w:pPr>
              <w:pStyle w:val="TableParagraph"/>
              <w:jc w:val="center"/>
              <w:rPr>
                <w:sz w:val="20"/>
              </w:rPr>
            </w:pPr>
            <w:r w:rsidRPr="0028514E">
              <w:rPr>
                <w:sz w:val="20"/>
              </w:rPr>
              <w:t>21 (36,2)</w:t>
            </w:r>
          </w:p>
        </w:tc>
        <w:tc>
          <w:tcPr>
            <w:tcW w:w="1559" w:type="dxa"/>
          </w:tcPr>
          <w:p w14:paraId="22169646" w14:textId="77777777" w:rsidR="003B7027" w:rsidRPr="0028514E" w:rsidRDefault="00296A74" w:rsidP="006E5F9A">
            <w:pPr>
              <w:pStyle w:val="TableParagraph"/>
              <w:jc w:val="center"/>
              <w:rPr>
                <w:sz w:val="20"/>
              </w:rPr>
            </w:pPr>
            <w:r w:rsidRPr="0028514E">
              <w:rPr>
                <w:sz w:val="20"/>
              </w:rPr>
              <w:t>12 (44,4)</w:t>
            </w:r>
          </w:p>
        </w:tc>
        <w:tc>
          <w:tcPr>
            <w:tcW w:w="1245" w:type="dxa"/>
          </w:tcPr>
          <w:p w14:paraId="578FD053" w14:textId="77777777" w:rsidR="003B7027" w:rsidRPr="0028514E" w:rsidRDefault="00296A74" w:rsidP="006E5F9A">
            <w:pPr>
              <w:pStyle w:val="TableParagraph"/>
              <w:jc w:val="center"/>
              <w:rPr>
                <w:sz w:val="20"/>
              </w:rPr>
            </w:pPr>
            <w:r w:rsidRPr="0028514E">
              <w:rPr>
                <w:sz w:val="20"/>
              </w:rPr>
              <w:t>9 (16,4)</w:t>
            </w:r>
          </w:p>
        </w:tc>
      </w:tr>
      <w:tr w:rsidR="003B7027" w:rsidRPr="00777B93" w14:paraId="41026224" w14:textId="77777777" w:rsidTr="00A71F3E">
        <w:trPr>
          <w:trHeight w:val="20"/>
        </w:trPr>
        <w:tc>
          <w:tcPr>
            <w:tcW w:w="2830" w:type="dxa"/>
          </w:tcPr>
          <w:p w14:paraId="4F8AA444" w14:textId="77777777" w:rsidR="003B7027" w:rsidRPr="0028514E" w:rsidRDefault="00296A74" w:rsidP="006E5F9A">
            <w:pPr>
              <w:pStyle w:val="TableParagraph"/>
              <w:rPr>
                <w:sz w:val="20"/>
              </w:rPr>
            </w:pPr>
            <w:r w:rsidRPr="0028514E">
              <w:rPr>
                <w:sz w:val="20"/>
              </w:rPr>
              <w:t>JIA ACR30 -vaste</w:t>
            </w:r>
          </w:p>
        </w:tc>
        <w:tc>
          <w:tcPr>
            <w:tcW w:w="1560" w:type="dxa"/>
          </w:tcPr>
          <w:p w14:paraId="14CCA091" w14:textId="77777777" w:rsidR="003B7027" w:rsidRPr="0028514E" w:rsidRDefault="00296A74" w:rsidP="006E5F9A">
            <w:pPr>
              <w:pStyle w:val="TableParagraph"/>
              <w:jc w:val="center"/>
              <w:rPr>
                <w:sz w:val="20"/>
              </w:rPr>
            </w:pPr>
            <w:r w:rsidRPr="0028514E">
              <w:rPr>
                <w:sz w:val="20"/>
              </w:rPr>
              <w:t>6 (26,1)</w:t>
            </w:r>
          </w:p>
        </w:tc>
        <w:tc>
          <w:tcPr>
            <w:tcW w:w="1559" w:type="dxa"/>
          </w:tcPr>
          <w:p w14:paraId="0938A8AE" w14:textId="77777777" w:rsidR="003B7027" w:rsidRPr="0028514E" w:rsidRDefault="00296A74" w:rsidP="006E5F9A">
            <w:pPr>
              <w:pStyle w:val="TableParagraph"/>
              <w:jc w:val="center"/>
              <w:rPr>
                <w:sz w:val="20"/>
              </w:rPr>
            </w:pPr>
            <w:r w:rsidRPr="0028514E">
              <w:rPr>
                <w:sz w:val="20"/>
              </w:rPr>
              <w:t>38 (65,5)</w:t>
            </w:r>
          </w:p>
        </w:tc>
        <w:tc>
          <w:tcPr>
            <w:tcW w:w="1559" w:type="dxa"/>
          </w:tcPr>
          <w:p w14:paraId="5DABD20F" w14:textId="77777777" w:rsidR="003B7027" w:rsidRPr="0028514E" w:rsidRDefault="00296A74" w:rsidP="006E5F9A">
            <w:pPr>
              <w:pStyle w:val="TableParagraph"/>
              <w:jc w:val="center"/>
              <w:rPr>
                <w:sz w:val="20"/>
              </w:rPr>
            </w:pPr>
            <w:r w:rsidRPr="0028514E">
              <w:rPr>
                <w:sz w:val="20"/>
              </w:rPr>
              <w:t>15 (55,6)</w:t>
            </w:r>
          </w:p>
        </w:tc>
        <w:tc>
          <w:tcPr>
            <w:tcW w:w="1245" w:type="dxa"/>
          </w:tcPr>
          <w:p w14:paraId="23A661CB" w14:textId="77777777" w:rsidR="003B7027" w:rsidRPr="0028514E" w:rsidRDefault="00296A74" w:rsidP="006E5F9A">
            <w:pPr>
              <w:pStyle w:val="TableParagraph"/>
              <w:jc w:val="center"/>
              <w:rPr>
                <w:sz w:val="20"/>
              </w:rPr>
            </w:pPr>
            <w:r w:rsidRPr="0028514E">
              <w:rPr>
                <w:sz w:val="20"/>
              </w:rPr>
              <w:t>46 (83,6)</w:t>
            </w:r>
          </w:p>
        </w:tc>
      </w:tr>
      <w:tr w:rsidR="003B7027" w:rsidRPr="00777B93" w14:paraId="4100A604" w14:textId="77777777" w:rsidTr="00A71F3E">
        <w:trPr>
          <w:trHeight w:val="20"/>
        </w:trPr>
        <w:tc>
          <w:tcPr>
            <w:tcW w:w="2830" w:type="dxa"/>
          </w:tcPr>
          <w:p w14:paraId="137BDE2A" w14:textId="77777777" w:rsidR="003B7027" w:rsidRPr="0028514E" w:rsidRDefault="00296A74" w:rsidP="006E5F9A">
            <w:pPr>
              <w:pStyle w:val="TableParagraph"/>
              <w:rPr>
                <w:sz w:val="20"/>
              </w:rPr>
            </w:pPr>
            <w:r w:rsidRPr="0028514E">
              <w:rPr>
                <w:sz w:val="20"/>
              </w:rPr>
              <w:t>JIA ACR50 -vaste</w:t>
            </w:r>
          </w:p>
        </w:tc>
        <w:tc>
          <w:tcPr>
            <w:tcW w:w="1560" w:type="dxa"/>
          </w:tcPr>
          <w:p w14:paraId="1206B7FE" w14:textId="77777777" w:rsidR="003B7027" w:rsidRPr="0028514E" w:rsidRDefault="00296A74" w:rsidP="006E5F9A">
            <w:pPr>
              <w:pStyle w:val="TableParagraph"/>
              <w:jc w:val="center"/>
              <w:rPr>
                <w:sz w:val="20"/>
              </w:rPr>
            </w:pPr>
            <w:r w:rsidRPr="0028514E">
              <w:rPr>
                <w:sz w:val="20"/>
              </w:rPr>
              <w:t>5 (21,7)</w:t>
            </w:r>
          </w:p>
        </w:tc>
        <w:tc>
          <w:tcPr>
            <w:tcW w:w="1559" w:type="dxa"/>
          </w:tcPr>
          <w:p w14:paraId="26CD50BC" w14:textId="77777777" w:rsidR="003B7027" w:rsidRPr="0028514E" w:rsidRDefault="00296A74" w:rsidP="006E5F9A">
            <w:pPr>
              <w:pStyle w:val="TableParagraph"/>
              <w:jc w:val="center"/>
              <w:rPr>
                <w:sz w:val="20"/>
              </w:rPr>
            </w:pPr>
            <w:r w:rsidRPr="0028514E">
              <w:rPr>
                <w:sz w:val="20"/>
              </w:rPr>
              <w:t>37 (63,8)</w:t>
            </w:r>
          </w:p>
        </w:tc>
        <w:tc>
          <w:tcPr>
            <w:tcW w:w="1559" w:type="dxa"/>
          </w:tcPr>
          <w:p w14:paraId="2D9EFE63" w14:textId="77777777" w:rsidR="003B7027" w:rsidRPr="0028514E" w:rsidRDefault="00296A74" w:rsidP="006E5F9A">
            <w:pPr>
              <w:pStyle w:val="TableParagraph"/>
              <w:jc w:val="center"/>
              <w:rPr>
                <w:sz w:val="20"/>
              </w:rPr>
            </w:pPr>
            <w:r w:rsidRPr="0028514E">
              <w:rPr>
                <w:sz w:val="20"/>
              </w:rPr>
              <w:t>14 (51,9)</w:t>
            </w:r>
          </w:p>
        </w:tc>
        <w:tc>
          <w:tcPr>
            <w:tcW w:w="1245" w:type="dxa"/>
          </w:tcPr>
          <w:p w14:paraId="4791D762" w14:textId="77777777" w:rsidR="003B7027" w:rsidRPr="0028514E" w:rsidRDefault="00296A74" w:rsidP="006E5F9A">
            <w:pPr>
              <w:pStyle w:val="TableParagraph"/>
              <w:jc w:val="center"/>
              <w:rPr>
                <w:sz w:val="20"/>
              </w:rPr>
            </w:pPr>
            <w:r w:rsidRPr="0028514E">
              <w:rPr>
                <w:sz w:val="20"/>
              </w:rPr>
              <w:t>46 (83,6)</w:t>
            </w:r>
          </w:p>
        </w:tc>
      </w:tr>
      <w:tr w:rsidR="003B7027" w:rsidRPr="00777B93" w14:paraId="1DE7AA87" w14:textId="77777777" w:rsidTr="00A71F3E">
        <w:trPr>
          <w:trHeight w:val="20"/>
        </w:trPr>
        <w:tc>
          <w:tcPr>
            <w:tcW w:w="2830" w:type="dxa"/>
          </w:tcPr>
          <w:p w14:paraId="50EDB202" w14:textId="77777777" w:rsidR="003B7027" w:rsidRPr="0028514E" w:rsidRDefault="00296A74" w:rsidP="006E5F9A">
            <w:pPr>
              <w:pStyle w:val="TableParagraph"/>
              <w:rPr>
                <w:sz w:val="20"/>
              </w:rPr>
            </w:pPr>
            <w:r w:rsidRPr="0028514E">
              <w:rPr>
                <w:sz w:val="20"/>
              </w:rPr>
              <w:t>JIA ACR70 -vaste</w:t>
            </w:r>
          </w:p>
        </w:tc>
        <w:tc>
          <w:tcPr>
            <w:tcW w:w="1560" w:type="dxa"/>
          </w:tcPr>
          <w:p w14:paraId="49D2C64D" w14:textId="77777777" w:rsidR="003B7027" w:rsidRPr="0028514E" w:rsidRDefault="00296A74" w:rsidP="006E5F9A">
            <w:pPr>
              <w:pStyle w:val="TableParagraph"/>
              <w:jc w:val="center"/>
              <w:rPr>
                <w:sz w:val="20"/>
              </w:rPr>
            </w:pPr>
            <w:r w:rsidRPr="0028514E">
              <w:rPr>
                <w:sz w:val="20"/>
              </w:rPr>
              <w:t>2 (8,7)</w:t>
            </w:r>
          </w:p>
        </w:tc>
        <w:tc>
          <w:tcPr>
            <w:tcW w:w="1559" w:type="dxa"/>
          </w:tcPr>
          <w:p w14:paraId="360E4E11" w14:textId="77777777" w:rsidR="003B7027" w:rsidRPr="0028514E" w:rsidRDefault="00296A74" w:rsidP="006E5F9A">
            <w:pPr>
              <w:pStyle w:val="TableParagraph"/>
              <w:jc w:val="center"/>
              <w:rPr>
                <w:sz w:val="20"/>
              </w:rPr>
            </w:pPr>
            <w:r w:rsidRPr="0028514E">
              <w:rPr>
                <w:sz w:val="20"/>
              </w:rPr>
              <w:t>32 (55,2)</w:t>
            </w:r>
          </w:p>
        </w:tc>
        <w:tc>
          <w:tcPr>
            <w:tcW w:w="1559" w:type="dxa"/>
          </w:tcPr>
          <w:p w14:paraId="5DD5B0B3" w14:textId="77777777" w:rsidR="003B7027" w:rsidRPr="0028514E" w:rsidRDefault="00296A74" w:rsidP="006E5F9A">
            <w:pPr>
              <w:pStyle w:val="TableParagraph"/>
              <w:jc w:val="center"/>
              <w:rPr>
                <w:sz w:val="20"/>
              </w:rPr>
            </w:pPr>
            <w:r w:rsidRPr="0028514E">
              <w:rPr>
                <w:sz w:val="20"/>
              </w:rPr>
              <w:t>13 (48,1)</w:t>
            </w:r>
          </w:p>
        </w:tc>
        <w:tc>
          <w:tcPr>
            <w:tcW w:w="1245" w:type="dxa"/>
          </w:tcPr>
          <w:p w14:paraId="69E8AAA7" w14:textId="77777777" w:rsidR="003B7027" w:rsidRPr="0028514E" w:rsidRDefault="00296A74" w:rsidP="006E5F9A">
            <w:pPr>
              <w:pStyle w:val="TableParagraph"/>
              <w:jc w:val="center"/>
              <w:rPr>
                <w:sz w:val="20"/>
              </w:rPr>
            </w:pPr>
            <w:r w:rsidRPr="0028514E">
              <w:rPr>
                <w:sz w:val="20"/>
              </w:rPr>
              <w:t>40 (72,7)</w:t>
            </w:r>
          </w:p>
        </w:tc>
      </w:tr>
      <w:tr w:rsidR="003B7027" w:rsidRPr="00777B93" w14:paraId="42B1D778" w14:textId="77777777" w:rsidTr="00A71F3E">
        <w:trPr>
          <w:trHeight w:val="20"/>
        </w:trPr>
        <w:tc>
          <w:tcPr>
            <w:tcW w:w="2830" w:type="dxa"/>
          </w:tcPr>
          <w:p w14:paraId="5B85B90F" w14:textId="77777777" w:rsidR="003B7027" w:rsidRPr="0028514E" w:rsidRDefault="00296A74" w:rsidP="006E5F9A">
            <w:pPr>
              <w:pStyle w:val="TableParagraph"/>
              <w:rPr>
                <w:sz w:val="20"/>
              </w:rPr>
            </w:pPr>
            <w:r w:rsidRPr="0028514E">
              <w:rPr>
                <w:sz w:val="20"/>
              </w:rPr>
              <w:t>JIA ACR90 -vaste</w:t>
            </w:r>
          </w:p>
        </w:tc>
        <w:tc>
          <w:tcPr>
            <w:tcW w:w="1560" w:type="dxa"/>
          </w:tcPr>
          <w:p w14:paraId="3419613F" w14:textId="77777777" w:rsidR="003B7027" w:rsidRPr="0028514E" w:rsidRDefault="00296A74" w:rsidP="006E5F9A">
            <w:pPr>
              <w:pStyle w:val="TableParagraph"/>
              <w:jc w:val="center"/>
              <w:rPr>
                <w:sz w:val="20"/>
              </w:rPr>
            </w:pPr>
            <w:r w:rsidRPr="0028514E">
              <w:rPr>
                <w:sz w:val="20"/>
              </w:rPr>
              <w:t>2 (8,7)</w:t>
            </w:r>
          </w:p>
        </w:tc>
        <w:tc>
          <w:tcPr>
            <w:tcW w:w="1559" w:type="dxa"/>
          </w:tcPr>
          <w:p w14:paraId="4CB47DD6" w14:textId="77777777" w:rsidR="003B7027" w:rsidRPr="0028514E" w:rsidRDefault="00296A74" w:rsidP="006E5F9A">
            <w:pPr>
              <w:pStyle w:val="TableParagraph"/>
              <w:jc w:val="center"/>
              <w:rPr>
                <w:sz w:val="20"/>
              </w:rPr>
            </w:pPr>
            <w:r w:rsidRPr="0028514E">
              <w:rPr>
                <w:sz w:val="20"/>
              </w:rPr>
              <w:t>17 (29,3)</w:t>
            </w:r>
          </w:p>
        </w:tc>
        <w:tc>
          <w:tcPr>
            <w:tcW w:w="1559" w:type="dxa"/>
          </w:tcPr>
          <w:p w14:paraId="434C4D50" w14:textId="77777777" w:rsidR="003B7027" w:rsidRPr="0028514E" w:rsidRDefault="00296A74" w:rsidP="006E5F9A">
            <w:pPr>
              <w:pStyle w:val="TableParagraph"/>
              <w:jc w:val="center"/>
              <w:rPr>
                <w:sz w:val="20"/>
              </w:rPr>
            </w:pPr>
            <w:r w:rsidRPr="0028514E">
              <w:rPr>
                <w:sz w:val="20"/>
              </w:rPr>
              <w:t>5 (18,5)</w:t>
            </w:r>
          </w:p>
        </w:tc>
        <w:tc>
          <w:tcPr>
            <w:tcW w:w="1245" w:type="dxa"/>
          </w:tcPr>
          <w:p w14:paraId="613ED658" w14:textId="77777777" w:rsidR="003B7027" w:rsidRPr="0028514E" w:rsidRDefault="00296A74" w:rsidP="006E5F9A">
            <w:pPr>
              <w:pStyle w:val="TableParagraph"/>
              <w:jc w:val="center"/>
              <w:rPr>
                <w:sz w:val="20"/>
              </w:rPr>
            </w:pPr>
            <w:r w:rsidRPr="0028514E">
              <w:rPr>
                <w:sz w:val="20"/>
              </w:rPr>
              <w:t>32 (58,2)</w:t>
            </w:r>
          </w:p>
        </w:tc>
      </w:tr>
    </w:tbl>
    <w:p w14:paraId="3BA3E6D8" w14:textId="77777777" w:rsidR="00E456A9" w:rsidRPr="0028514E" w:rsidRDefault="00E456A9" w:rsidP="006E5F9A">
      <w:pPr>
        <w:pStyle w:val="a4"/>
        <w:ind w:left="0"/>
      </w:pPr>
    </w:p>
    <w:p w14:paraId="19DBB48D" w14:textId="77777777" w:rsidR="003B7027" w:rsidRPr="0028514E" w:rsidRDefault="00296A74" w:rsidP="006E5F9A">
      <w:pPr>
        <w:pStyle w:val="a4"/>
        <w:ind w:left="0"/>
      </w:pPr>
      <w:r w:rsidRPr="0028514E">
        <w:t>Tosilitsumabiryhmään satunnaistetuilla potilailla oli vähemmän ACR30-kriteerien mukaisia taudin pahenemisia ja paremmat ACR-kokonaisvasteet kuin plaseboryhmän potilailla, riippumatta aiemmasta biologisesta lääkehoidosta.</w:t>
      </w:r>
    </w:p>
    <w:p w14:paraId="1CAA5506" w14:textId="77777777" w:rsidR="003B7027" w:rsidRPr="0028514E" w:rsidRDefault="003B7027" w:rsidP="006E5F9A">
      <w:pPr>
        <w:pStyle w:val="a4"/>
        <w:ind w:left="0"/>
      </w:pPr>
    </w:p>
    <w:p w14:paraId="4D8C8BD0" w14:textId="77777777" w:rsidR="003B7027" w:rsidRPr="0028514E" w:rsidRDefault="00296A74" w:rsidP="00704C8E">
      <w:pPr>
        <w:pStyle w:val="a4"/>
        <w:keepNext/>
        <w:ind w:left="0"/>
      </w:pPr>
      <w:r w:rsidRPr="0028514E">
        <w:rPr>
          <w:u w:val="single"/>
        </w:rPr>
        <w:t>Sytokiinien vapautumisoireyhtymä</w:t>
      </w:r>
    </w:p>
    <w:p w14:paraId="23DC9317" w14:textId="0EFFC324" w:rsidR="003B7027" w:rsidRPr="0028514E" w:rsidRDefault="00A61786" w:rsidP="006E5F9A">
      <w:pPr>
        <w:pStyle w:val="a4"/>
        <w:ind w:left="0"/>
      </w:pPr>
      <w:r>
        <w:t>Tosilitsumabin</w:t>
      </w:r>
      <w:r w:rsidRPr="0028514E">
        <w:t xml:space="preserve"> </w:t>
      </w:r>
      <w:r w:rsidR="00296A74" w:rsidRPr="0028514E">
        <w:t>tehoa sytokiinien vapautumisoireyhtymän hoitoon selvitettiin hematologisten syöpien hoitoon käytettyjä CAR-T-soluhoitoja (tisagenlekleuseeli ja aksikabtageenisiloleuseeli) koskevien kliinisten tutkimustietojen retrospektiivisessä analyysissä. Arvioitavissa olleet potilaat olivat saaneet vaikea-asteisen tai hengenvaarallisen sytokiinien vapautumisoireyhtymän hoitoon tosilitsumabia annoksina 8 mg/kg (12 mg/kg, jos potilaan paino oli &lt; 30 kg), jonka lisäksi annettiin tai ei annettu suuria kortikosteroidiannoksia. Vain ensimmäinen sytokiinien vapautumisoireyhtymäepisodi otettiin mukaan analyysiin. Tisagenlekleuseeli-kohortin tehoa koskevassa potilasjoukossa oli 28 miestä ja 23 naista (yhteensä 51 potilasta), joiden iän mediaani oli 17 vuotta (vaihteluväli 3</w:t>
      </w:r>
      <w:r w:rsidR="003844C3" w:rsidRPr="0028514E">
        <w:t>–</w:t>
      </w:r>
      <w:r w:rsidR="00296A74" w:rsidRPr="0028514E">
        <w:t>68 vuotta). Ajan</w:t>
      </w:r>
      <w:r w:rsidR="00E456A9" w:rsidRPr="0028514E">
        <w:t xml:space="preserve"> </w:t>
      </w:r>
      <w:r w:rsidR="00296A74" w:rsidRPr="0028514E">
        <w:t>mediaani sytokiinien vapautumisoireyhtymän ilmenemisestä ensimmäiseen tosilitsumabiannokseen oli 3 vuorokautta (vaihteluväli 0</w:t>
      </w:r>
      <w:r w:rsidR="003844C3" w:rsidRPr="0028514E">
        <w:t>–</w:t>
      </w:r>
      <w:r w:rsidR="00296A74" w:rsidRPr="0028514E">
        <w:t xml:space="preserve">18 vuorokautta). Sytokiinien vapautumisoireyhtymän häviämiseksi </w:t>
      </w:r>
      <w:r w:rsidR="00296A74" w:rsidRPr="0028514E">
        <w:lastRenderedPageBreak/>
        <w:t>määriteltiin, ettei potilaalla ollut kuumetta eikä hän käyttänyt vasopressoreita vähintään 24 tuntiin.</w:t>
      </w:r>
      <w:r w:rsidR="00E456A9" w:rsidRPr="0028514E">
        <w:t xml:space="preserve"> </w:t>
      </w:r>
      <w:r w:rsidR="00296A74" w:rsidRPr="0028514E">
        <w:t xml:space="preserve">Potilaan katsottiin saaneen vasteen, jos sytokiinien vapautumisoireyhtymä hävisi 14 vuorokauden kuluessa ensimmäisestä tosilitsumabiannoksesta, jos tarvittiin enintään kaksi </w:t>
      </w:r>
      <w:r>
        <w:t>tosilitsumabi</w:t>
      </w:r>
      <w:r w:rsidR="00296A74" w:rsidRPr="0028514E">
        <w:t xml:space="preserve">annosta eikä hoitoon käytetty muita lääkkeitä kuin </w:t>
      </w:r>
      <w:r>
        <w:t>tosilitsumabia</w:t>
      </w:r>
      <w:r w:rsidRPr="0028514E">
        <w:t xml:space="preserve"> </w:t>
      </w:r>
      <w:r w:rsidR="00296A74" w:rsidRPr="0028514E">
        <w:t>ja kortikosteroideja. Kolmekymmentäyhdeksän potilasta (76,5 %; 95 %:n luottamusväli: 62,5–87,2 %) sai vasteen. 15 potilaan (vaihteluväli:</w:t>
      </w:r>
      <w:r w:rsidR="00E456A9" w:rsidRPr="0028514E">
        <w:t xml:space="preserve"> </w:t>
      </w:r>
      <w:r w:rsidR="00296A74" w:rsidRPr="0028514E">
        <w:t>9</w:t>
      </w:r>
      <w:r w:rsidR="003844C3" w:rsidRPr="0028514E">
        <w:t>–</w:t>
      </w:r>
      <w:r w:rsidR="00296A74" w:rsidRPr="0028514E">
        <w:t>75 vuotta) riippumattomassa kohortissa potilailla oli aksikabtageenisiloleuseelista aiheutunut sytokiinien vapautumisoireyhtymä, ja 53 % sai vasteen.</w:t>
      </w:r>
    </w:p>
    <w:p w14:paraId="60039BBE" w14:textId="77777777" w:rsidR="00E456A9" w:rsidRPr="0028514E" w:rsidRDefault="00E456A9" w:rsidP="006E5F9A">
      <w:pPr>
        <w:pStyle w:val="a4"/>
        <w:ind w:left="0"/>
      </w:pPr>
    </w:p>
    <w:p w14:paraId="057A9F52" w14:textId="04EDF64D" w:rsidR="003B7027" w:rsidRPr="0028514E" w:rsidRDefault="00296A74" w:rsidP="006E5F9A">
      <w:pPr>
        <w:pStyle w:val="a4"/>
        <w:ind w:left="0"/>
      </w:pPr>
      <w:r w:rsidRPr="0028514E">
        <w:t xml:space="preserve">Euroopan lääkevirasto on myöntänyt vapautuksen velvoitteesta toimittaa tutkimustulokset </w:t>
      </w:r>
      <w:r w:rsidR="00A61786">
        <w:t>tosilitsumabin</w:t>
      </w:r>
      <w:r w:rsidR="00A61786" w:rsidRPr="0028514E">
        <w:t xml:space="preserve"> </w:t>
      </w:r>
      <w:r w:rsidRPr="0028514E">
        <w:t>käytöstä kaikkien pediatristen potilasryhmien hoidossa kimeeristä antigeenireseptoria (CAR) ilmentävien T-solujen aikaansaamassa sytokiinien vapautumisoireyhtymässä.</w:t>
      </w:r>
    </w:p>
    <w:p w14:paraId="4C3EB15B" w14:textId="77777777" w:rsidR="003B7027" w:rsidRPr="0028514E" w:rsidRDefault="003B7027" w:rsidP="006E5F9A">
      <w:pPr>
        <w:pStyle w:val="a4"/>
        <w:ind w:left="0"/>
      </w:pPr>
    </w:p>
    <w:p w14:paraId="1C26BC1D" w14:textId="77777777" w:rsidR="003B7027" w:rsidRPr="0028514E" w:rsidRDefault="00296A74" w:rsidP="006E5F9A">
      <w:pPr>
        <w:pStyle w:val="a4"/>
        <w:ind w:left="0"/>
      </w:pPr>
      <w:r w:rsidRPr="0028514E">
        <w:rPr>
          <w:u w:val="single"/>
        </w:rPr>
        <w:t>COVID-19</w:t>
      </w:r>
    </w:p>
    <w:p w14:paraId="150B6607" w14:textId="380EA09F" w:rsidR="003B7027" w:rsidRPr="0028514E" w:rsidRDefault="00296A74" w:rsidP="006E5F9A">
      <w:pPr>
        <w:pStyle w:val="a4"/>
        <w:ind w:left="0"/>
      </w:pPr>
      <w:r w:rsidRPr="0028514E">
        <w:t xml:space="preserve">Euroopan lääkevirasto on myöntänyt lykkäyksen velvoitteelle toimittaa tutkimustulokset </w:t>
      </w:r>
      <w:r w:rsidR="00A61786">
        <w:t>tosilitsumabin</w:t>
      </w:r>
      <w:r w:rsidRPr="0028514E">
        <w:t xml:space="preserve"> käytöstä COVID-19-taudin hoidossa yhdessä tai useammassa pediatrisessa potilasryhmässä (ks. kohdasta 4.2 ohjeet käytöstä pediatristen potilaiden hoidossa).</w:t>
      </w:r>
    </w:p>
    <w:p w14:paraId="7155C493" w14:textId="77777777" w:rsidR="00E456A9" w:rsidRPr="0028514E" w:rsidRDefault="00E456A9" w:rsidP="006E5F9A">
      <w:pPr>
        <w:pStyle w:val="a4"/>
        <w:ind w:left="0"/>
      </w:pPr>
    </w:p>
    <w:p w14:paraId="026337CA" w14:textId="77777777" w:rsidR="003B7027" w:rsidRPr="0028514E" w:rsidRDefault="00296A74" w:rsidP="009E78E1">
      <w:pPr>
        <w:pStyle w:val="2"/>
        <w:tabs>
          <w:tab w:val="clear" w:pos="603"/>
        </w:tabs>
      </w:pPr>
      <w:r w:rsidRPr="0028514E">
        <w:t>5.2</w:t>
      </w:r>
      <w:r w:rsidRPr="0028514E">
        <w:tab/>
        <w:t>Farmakokinetiikka</w:t>
      </w:r>
    </w:p>
    <w:p w14:paraId="335FE194" w14:textId="77777777" w:rsidR="00E456A9" w:rsidRPr="009A3CB5" w:rsidRDefault="00E456A9" w:rsidP="001C1F69">
      <w:pPr>
        <w:rPr>
          <w:lang w:val="fi-FI"/>
        </w:rPr>
      </w:pPr>
    </w:p>
    <w:p w14:paraId="005DB028" w14:textId="77777777" w:rsidR="003B7027" w:rsidRPr="0028514E" w:rsidRDefault="00296A74" w:rsidP="006E5F9A">
      <w:pPr>
        <w:pStyle w:val="a4"/>
        <w:ind w:left="0"/>
      </w:pPr>
      <w:r w:rsidRPr="0028514E">
        <w:rPr>
          <w:u w:val="single"/>
        </w:rPr>
        <w:t>Laskimonsisäinen annostelu</w:t>
      </w:r>
    </w:p>
    <w:p w14:paraId="253B9A4B" w14:textId="77777777" w:rsidR="003B7027" w:rsidRPr="0028514E" w:rsidRDefault="003B7027" w:rsidP="006E5F9A">
      <w:pPr>
        <w:pStyle w:val="a4"/>
        <w:ind w:left="0"/>
      </w:pPr>
    </w:p>
    <w:p w14:paraId="7A9AE5B8" w14:textId="77777777" w:rsidR="003B7027" w:rsidRPr="0028514E" w:rsidRDefault="00296A74" w:rsidP="006E5F9A">
      <w:pPr>
        <w:pStyle w:val="a4"/>
        <w:ind w:left="0"/>
      </w:pPr>
      <w:r w:rsidRPr="0028514E">
        <w:rPr>
          <w:u w:val="single"/>
        </w:rPr>
        <w:t>Nivelreumapotilaat</w:t>
      </w:r>
    </w:p>
    <w:p w14:paraId="236BAE18" w14:textId="77777777" w:rsidR="003B7027" w:rsidRPr="0028514E" w:rsidRDefault="00296A74" w:rsidP="006E5F9A">
      <w:pPr>
        <w:pStyle w:val="a4"/>
        <w:ind w:left="0"/>
      </w:pPr>
      <w:r w:rsidRPr="0028514E">
        <w:t>Tosilitsumabin farmakokinetiikka määritettiin populaatiofarmakokineettisellä analyysillä</w:t>
      </w:r>
      <w:r w:rsidR="00E456A9" w:rsidRPr="0028514E">
        <w:t xml:space="preserve"> </w:t>
      </w:r>
      <w:r w:rsidRPr="0028514E">
        <w:t>3552 nivelreumapotilaan tietokannasta. Potilaat saivat tosilitsumabia 4 mg/kg tai 8 mg/kg tunnin kestävänä infuusiona neljän viikon välein 24 viikon ajan, tai 162 mg ihon alle joko kerran viikossa tai kerran kahdessa viikossa 24 viikon ajan.</w:t>
      </w:r>
    </w:p>
    <w:p w14:paraId="75029812" w14:textId="77777777" w:rsidR="003B7027" w:rsidRPr="0028514E" w:rsidRDefault="003B7027" w:rsidP="006E5F9A">
      <w:pPr>
        <w:pStyle w:val="a4"/>
        <w:ind w:left="0"/>
      </w:pPr>
    </w:p>
    <w:p w14:paraId="7F90E412" w14:textId="5C59D57F" w:rsidR="003B7027" w:rsidRPr="0028514E" w:rsidRDefault="00296A74" w:rsidP="006E5F9A">
      <w:pPr>
        <w:pStyle w:val="a4"/>
        <w:ind w:left="0"/>
      </w:pPr>
      <w:r w:rsidRPr="0028514E">
        <w:t>Seuraavat parametrit (odotettu keskiarvo ± SD) arvioitiin tosilitsumabiannokselle 8 mg/kg, joka annettiin neljän viikon välein: vakaan tilan AUC = 38</w:t>
      </w:r>
      <w:r w:rsidR="002D5177">
        <w:t> </w:t>
      </w:r>
      <w:r w:rsidRPr="0028514E">
        <w:t>000 ± 13</w:t>
      </w:r>
      <w:r w:rsidR="002D5177">
        <w:t> </w:t>
      </w:r>
      <w:r w:rsidRPr="0028514E">
        <w:t>000 h·µg/ml, minimipitoisuus (C</w:t>
      </w:r>
      <w:r w:rsidRPr="0028514E">
        <w:rPr>
          <w:vertAlign w:val="subscript"/>
        </w:rPr>
        <w:t>min</w:t>
      </w:r>
      <w:r w:rsidRPr="0028514E">
        <w:t>) = 15,9 ± 13,1 μg/ml ja maksimipitoisuus (C</w:t>
      </w:r>
      <w:r w:rsidRPr="0028514E">
        <w:rPr>
          <w:vertAlign w:val="subscript"/>
        </w:rPr>
        <w:t>max</w:t>
      </w:r>
      <w:r w:rsidRPr="0028514E">
        <w:t>) = 182 ± 50,4 µg/ml. AUC- ja C</w:t>
      </w:r>
      <w:r w:rsidRPr="0028514E">
        <w:rPr>
          <w:vertAlign w:val="subscript"/>
        </w:rPr>
        <w:t>max</w:t>
      </w:r>
      <w:r w:rsidRPr="0028514E">
        <w:t>-arvojen kumulaatiosuhteet olivat pienet: AUC 1,32 ja C</w:t>
      </w:r>
      <w:r w:rsidRPr="0028514E">
        <w:rPr>
          <w:vertAlign w:val="subscript"/>
        </w:rPr>
        <w:t>max</w:t>
      </w:r>
      <w:r w:rsidRPr="0028514E">
        <w:t xml:space="preserve"> 1,09. Kumulaatiosuhde oli suurempi C</w:t>
      </w:r>
      <w:r w:rsidRPr="0028514E">
        <w:rPr>
          <w:vertAlign w:val="subscript"/>
        </w:rPr>
        <w:t>min</w:t>
      </w:r>
      <w:r w:rsidRPr="0028514E">
        <w:t>-arvojen osalta (2,49), mikä oli odotettua johtuen epälineaarisesta puhdistumasta alhaisilla pitoisuustasoilla.</w:t>
      </w:r>
      <w:r w:rsidR="00E456A9" w:rsidRPr="0028514E">
        <w:t xml:space="preserve"> </w:t>
      </w:r>
      <w:r w:rsidRPr="0028514E">
        <w:t>C</w:t>
      </w:r>
      <w:r w:rsidRPr="0028514E">
        <w:rPr>
          <w:vertAlign w:val="subscript"/>
        </w:rPr>
        <w:t>max</w:t>
      </w:r>
      <w:r w:rsidRPr="0028514E">
        <w:t>-arvon osalta vakaa tila saavutettiin ensimmäisen annoksen jälkeen, AUC:n osalta 8 viikon kuluttua ja C</w:t>
      </w:r>
      <w:r w:rsidRPr="0028514E">
        <w:rPr>
          <w:vertAlign w:val="subscript"/>
        </w:rPr>
        <w:t>min</w:t>
      </w:r>
      <w:r w:rsidRPr="0028514E">
        <w:t>-arvon osalta 20 viikon kuluttua. Tosilitsumabin AUC-, C</w:t>
      </w:r>
      <w:r w:rsidRPr="0028514E">
        <w:rPr>
          <w:vertAlign w:val="subscript"/>
        </w:rPr>
        <w:t>min</w:t>
      </w:r>
      <w:r w:rsidRPr="0028514E">
        <w:t>- ja C</w:t>
      </w:r>
      <w:r w:rsidRPr="0028514E">
        <w:rPr>
          <w:vertAlign w:val="subscript"/>
        </w:rPr>
        <w:t>max</w:t>
      </w:r>
      <w:r w:rsidRPr="0028514E">
        <w:t>-arvot nousivat potilaan painon mukaan. Jos potilas painoi 100 kg tai enemmän, tosilitsumabin vakaan tilan AUC-arvo (odotettu keskiarvo ± SD) oli 50</w:t>
      </w:r>
      <w:r w:rsidR="002D5177">
        <w:t> </w:t>
      </w:r>
      <w:r w:rsidRPr="0028514E">
        <w:t>000 ± 16</w:t>
      </w:r>
      <w:r w:rsidR="002D5177">
        <w:t> </w:t>
      </w:r>
      <w:r w:rsidRPr="0028514E">
        <w:t>800 μg•h/ml, Cmin-arvo 24,4 ± 17,5 μg/ml, ja Cmax-arvo</w:t>
      </w:r>
      <w:r w:rsidR="008A3DEA" w:rsidRPr="0028514E">
        <w:t xml:space="preserve"> </w:t>
      </w:r>
      <w:r w:rsidRPr="0028514E">
        <w:t>226 ± 50,3 μg/ml. Arvot ovat korkeammat kuin yllä analysoidun potilaspopulaation keskimääräiset arvot (ts. kaikki painoryhmät). Tosilitsumabin annosvastekäyrä tasaantuu suuremmilla altistuksilla siten, että lisäykset tosilitsumabin pitoisuudessa eivät samassa suhteessa anna lisähyötyä tehossa. Kliinisesti merkittävää parannusta tehossa ei havaittu potilailla, joita hoidettiin yli 800 mg:n tosilitsumabiannoksilla. Siksi ei suositella tosilitsumabin kerta-annoksia, jotka ylittävät 800 mg:aa (ks. kohta 4.2).</w:t>
      </w:r>
    </w:p>
    <w:p w14:paraId="748A785A" w14:textId="77777777" w:rsidR="00E456A9" w:rsidRPr="0028514E" w:rsidRDefault="00E456A9" w:rsidP="006E5F9A">
      <w:pPr>
        <w:pStyle w:val="a4"/>
        <w:ind w:left="0"/>
      </w:pPr>
    </w:p>
    <w:p w14:paraId="7F381199" w14:textId="77777777" w:rsidR="003B7027" w:rsidRPr="0028514E" w:rsidRDefault="00296A74" w:rsidP="009E78E1">
      <w:pPr>
        <w:pStyle w:val="a4"/>
        <w:keepNext/>
        <w:ind w:left="0"/>
      </w:pPr>
      <w:r w:rsidRPr="0028514E">
        <w:rPr>
          <w:u w:val="single"/>
        </w:rPr>
        <w:t>COVID-19-potilaat</w:t>
      </w:r>
    </w:p>
    <w:p w14:paraId="250812FE" w14:textId="7E6811FA" w:rsidR="003B7027" w:rsidRPr="0028514E" w:rsidRDefault="00296A74" w:rsidP="006E5F9A">
      <w:pPr>
        <w:pStyle w:val="a4"/>
        <w:ind w:left="0"/>
      </w:pPr>
      <w:r w:rsidRPr="0028514E">
        <w:t>Tosilitsumabin farmakokinetiikkaa selvitettiin WA42380-tutkimuksessa (COVACTA) ja CA42481- tutkimuksessa (MARIPOSA) tekemällä populaatiofarmakokineettisen analyysi tietokannasta, joka koostuu 380 aikuisen COVID-19-potilaan tiedoista. Nämä potilaat saivat 8 mg/kg tosilitsumabia kerta- infuusiona tai vähintään 8 tunnin välein annettuina kahtena infuusiona. Tosilitsumabiannoksen</w:t>
      </w:r>
      <w:r w:rsidR="00E456A9" w:rsidRPr="0028514E">
        <w:t xml:space="preserve"> </w:t>
      </w:r>
      <w:r w:rsidRPr="0028514E">
        <w:t>8 mg/kg osalta arvioitiin seuraavat parametrit (ennustettu keskiarvo ± keskihajonta): käyrän alle jäävä pinta-ala 28 päivän aikana (AUC</w:t>
      </w:r>
      <w:r w:rsidRPr="0028514E">
        <w:rPr>
          <w:vertAlign w:val="subscript"/>
        </w:rPr>
        <w:t>0-28</w:t>
      </w:r>
      <w:r w:rsidRPr="0028514E">
        <w:t>) = 18</w:t>
      </w:r>
      <w:r w:rsidR="00A61786">
        <w:t> </w:t>
      </w:r>
      <w:r w:rsidRPr="0028514E">
        <w:t>312 (5184) tuntia•μg/ml, pitoisuus päivänä 28 (C</w:t>
      </w:r>
      <w:r w:rsidRPr="0028514E">
        <w:rPr>
          <w:vertAlign w:val="subscript"/>
        </w:rPr>
        <w:t>day28</w:t>
      </w:r>
      <w:r w:rsidRPr="0028514E">
        <w:t>) = 0,934 (1,93) μg/ml ja huippupitoisuus (C</w:t>
      </w:r>
      <w:r w:rsidRPr="0028514E">
        <w:rPr>
          <w:vertAlign w:val="subscript"/>
        </w:rPr>
        <w:t>max</w:t>
      </w:r>
      <w:r w:rsidRPr="0028514E">
        <w:t>) = 154 (34,9) μg/ml. AUC</w:t>
      </w:r>
      <w:r w:rsidRPr="0028514E">
        <w:rPr>
          <w:vertAlign w:val="subscript"/>
        </w:rPr>
        <w:t>0-28</w:t>
      </w:r>
      <w:r w:rsidRPr="0028514E">
        <w:t>-, C</w:t>
      </w:r>
      <w:r w:rsidRPr="0028514E">
        <w:rPr>
          <w:vertAlign w:val="subscript"/>
        </w:rPr>
        <w:t>day28</w:t>
      </w:r>
      <w:r w:rsidRPr="0028514E">
        <w:t>- ja C</w:t>
      </w:r>
      <w:r w:rsidRPr="0028514E">
        <w:rPr>
          <w:vertAlign w:val="subscript"/>
        </w:rPr>
        <w:t>max</w:t>
      </w:r>
      <w:r w:rsidRPr="0028514E">
        <w:t>-arvot arvioitiin myös, kun 8 mg/kg tosilitsumabia annettiin kahtena annoksena 8 tunnin välein (ennustettu keskiarvo ± keskihajonta): AUC</w:t>
      </w:r>
      <w:r w:rsidRPr="0028514E">
        <w:rPr>
          <w:vertAlign w:val="subscript"/>
        </w:rPr>
        <w:t>0-28</w:t>
      </w:r>
      <w:r w:rsidRPr="0028514E">
        <w:t xml:space="preserve"> 42</w:t>
      </w:r>
      <w:r w:rsidR="00A61786">
        <w:t> </w:t>
      </w:r>
      <w:r w:rsidRPr="0028514E">
        <w:t>240 (11</w:t>
      </w:r>
      <w:r w:rsidR="00A61786">
        <w:t> </w:t>
      </w:r>
      <w:r w:rsidRPr="0028514E">
        <w:t>520) tuntia•μg/ml ja C</w:t>
      </w:r>
      <w:r w:rsidRPr="0028514E">
        <w:rPr>
          <w:vertAlign w:val="subscript"/>
        </w:rPr>
        <w:t>day28</w:t>
      </w:r>
      <w:r w:rsidRPr="0028514E">
        <w:t xml:space="preserve"> 8,94 (8,5) μg/ml ja C</w:t>
      </w:r>
      <w:r w:rsidRPr="0028514E">
        <w:rPr>
          <w:vertAlign w:val="subscript"/>
        </w:rPr>
        <w:t>max</w:t>
      </w:r>
      <w:r w:rsidRPr="0028514E">
        <w:t xml:space="preserve"> 296</w:t>
      </w:r>
      <w:r w:rsidR="00E456A9" w:rsidRPr="0028514E">
        <w:t xml:space="preserve"> </w:t>
      </w:r>
      <w:r w:rsidRPr="0028514E">
        <w:t>(64,7) μg/ml.</w:t>
      </w:r>
    </w:p>
    <w:p w14:paraId="41CD7037" w14:textId="77777777" w:rsidR="00E456A9" w:rsidRPr="0028514E" w:rsidRDefault="00E456A9" w:rsidP="006E5F9A">
      <w:pPr>
        <w:pStyle w:val="a4"/>
        <w:ind w:left="0"/>
      </w:pPr>
    </w:p>
    <w:p w14:paraId="0156D4F0" w14:textId="77777777" w:rsidR="003B7027" w:rsidRPr="0028514E" w:rsidRDefault="00296A74" w:rsidP="00CA43F5">
      <w:pPr>
        <w:pStyle w:val="a4"/>
        <w:keepNext/>
        <w:ind w:left="0"/>
      </w:pPr>
      <w:r w:rsidRPr="0028514E">
        <w:rPr>
          <w:u w:val="single"/>
        </w:rPr>
        <w:lastRenderedPageBreak/>
        <w:t>Jakautuminen</w:t>
      </w:r>
    </w:p>
    <w:p w14:paraId="7B339E53" w14:textId="77777777" w:rsidR="003B7027" w:rsidRPr="0028514E" w:rsidRDefault="00296A74" w:rsidP="006E5F9A">
      <w:pPr>
        <w:pStyle w:val="a4"/>
        <w:ind w:left="0"/>
      </w:pPr>
      <w:r w:rsidRPr="0028514E">
        <w:t>Nivelreumapotilailla sentraalinen jakautumistilavuus oli 3,72 l ja perifeerinen jakautumistilavuus 3,35 l, joten jakautumistilavuus oli vakaan tilan aikana 7,07 l.</w:t>
      </w:r>
    </w:p>
    <w:p w14:paraId="064DDDA1" w14:textId="77777777" w:rsidR="003B7027" w:rsidRPr="0028514E" w:rsidRDefault="003B7027" w:rsidP="006E5F9A">
      <w:pPr>
        <w:pStyle w:val="a4"/>
        <w:ind w:left="0"/>
      </w:pPr>
    </w:p>
    <w:p w14:paraId="743C11B9" w14:textId="77777777" w:rsidR="003B7027" w:rsidRPr="0028514E" w:rsidRDefault="00296A74" w:rsidP="006E5F9A">
      <w:pPr>
        <w:pStyle w:val="a4"/>
        <w:ind w:left="0"/>
      </w:pPr>
      <w:r w:rsidRPr="0028514E">
        <w:t>Aikuisilla COVID-19-potilailla sentraalinen jakautumistilavuus oli 4,52 l ja perifeerinen jakautumistilavuus 4,23 l, joten jakautumistilavuus oli 8,75 l.</w:t>
      </w:r>
    </w:p>
    <w:p w14:paraId="3F80D4CD" w14:textId="77777777" w:rsidR="00E456A9" w:rsidRPr="0028514E" w:rsidRDefault="00E456A9" w:rsidP="006E5F9A">
      <w:pPr>
        <w:pStyle w:val="a4"/>
        <w:ind w:left="0"/>
      </w:pPr>
    </w:p>
    <w:p w14:paraId="4C709A35" w14:textId="77777777" w:rsidR="003B7027" w:rsidRPr="0028514E" w:rsidRDefault="00296A74" w:rsidP="00D57B3C">
      <w:pPr>
        <w:pStyle w:val="a4"/>
        <w:keepNext/>
        <w:keepLines/>
        <w:ind w:left="0"/>
      </w:pPr>
      <w:r w:rsidRPr="0028514E">
        <w:rPr>
          <w:u w:val="single"/>
        </w:rPr>
        <w:t>Eliminaatio</w:t>
      </w:r>
    </w:p>
    <w:p w14:paraId="16D8C603" w14:textId="77777777" w:rsidR="003B7027" w:rsidRPr="0028514E" w:rsidRDefault="00296A74" w:rsidP="006E5F9A">
      <w:pPr>
        <w:pStyle w:val="a4"/>
        <w:ind w:left="0"/>
      </w:pPr>
      <w:r w:rsidRPr="0028514E">
        <w:t>Laskimoon annettu tosilitsumabi poistuu verenkierrosta kaksivaiheisesti, joista toinen vaihe on lineaarinen puhdistuma ja toinen noudattaa pitoisuudesta riippuvaista epälineaarista puhdistumaa. Nivelreumapotilailla lineaarinen puhdistuma oli 9,5 ml/h. Aikuisilla COVID-19-potilailla lineaarinen puhdistuma oli seuraava: 17,6 ml/h lähtötilanteen järjestysasteikon (</w:t>
      </w:r>
      <w:r w:rsidRPr="0028514E">
        <w:rPr>
          <w:i/>
        </w:rPr>
        <w:t>ordinal scale, OS</w:t>
      </w:r>
      <w:r w:rsidRPr="0028514E">
        <w:t>) arvon ollessa 3 (OS 3, lisähappea tarvitsevat potilaat), 22,5 ml/h lähtötilanteessa OS 4 -potilailla (suurivirtauksista happihoitoa tai kajoamatonta hengityskonehoitoa tarvitsevat potilaat), 29 ml/h lähtötilanteessa OS 5</w:t>
      </w:r>
      <w:r w:rsidR="00E456A9" w:rsidRPr="0028514E">
        <w:t xml:space="preserve"> </w:t>
      </w:r>
      <w:r w:rsidRPr="0028514E">
        <w:t>-potilailla (hengityskonehoitoa tarvitsevat potilaat) ja 35,4 ml/h lähtötilanteessa OS 6 -potilailla (ECMO-hoitoa eli veren kehonulkoista happeuttamista tai hengityskonehoitoa ja lisähappitukea tarvitsevat potilaat). Pitoisuudesta riippuva epälineaarinen puhdistuma on ratkaisevassa asemassa, kun tosilitsumabipitoisuus on alhainen. Tosilitsumabipitoisuuden suurentuessa epälineaarinen</w:t>
      </w:r>
      <w:r w:rsidR="00E456A9" w:rsidRPr="0028514E">
        <w:t xml:space="preserve"> </w:t>
      </w:r>
      <w:r w:rsidRPr="0028514E">
        <w:t>puhdistumareitti kyllästyy, minkä jälkeen puhdistuma määräytyy pääasiassa lineaarisen puhdistuman perusteella.</w:t>
      </w:r>
    </w:p>
    <w:p w14:paraId="15312401" w14:textId="77777777" w:rsidR="003B7027" w:rsidRPr="0028514E" w:rsidRDefault="003B7027" w:rsidP="006E5F9A">
      <w:pPr>
        <w:pStyle w:val="a4"/>
        <w:ind w:left="0"/>
      </w:pPr>
    </w:p>
    <w:p w14:paraId="193EF5B6" w14:textId="77777777" w:rsidR="003B7027" w:rsidRPr="0028514E" w:rsidRDefault="00296A74" w:rsidP="006E5F9A">
      <w:pPr>
        <w:pStyle w:val="a4"/>
        <w:ind w:left="0"/>
      </w:pPr>
      <w:r w:rsidRPr="0028514E">
        <w:t>Nivelreumapotilailla tosilitsumabin puoliintumisaika (t</w:t>
      </w:r>
      <w:r w:rsidRPr="0028514E">
        <w:rPr>
          <w:vertAlign w:val="subscript"/>
        </w:rPr>
        <w:t>1/2</w:t>
      </w:r>
      <w:r w:rsidRPr="0028514E">
        <w:t>) riippui pitoisuudesta. Kun vakaa tila oli saavutettu annoksen ollessa 8 mg/kg neljän viikon välein, efektiivinen t</w:t>
      </w:r>
      <w:r w:rsidRPr="0028514E">
        <w:rPr>
          <w:vertAlign w:val="subscript"/>
        </w:rPr>
        <w:t>1/2</w:t>
      </w:r>
      <w:r w:rsidRPr="0028514E">
        <w:t xml:space="preserve"> lyheni pitoisuuden pienentyessä annosvälin aikana 18 vuorokaudesta 6 vuorokauteen.</w:t>
      </w:r>
    </w:p>
    <w:p w14:paraId="1F64F533" w14:textId="77777777" w:rsidR="00E456A9" w:rsidRPr="0028514E" w:rsidRDefault="00E456A9" w:rsidP="006E5F9A">
      <w:pPr>
        <w:pStyle w:val="a4"/>
        <w:ind w:left="0"/>
      </w:pPr>
    </w:p>
    <w:p w14:paraId="7F1F7433" w14:textId="77777777" w:rsidR="003B7027" w:rsidRPr="0028514E" w:rsidRDefault="00296A74" w:rsidP="006E5F9A">
      <w:pPr>
        <w:pStyle w:val="a4"/>
        <w:ind w:left="0"/>
      </w:pPr>
      <w:r w:rsidRPr="0028514E">
        <w:t>COVID-19-potilailla pitoisuudet seerumissa olivat määritysrajan alapuolella keskimäärin 35 päivää yhden laskimoon annetun 8 mg/kg tosilitsumabi-infuusion jälkeen.</w:t>
      </w:r>
    </w:p>
    <w:p w14:paraId="74B9BE16" w14:textId="77777777" w:rsidR="003B7027" w:rsidRPr="0028514E" w:rsidRDefault="003B7027" w:rsidP="006E5F9A">
      <w:pPr>
        <w:pStyle w:val="a4"/>
        <w:ind w:left="0"/>
      </w:pPr>
    </w:p>
    <w:p w14:paraId="14BE520C" w14:textId="77777777" w:rsidR="003B7027" w:rsidRPr="0028514E" w:rsidRDefault="00296A74" w:rsidP="006E5F9A">
      <w:pPr>
        <w:pStyle w:val="a4"/>
        <w:ind w:left="0"/>
      </w:pPr>
      <w:r w:rsidRPr="0028514E">
        <w:rPr>
          <w:u w:val="single"/>
        </w:rPr>
        <w:t>Lineaarisuus</w:t>
      </w:r>
    </w:p>
    <w:p w14:paraId="645E5A2B" w14:textId="77777777" w:rsidR="003B7027" w:rsidRPr="0028514E" w:rsidRDefault="00296A74" w:rsidP="006E5F9A">
      <w:pPr>
        <w:pStyle w:val="a4"/>
        <w:ind w:left="0"/>
      </w:pPr>
      <w:r w:rsidRPr="0028514E">
        <w:t>Tosilitsumabin farmakokineettiset parametrit eivät muuttuneet ajan myötä. AUC- ja C</w:t>
      </w:r>
      <w:r w:rsidRPr="000577C7">
        <w:rPr>
          <w:vertAlign w:val="subscript"/>
        </w:rPr>
        <w:t>min</w:t>
      </w:r>
      <w:r w:rsidRPr="0028514E">
        <w:t>-arvojen havaittiin suurenevan annossuhdetta enemmän annoksen ollessa 4 mg/kg tai 8 mg/kg neljän viikon välein. C</w:t>
      </w:r>
      <w:r w:rsidRPr="000577C7">
        <w:rPr>
          <w:vertAlign w:val="subscript"/>
        </w:rPr>
        <w:t>max</w:t>
      </w:r>
      <w:r w:rsidRPr="0028514E">
        <w:t xml:space="preserve"> nousi samassa suhteessa kuin annos. Annoksen ollessa 8 mg/kg arvioitu vakaan tilan AUC-arvo oli 3,2-kertainen verrattuna annokseen 4 mg/kg. Vastaava vakaan tilan C</w:t>
      </w:r>
      <w:r w:rsidRPr="000577C7">
        <w:rPr>
          <w:vertAlign w:val="subscript"/>
        </w:rPr>
        <w:t>min</w:t>
      </w:r>
      <w:r w:rsidRPr="0028514E">
        <w:t>-arvo oli 30- kertainen.</w:t>
      </w:r>
    </w:p>
    <w:p w14:paraId="12B60C39" w14:textId="77777777" w:rsidR="003B7027" w:rsidRPr="0028514E" w:rsidRDefault="003B7027" w:rsidP="006E5F9A">
      <w:pPr>
        <w:pStyle w:val="a4"/>
        <w:ind w:left="0"/>
      </w:pPr>
    </w:p>
    <w:p w14:paraId="6CFFB00F" w14:textId="77777777" w:rsidR="003B7027" w:rsidRPr="0028514E" w:rsidRDefault="00296A74" w:rsidP="006E5F9A">
      <w:pPr>
        <w:pStyle w:val="a4"/>
        <w:ind w:left="0"/>
      </w:pPr>
      <w:r w:rsidRPr="0028514E">
        <w:rPr>
          <w:u w:val="single"/>
        </w:rPr>
        <w:t>Erityisryhmät</w:t>
      </w:r>
    </w:p>
    <w:p w14:paraId="281228FC" w14:textId="77777777" w:rsidR="003B7027" w:rsidRPr="0028514E" w:rsidRDefault="00296A74" w:rsidP="006E5F9A">
      <w:pPr>
        <w:pStyle w:val="a4"/>
        <w:ind w:left="0"/>
      </w:pPr>
      <w:r w:rsidRPr="0028514E">
        <w:rPr>
          <w:i/>
        </w:rPr>
        <w:t xml:space="preserve">Munuaisten vajaatoiminta: </w:t>
      </w:r>
      <w:r w:rsidRPr="0028514E">
        <w:t>Varsinaista tutkimusta munuaisten vajaatoiminnan vaikutuksesta tosilitsumabin farmakokinetiikkaan ei ole tehty. Useimmilla populaatiofarmakokineettisessä analyysissä mukana olleilla potilailla oli normaali munuaistoiminta tai lievä munuaisten vajaatoiminta. Lievä munuaisten vajaatoiminta (Cockcroft-Gaultin kaavalla laskettu kreatiniinipuhdistuma</w:t>
      </w:r>
      <w:r w:rsidR="00E456A9" w:rsidRPr="0028514E">
        <w:t xml:space="preserve"> </w:t>
      </w:r>
      <w:r w:rsidRPr="0028514E">
        <w:t>&lt; 80 ml/min ja ≥ 50 ml/min) ei vaikuttanut tosilitsumabin farmakokinetiikkaan.</w:t>
      </w:r>
    </w:p>
    <w:p w14:paraId="5BBB1700" w14:textId="77777777" w:rsidR="003B7027" w:rsidRPr="0028514E" w:rsidRDefault="003B7027" w:rsidP="006E5F9A">
      <w:pPr>
        <w:pStyle w:val="a4"/>
        <w:ind w:left="0"/>
      </w:pPr>
    </w:p>
    <w:p w14:paraId="336E3178" w14:textId="77777777" w:rsidR="003B7027" w:rsidRPr="0028514E" w:rsidRDefault="00296A74" w:rsidP="006E5F9A">
      <w:pPr>
        <w:pStyle w:val="a4"/>
        <w:ind w:left="0"/>
      </w:pPr>
      <w:r w:rsidRPr="0028514E">
        <w:rPr>
          <w:i/>
        </w:rPr>
        <w:t xml:space="preserve">Maksan vajaatoiminta: </w:t>
      </w:r>
      <w:r w:rsidRPr="0028514E">
        <w:t>Varsinaista tutkimusta maksan vajaatoiminnan vaikutuksista tosilitsumabin farmakokinetiikkaan ei ole tehty.</w:t>
      </w:r>
    </w:p>
    <w:p w14:paraId="256C9399" w14:textId="77777777" w:rsidR="003B7027" w:rsidRPr="0028514E" w:rsidRDefault="003B7027" w:rsidP="006E5F9A">
      <w:pPr>
        <w:pStyle w:val="a4"/>
        <w:ind w:left="0"/>
      </w:pPr>
    </w:p>
    <w:p w14:paraId="5167279A" w14:textId="77777777" w:rsidR="003B7027" w:rsidRPr="0028514E" w:rsidRDefault="00296A74" w:rsidP="006E5F9A">
      <w:pPr>
        <w:pStyle w:val="a4"/>
        <w:ind w:left="0"/>
      </w:pPr>
      <w:r w:rsidRPr="0028514E">
        <w:rPr>
          <w:i/>
        </w:rPr>
        <w:t xml:space="preserve">Ikä, sukupuoli ja etninen tausta: </w:t>
      </w:r>
      <w:r w:rsidRPr="0028514E">
        <w:t>Aikuisten nivelreuma- ja COVID-19-potilaiden populaatiofarmakokineettiset analyysit osoittivat, etteivät ikä, sukupuoli ja etninen tausta vaikuttaneet tosilitsumabin farmakokinetiikkaan.</w:t>
      </w:r>
    </w:p>
    <w:p w14:paraId="7D6722AC" w14:textId="77777777" w:rsidR="0028514E" w:rsidRDefault="0028514E" w:rsidP="006E5F9A">
      <w:pPr>
        <w:pStyle w:val="a4"/>
        <w:ind w:left="0"/>
      </w:pPr>
    </w:p>
    <w:p w14:paraId="78AA179E" w14:textId="77777777" w:rsidR="003B7027" w:rsidRPr="0028514E" w:rsidRDefault="00296A74" w:rsidP="006E5F9A">
      <w:pPr>
        <w:pStyle w:val="a4"/>
        <w:ind w:left="0"/>
      </w:pPr>
      <w:r w:rsidRPr="0028514E">
        <w:t>COVID-19-potilaiden populaatiofarmakokineettisen analyysin tulokset varmistivat, että sekä paino että taudin vaikeusaste ovat kovariaatteja, joilla on merkittävä vaikutus tosilitsumabin lineaariseen puhdistumaan.</w:t>
      </w:r>
    </w:p>
    <w:p w14:paraId="30590169" w14:textId="77777777" w:rsidR="003B7027" w:rsidRPr="0028514E" w:rsidRDefault="003B7027" w:rsidP="006E5F9A">
      <w:pPr>
        <w:pStyle w:val="a4"/>
        <w:ind w:left="0"/>
      </w:pPr>
    </w:p>
    <w:p w14:paraId="6197DA1B" w14:textId="77777777" w:rsidR="003B7027" w:rsidRPr="00CA43F5" w:rsidRDefault="00296A74" w:rsidP="006E5F9A">
      <w:pPr>
        <w:rPr>
          <w:i/>
          <w:lang w:val="fi-FI"/>
        </w:rPr>
      </w:pPr>
      <w:r w:rsidRPr="00CA43F5">
        <w:rPr>
          <w:i/>
          <w:lang w:val="fi-FI"/>
        </w:rPr>
        <w:t>Yleisoireista lastenreumaa sairastavat potilaat:</w:t>
      </w:r>
    </w:p>
    <w:p w14:paraId="19972A28" w14:textId="77777777" w:rsidR="003B7027" w:rsidRPr="0028514E" w:rsidRDefault="00296A74" w:rsidP="006E5F9A">
      <w:pPr>
        <w:pStyle w:val="a4"/>
        <w:ind w:left="0"/>
      </w:pPr>
      <w:r w:rsidRPr="0028514E">
        <w:t>Tosilitsumabin farmakokinetiikka määritettiin populaatiofarmakokineettisellä analyysillä</w:t>
      </w:r>
    </w:p>
    <w:p w14:paraId="57390D08" w14:textId="77777777" w:rsidR="003B7027" w:rsidRPr="0028514E" w:rsidRDefault="00296A74" w:rsidP="006E5F9A">
      <w:pPr>
        <w:pStyle w:val="a4"/>
        <w:ind w:left="0"/>
      </w:pPr>
      <w:r w:rsidRPr="0028514E">
        <w:t xml:space="preserve">140 yleisoireista lastenreumaa sairastavan potilaan tietokannasta. Potilaita oli hoidettu tosilitsumabilla joko 8 mg/kg laskimoon joka toinen viikko (≥ 30 kg painavat potilaat), 12 mg/kg laskimoon joka </w:t>
      </w:r>
      <w:r w:rsidRPr="0028514E">
        <w:lastRenderedPageBreak/>
        <w:t>toinen viikko (&lt; 30 kg painavat potilaat), 162 mg ihon alle joka viikko (≥ 30 kg painavat potilaat), 162 mg ihon alle 10 päivän välein tai joka toinen viikko (&lt; 30 kg painavat potilaat).</w:t>
      </w:r>
    </w:p>
    <w:p w14:paraId="42B5D734" w14:textId="77777777" w:rsidR="00E456A9" w:rsidRPr="0028514E" w:rsidRDefault="00E456A9" w:rsidP="006E5F9A">
      <w:pPr>
        <w:pStyle w:val="a4"/>
        <w:ind w:left="0"/>
      </w:pPr>
    </w:p>
    <w:p w14:paraId="550DC3ED" w14:textId="77777777" w:rsidR="003B7027" w:rsidRPr="00CA43F5" w:rsidRDefault="00296A74" w:rsidP="00D57B3C">
      <w:pPr>
        <w:pStyle w:val="Tabletitle"/>
        <w:keepNext/>
        <w:keepLines/>
        <w:rPr>
          <w:lang w:val="fi-FI"/>
        </w:rPr>
      </w:pPr>
      <w:r w:rsidRPr="00CA43F5">
        <w:rPr>
          <w:lang w:val="fi-FI"/>
        </w:rPr>
        <w:t>Taulukko 11.</w:t>
      </w:r>
      <w:r w:rsidR="00E456A9" w:rsidRPr="00CA43F5">
        <w:rPr>
          <w:lang w:val="fi-FI"/>
        </w:rPr>
        <w:tab/>
      </w:r>
      <w:r w:rsidRPr="00CA43F5">
        <w:rPr>
          <w:lang w:val="fi-FI"/>
        </w:rPr>
        <w:t>Yleisoireista lastenreumaa sairastaville potilaille laskimoon annetun hoidon farmakokineettisten parametrien ennakoidut vakaan tilan keskiarvot ± keskihajonnat</w:t>
      </w:r>
    </w:p>
    <w:p w14:paraId="0C22335E" w14:textId="77777777" w:rsidR="00E456A9" w:rsidRPr="00CA43F5" w:rsidRDefault="00E456A9" w:rsidP="00D57B3C">
      <w:pPr>
        <w:keepNext/>
        <w:keepLines/>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972"/>
        <w:gridCol w:w="2835"/>
        <w:gridCol w:w="2981"/>
      </w:tblGrid>
      <w:tr w:rsidR="003B7027" w:rsidRPr="00ED6BAC" w14:paraId="565C6BE3" w14:textId="77777777" w:rsidTr="00A71F3E">
        <w:trPr>
          <w:trHeight w:val="20"/>
        </w:trPr>
        <w:tc>
          <w:tcPr>
            <w:tcW w:w="2972" w:type="dxa"/>
          </w:tcPr>
          <w:p w14:paraId="17194F94" w14:textId="2434B387" w:rsidR="003B7027" w:rsidRPr="0028514E" w:rsidRDefault="00A61786" w:rsidP="00D57B3C">
            <w:pPr>
              <w:pStyle w:val="TableParagraph"/>
              <w:keepNext/>
              <w:keepLines/>
              <w:rPr>
                <w:b/>
                <w:sz w:val="20"/>
                <w:szCs w:val="20"/>
              </w:rPr>
            </w:pPr>
            <w:r>
              <w:rPr>
                <w:b/>
                <w:sz w:val="20"/>
                <w:szCs w:val="20"/>
              </w:rPr>
              <w:t>Tosilitsumabin</w:t>
            </w:r>
            <w:r w:rsidRPr="0028514E">
              <w:rPr>
                <w:b/>
                <w:sz w:val="20"/>
                <w:szCs w:val="20"/>
              </w:rPr>
              <w:t xml:space="preserve"> </w:t>
            </w:r>
            <w:r w:rsidR="00296A74" w:rsidRPr="0028514E">
              <w:rPr>
                <w:b/>
                <w:sz w:val="20"/>
                <w:szCs w:val="20"/>
              </w:rPr>
              <w:t>farmakokineettiset parametrit</w:t>
            </w:r>
          </w:p>
        </w:tc>
        <w:tc>
          <w:tcPr>
            <w:tcW w:w="2835" w:type="dxa"/>
          </w:tcPr>
          <w:p w14:paraId="410E9D9C" w14:textId="17E91BC5" w:rsidR="003B7027" w:rsidRPr="0028514E" w:rsidRDefault="00296A74" w:rsidP="00D57B3C">
            <w:pPr>
              <w:pStyle w:val="TableParagraph"/>
              <w:keepNext/>
              <w:keepLines/>
              <w:jc w:val="center"/>
              <w:rPr>
                <w:b/>
                <w:sz w:val="20"/>
                <w:szCs w:val="20"/>
              </w:rPr>
            </w:pPr>
            <w:r w:rsidRPr="0028514E">
              <w:rPr>
                <w:b/>
                <w:sz w:val="20"/>
                <w:szCs w:val="20"/>
              </w:rPr>
              <w:t xml:space="preserve">8 mg/kg joka 2. </w:t>
            </w:r>
            <w:r w:rsidR="00A71F3E">
              <w:rPr>
                <w:b/>
                <w:sz w:val="20"/>
                <w:szCs w:val="20"/>
              </w:rPr>
              <w:br/>
            </w:r>
            <w:r w:rsidRPr="0028514E">
              <w:rPr>
                <w:b/>
                <w:sz w:val="20"/>
                <w:szCs w:val="20"/>
              </w:rPr>
              <w:t>viikko</w:t>
            </w:r>
            <w:r w:rsidR="0028514E">
              <w:rPr>
                <w:b/>
                <w:sz w:val="20"/>
                <w:szCs w:val="20"/>
              </w:rPr>
              <w:t xml:space="preserve"> </w:t>
            </w:r>
            <w:r w:rsidRPr="0028514E">
              <w:rPr>
                <w:b/>
                <w:sz w:val="20"/>
                <w:szCs w:val="20"/>
              </w:rPr>
              <w:t>≥ 30 kg</w:t>
            </w:r>
          </w:p>
        </w:tc>
        <w:tc>
          <w:tcPr>
            <w:tcW w:w="2981" w:type="dxa"/>
          </w:tcPr>
          <w:p w14:paraId="68C13007" w14:textId="6EB7B008" w:rsidR="003B7027" w:rsidRPr="0028514E" w:rsidRDefault="00296A74" w:rsidP="00D57B3C">
            <w:pPr>
              <w:pStyle w:val="TableParagraph"/>
              <w:keepNext/>
              <w:keepLines/>
              <w:jc w:val="center"/>
              <w:rPr>
                <w:b/>
                <w:sz w:val="20"/>
                <w:szCs w:val="20"/>
              </w:rPr>
            </w:pPr>
            <w:r w:rsidRPr="0028514E">
              <w:rPr>
                <w:b/>
                <w:sz w:val="20"/>
                <w:szCs w:val="20"/>
              </w:rPr>
              <w:t xml:space="preserve">12 mg/kg joka 2. </w:t>
            </w:r>
            <w:r w:rsidR="00A71F3E">
              <w:rPr>
                <w:b/>
                <w:sz w:val="20"/>
                <w:szCs w:val="20"/>
              </w:rPr>
              <w:br/>
            </w:r>
            <w:r w:rsidRPr="0028514E">
              <w:rPr>
                <w:b/>
                <w:sz w:val="20"/>
                <w:szCs w:val="20"/>
              </w:rPr>
              <w:t>viikko</w:t>
            </w:r>
            <w:r w:rsidR="0028514E">
              <w:rPr>
                <w:b/>
                <w:sz w:val="20"/>
                <w:szCs w:val="20"/>
              </w:rPr>
              <w:t xml:space="preserve"> </w:t>
            </w:r>
            <w:r w:rsidRPr="0028514E">
              <w:rPr>
                <w:b/>
                <w:sz w:val="20"/>
                <w:szCs w:val="20"/>
              </w:rPr>
              <w:t>alle 30 kg</w:t>
            </w:r>
          </w:p>
        </w:tc>
      </w:tr>
      <w:tr w:rsidR="003B7027" w:rsidRPr="00777B93" w14:paraId="6409B59B" w14:textId="77777777" w:rsidTr="00A71F3E">
        <w:trPr>
          <w:trHeight w:val="20"/>
        </w:trPr>
        <w:tc>
          <w:tcPr>
            <w:tcW w:w="2972" w:type="dxa"/>
          </w:tcPr>
          <w:p w14:paraId="32A3BA28" w14:textId="77777777" w:rsidR="003B7027" w:rsidRPr="0028514E" w:rsidRDefault="00296A74" w:rsidP="006E5F9A">
            <w:pPr>
              <w:pStyle w:val="TableParagraph"/>
              <w:rPr>
                <w:sz w:val="20"/>
                <w:szCs w:val="20"/>
              </w:rPr>
            </w:pPr>
            <w:r w:rsidRPr="0028514E">
              <w:rPr>
                <w:sz w:val="20"/>
                <w:szCs w:val="20"/>
              </w:rPr>
              <w:t>C</w:t>
            </w:r>
            <w:r w:rsidRPr="0028514E">
              <w:rPr>
                <w:sz w:val="20"/>
                <w:szCs w:val="20"/>
                <w:vertAlign w:val="subscript"/>
              </w:rPr>
              <w:t>max</w:t>
            </w:r>
            <w:r w:rsidRPr="0028514E">
              <w:rPr>
                <w:sz w:val="20"/>
                <w:szCs w:val="20"/>
              </w:rPr>
              <w:t xml:space="preserve"> (µg/ml)</w:t>
            </w:r>
          </w:p>
        </w:tc>
        <w:tc>
          <w:tcPr>
            <w:tcW w:w="2835" w:type="dxa"/>
          </w:tcPr>
          <w:p w14:paraId="4E297070" w14:textId="77777777" w:rsidR="003B7027" w:rsidRPr="0028514E" w:rsidRDefault="00296A74" w:rsidP="006E5F9A">
            <w:pPr>
              <w:pStyle w:val="TableParagraph"/>
              <w:jc w:val="center"/>
              <w:rPr>
                <w:sz w:val="20"/>
                <w:szCs w:val="20"/>
              </w:rPr>
            </w:pPr>
            <w:r w:rsidRPr="0028514E">
              <w:rPr>
                <w:sz w:val="20"/>
                <w:szCs w:val="20"/>
              </w:rPr>
              <w:t>256 ± 60,8</w:t>
            </w:r>
          </w:p>
        </w:tc>
        <w:tc>
          <w:tcPr>
            <w:tcW w:w="2981" w:type="dxa"/>
          </w:tcPr>
          <w:p w14:paraId="26CB65B6" w14:textId="77777777" w:rsidR="003B7027" w:rsidRPr="0028514E" w:rsidRDefault="00296A74" w:rsidP="006E5F9A">
            <w:pPr>
              <w:pStyle w:val="TableParagraph"/>
              <w:jc w:val="center"/>
              <w:rPr>
                <w:sz w:val="20"/>
                <w:szCs w:val="20"/>
              </w:rPr>
            </w:pPr>
            <w:r w:rsidRPr="0028514E">
              <w:rPr>
                <w:sz w:val="20"/>
                <w:szCs w:val="20"/>
              </w:rPr>
              <w:t xml:space="preserve">274 </w:t>
            </w:r>
            <w:r w:rsidR="0028514E" w:rsidRPr="0028514E">
              <w:rPr>
                <w:sz w:val="20"/>
                <w:szCs w:val="20"/>
              </w:rPr>
              <w:t>±</w:t>
            </w:r>
            <w:r w:rsidRPr="0028514E">
              <w:rPr>
                <w:sz w:val="20"/>
                <w:szCs w:val="20"/>
              </w:rPr>
              <w:t xml:space="preserve"> 63,8</w:t>
            </w:r>
          </w:p>
        </w:tc>
      </w:tr>
      <w:tr w:rsidR="003B7027" w:rsidRPr="00777B93" w14:paraId="5D376808" w14:textId="77777777" w:rsidTr="00A71F3E">
        <w:trPr>
          <w:trHeight w:val="20"/>
        </w:trPr>
        <w:tc>
          <w:tcPr>
            <w:tcW w:w="2972" w:type="dxa"/>
          </w:tcPr>
          <w:p w14:paraId="6388E7E1" w14:textId="77777777" w:rsidR="003B7027" w:rsidRPr="0028514E" w:rsidRDefault="00296A74" w:rsidP="006E5F9A">
            <w:pPr>
              <w:pStyle w:val="TableParagraph"/>
              <w:rPr>
                <w:sz w:val="20"/>
                <w:szCs w:val="20"/>
              </w:rPr>
            </w:pPr>
            <w:r w:rsidRPr="0028514E">
              <w:rPr>
                <w:sz w:val="20"/>
                <w:szCs w:val="20"/>
              </w:rPr>
              <w:t>C</w:t>
            </w:r>
            <w:r w:rsidRPr="0028514E">
              <w:rPr>
                <w:sz w:val="20"/>
                <w:szCs w:val="20"/>
                <w:vertAlign w:val="subscript"/>
              </w:rPr>
              <w:t>trough</w:t>
            </w:r>
            <w:r w:rsidRPr="0028514E">
              <w:rPr>
                <w:sz w:val="20"/>
                <w:szCs w:val="20"/>
              </w:rPr>
              <w:t xml:space="preserve"> (µg/ml)</w:t>
            </w:r>
          </w:p>
        </w:tc>
        <w:tc>
          <w:tcPr>
            <w:tcW w:w="2835" w:type="dxa"/>
          </w:tcPr>
          <w:p w14:paraId="16348426" w14:textId="77777777" w:rsidR="003B7027" w:rsidRPr="0028514E" w:rsidRDefault="00296A74" w:rsidP="006E5F9A">
            <w:pPr>
              <w:pStyle w:val="TableParagraph"/>
              <w:jc w:val="center"/>
              <w:rPr>
                <w:sz w:val="20"/>
                <w:szCs w:val="20"/>
              </w:rPr>
            </w:pPr>
            <w:r w:rsidRPr="0028514E">
              <w:rPr>
                <w:sz w:val="20"/>
                <w:szCs w:val="20"/>
              </w:rPr>
              <w:t>69,7 ± 29,1</w:t>
            </w:r>
          </w:p>
        </w:tc>
        <w:tc>
          <w:tcPr>
            <w:tcW w:w="2981" w:type="dxa"/>
          </w:tcPr>
          <w:p w14:paraId="77BE5E5F" w14:textId="77777777" w:rsidR="003B7027" w:rsidRPr="0028514E" w:rsidRDefault="00296A74" w:rsidP="006E5F9A">
            <w:pPr>
              <w:pStyle w:val="TableParagraph"/>
              <w:jc w:val="center"/>
              <w:rPr>
                <w:sz w:val="20"/>
                <w:szCs w:val="20"/>
              </w:rPr>
            </w:pPr>
            <w:r w:rsidRPr="0028514E">
              <w:rPr>
                <w:sz w:val="20"/>
                <w:szCs w:val="20"/>
              </w:rPr>
              <w:t xml:space="preserve">68,4 </w:t>
            </w:r>
            <w:r w:rsidR="0028514E" w:rsidRPr="0028514E">
              <w:rPr>
                <w:sz w:val="20"/>
                <w:szCs w:val="20"/>
              </w:rPr>
              <w:t>±</w:t>
            </w:r>
            <w:r w:rsidRPr="0028514E">
              <w:rPr>
                <w:sz w:val="20"/>
                <w:szCs w:val="20"/>
              </w:rPr>
              <w:t xml:space="preserve"> 30,0</w:t>
            </w:r>
          </w:p>
        </w:tc>
      </w:tr>
      <w:tr w:rsidR="003B7027" w:rsidRPr="00777B93" w14:paraId="3AD7E2B4" w14:textId="77777777" w:rsidTr="00A71F3E">
        <w:trPr>
          <w:trHeight w:val="20"/>
        </w:trPr>
        <w:tc>
          <w:tcPr>
            <w:tcW w:w="2972" w:type="dxa"/>
          </w:tcPr>
          <w:p w14:paraId="319EEF1F" w14:textId="77777777" w:rsidR="003B7027" w:rsidRPr="0028514E" w:rsidRDefault="00296A74" w:rsidP="006E5F9A">
            <w:pPr>
              <w:pStyle w:val="TableParagraph"/>
              <w:rPr>
                <w:sz w:val="20"/>
                <w:szCs w:val="20"/>
              </w:rPr>
            </w:pPr>
            <w:r w:rsidRPr="0028514E">
              <w:rPr>
                <w:sz w:val="20"/>
                <w:szCs w:val="20"/>
              </w:rPr>
              <w:t>C</w:t>
            </w:r>
            <w:r w:rsidRPr="0028514E">
              <w:rPr>
                <w:sz w:val="20"/>
                <w:szCs w:val="20"/>
                <w:vertAlign w:val="subscript"/>
              </w:rPr>
              <w:t>mean</w:t>
            </w:r>
            <w:r w:rsidRPr="0028514E">
              <w:rPr>
                <w:sz w:val="20"/>
                <w:szCs w:val="20"/>
              </w:rPr>
              <w:t xml:space="preserve"> (µg/ml)</w:t>
            </w:r>
          </w:p>
        </w:tc>
        <w:tc>
          <w:tcPr>
            <w:tcW w:w="2835" w:type="dxa"/>
          </w:tcPr>
          <w:p w14:paraId="39484789" w14:textId="77777777" w:rsidR="003B7027" w:rsidRPr="0028514E" w:rsidRDefault="00296A74" w:rsidP="006E5F9A">
            <w:pPr>
              <w:pStyle w:val="TableParagraph"/>
              <w:jc w:val="center"/>
              <w:rPr>
                <w:sz w:val="20"/>
                <w:szCs w:val="20"/>
              </w:rPr>
            </w:pPr>
            <w:r w:rsidRPr="0028514E">
              <w:rPr>
                <w:sz w:val="20"/>
                <w:szCs w:val="20"/>
              </w:rPr>
              <w:t>119 ± 36,0</w:t>
            </w:r>
          </w:p>
        </w:tc>
        <w:tc>
          <w:tcPr>
            <w:tcW w:w="2981" w:type="dxa"/>
          </w:tcPr>
          <w:p w14:paraId="24ED335B" w14:textId="77777777" w:rsidR="003B7027" w:rsidRPr="0028514E" w:rsidRDefault="00296A74" w:rsidP="006E5F9A">
            <w:pPr>
              <w:pStyle w:val="TableParagraph"/>
              <w:jc w:val="center"/>
              <w:rPr>
                <w:sz w:val="20"/>
                <w:szCs w:val="20"/>
              </w:rPr>
            </w:pPr>
            <w:r w:rsidRPr="0028514E">
              <w:rPr>
                <w:sz w:val="20"/>
                <w:szCs w:val="20"/>
              </w:rPr>
              <w:t xml:space="preserve">123 </w:t>
            </w:r>
            <w:r w:rsidR="0028514E" w:rsidRPr="0028514E">
              <w:rPr>
                <w:sz w:val="20"/>
                <w:szCs w:val="20"/>
              </w:rPr>
              <w:t>±</w:t>
            </w:r>
            <w:r w:rsidRPr="0028514E">
              <w:rPr>
                <w:sz w:val="20"/>
                <w:szCs w:val="20"/>
              </w:rPr>
              <w:t xml:space="preserve"> 36,0</w:t>
            </w:r>
          </w:p>
        </w:tc>
      </w:tr>
      <w:tr w:rsidR="003B7027" w:rsidRPr="00777B93" w14:paraId="1BAC5702" w14:textId="77777777" w:rsidTr="00A71F3E">
        <w:trPr>
          <w:trHeight w:val="20"/>
        </w:trPr>
        <w:tc>
          <w:tcPr>
            <w:tcW w:w="2972" w:type="dxa"/>
          </w:tcPr>
          <w:p w14:paraId="0720F986" w14:textId="77777777" w:rsidR="003B7027" w:rsidRPr="0028514E" w:rsidRDefault="00296A74" w:rsidP="006E5F9A">
            <w:pPr>
              <w:pStyle w:val="TableParagraph"/>
              <w:rPr>
                <w:sz w:val="20"/>
                <w:szCs w:val="20"/>
              </w:rPr>
            </w:pPr>
            <w:r w:rsidRPr="0028514E">
              <w:rPr>
                <w:sz w:val="20"/>
                <w:szCs w:val="20"/>
              </w:rPr>
              <w:t>Kumuloitumisen C</w:t>
            </w:r>
            <w:r w:rsidRPr="0028514E">
              <w:rPr>
                <w:sz w:val="20"/>
                <w:szCs w:val="20"/>
                <w:vertAlign w:val="subscript"/>
              </w:rPr>
              <w:t>max</w:t>
            </w:r>
          </w:p>
        </w:tc>
        <w:tc>
          <w:tcPr>
            <w:tcW w:w="2835" w:type="dxa"/>
          </w:tcPr>
          <w:p w14:paraId="17112CE6" w14:textId="77777777" w:rsidR="003B7027" w:rsidRPr="0028514E" w:rsidRDefault="00296A74" w:rsidP="006E5F9A">
            <w:pPr>
              <w:pStyle w:val="TableParagraph"/>
              <w:jc w:val="center"/>
              <w:rPr>
                <w:sz w:val="20"/>
                <w:szCs w:val="20"/>
              </w:rPr>
            </w:pPr>
            <w:r w:rsidRPr="0028514E">
              <w:rPr>
                <w:sz w:val="20"/>
                <w:szCs w:val="20"/>
              </w:rPr>
              <w:t>1,42</w:t>
            </w:r>
          </w:p>
        </w:tc>
        <w:tc>
          <w:tcPr>
            <w:tcW w:w="2981" w:type="dxa"/>
          </w:tcPr>
          <w:p w14:paraId="08F43545" w14:textId="77777777" w:rsidR="003B7027" w:rsidRPr="0028514E" w:rsidRDefault="00296A74" w:rsidP="006E5F9A">
            <w:pPr>
              <w:pStyle w:val="TableParagraph"/>
              <w:jc w:val="center"/>
              <w:rPr>
                <w:sz w:val="20"/>
                <w:szCs w:val="20"/>
              </w:rPr>
            </w:pPr>
            <w:r w:rsidRPr="0028514E">
              <w:rPr>
                <w:sz w:val="20"/>
                <w:szCs w:val="20"/>
              </w:rPr>
              <w:t>1,37</w:t>
            </w:r>
          </w:p>
        </w:tc>
      </w:tr>
      <w:tr w:rsidR="003B7027" w:rsidRPr="00777B93" w14:paraId="3F639FA3" w14:textId="77777777" w:rsidTr="00A71F3E">
        <w:trPr>
          <w:trHeight w:val="20"/>
        </w:trPr>
        <w:tc>
          <w:tcPr>
            <w:tcW w:w="2972" w:type="dxa"/>
          </w:tcPr>
          <w:p w14:paraId="3D92B162" w14:textId="77777777" w:rsidR="003B7027" w:rsidRPr="0028514E" w:rsidRDefault="00296A74" w:rsidP="006E5F9A">
            <w:pPr>
              <w:pStyle w:val="TableParagraph"/>
              <w:rPr>
                <w:sz w:val="20"/>
                <w:szCs w:val="20"/>
              </w:rPr>
            </w:pPr>
            <w:r w:rsidRPr="0028514E">
              <w:rPr>
                <w:sz w:val="20"/>
                <w:szCs w:val="20"/>
              </w:rPr>
              <w:t>Kumuloitumisen C</w:t>
            </w:r>
            <w:r w:rsidRPr="0028514E">
              <w:rPr>
                <w:sz w:val="20"/>
                <w:szCs w:val="20"/>
                <w:vertAlign w:val="subscript"/>
              </w:rPr>
              <w:t>trough</w:t>
            </w:r>
          </w:p>
        </w:tc>
        <w:tc>
          <w:tcPr>
            <w:tcW w:w="2835" w:type="dxa"/>
          </w:tcPr>
          <w:p w14:paraId="3FABC548" w14:textId="77777777" w:rsidR="003B7027" w:rsidRPr="0028514E" w:rsidRDefault="00296A74" w:rsidP="006E5F9A">
            <w:pPr>
              <w:pStyle w:val="TableParagraph"/>
              <w:jc w:val="center"/>
              <w:rPr>
                <w:sz w:val="20"/>
                <w:szCs w:val="20"/>
              </w:rPr>
            </w:pPr>
            <w:r w:rsidRPr="0028514E">
              <w:rPr>
                <w:sz w:val="20"/>
                <w:szCs w:val="20"/>
              </w:rPr>
              <w:t>3,20</w:t>
            </w:r>
          </w:p>
        </w:tc>
        <w:tc>
          <w:tcPr>
            <w:tcW w:w="2981" w:type="dxa"/>
          </w:tcPr>
          <w:p w14:paraId="3BBC3C57" w14:textId="77777777" w:rsidR="003B7027" w:rsidRPr="0028514E" w:rsidRDefault="00296A74" w:rsidP="006E5F9A">
            <w:pPr>
              <w:pStyle w:val="TableParagraph"/>
              <w:jc w:val="center"/>
              <w:rPr>
                <w:sz w:val="20"/>
                <w:szCs w:val="20"/>
              </w:rPr>
            </w:pPr>
            <w:r w:rsidRPr="0028514E">
              <w:rPr>
                <w:sz w:val="20"/>
                <w:szCs w:val="20"/>
              </w:rPr>
              <w:t>3,41</w:t>
            </w:r>
          </w:p>
        </w:tc>
      </w:tr>
      <w:tr w:rsidR="003B7027" w:rsidRPr="00777B93" w14:paraId="5D01A5BA" w14:textId="77777777" w:rsidTr="00A71F3E">
        <w:trPr>
          <w:trHeight w:val="20"/>
        </w:trPr>
        <w:tc>
          <w:tcPr>
            <w:tcW w:w="2972" w:type="dxa"/>
          </w:tcPr>
          <w:p w14:paraId="6BEFF55F" w14:textId="77777777" w:rsidR="003B7027" w:rsidRPr="0028514E" w:rsidRDefault="00296A74" w:rsidP="006E5F9A">
            <w:pPr>
              <w:pStyle w:val="TableParagraph"/>
              <w:rPr>
                <w:sz w:val="20"/>
                <w:szCs w:val="20"/>
              </w:rPr>
            </w:pPr>
            <w:r w:rsidRPr="0028514E">
              <w:rPr>
                <w:sz w:val="20"/>
                <w:szCs w:val="20"/>
              </w:rPr>
              <w:t>Kumuloitumisen C</w:t>
            </w:r>
            <w:r w:rsidRPr="0028514E">
              <w:rPr>
                <w:sz w:val="20"/>
                <w:szCs w:val="20"/>
                <w:vertAlign w:val="subscript"/>
              </w:rPr>
              <w:t>mean</w:t>
            </w:r>
            <w:r w:rsidRPr="0028514E">
              <w:rPr>
                <w:sz w:val="20"/>
                <w:szCs w:val="20"/>
              </w:rPr>
              <w:t xml:space="preserve"> tai AUC</w:t>
            </w:r>
            <w:r w:rsidRPr="0028514E">
              <w:rPr>
                <w:sz w:val="20"/>
                <w:szCs w:val="20"/>
                <w:vertAlign w:val="subscript"/>
              </w:rPr>
              <w:t>τ</w:t>
            </w:r>
            <w:r w:rsidRPr="0028514E">
              <w:rPr>
                <w:sz w:val="20"/>
                <w:szCs w:val="20"/>
              </w:rPr>
              <w:t>*</w:t>
            </w:r>
          </w:p>
        </w:tc>
        <w:tc>
          <w:tcPr>
            <w:tcW w:w="2835" w:type="dxa"/>
          </w:tcPr>
          <w:p w14:paraId="6FA53073" w14:textId="77777777" w:rsidR="003B7027" w:rsidRPr="0028514E" w:rsidRDefault="00296A74" w:rsidP="006E5F9A">
            <w:pPr>
              <w:pStyle w:val="TableParagraph"/>
              <w:jc w:val="center"/>
              <w:rPr>
                <w:sz w:val="20"/>
                <w:szCs w:val="20"/>
              </w:rPr>
            </w:pPr>
            <w:r w:rsidRPr="0028514E">
              <w:rPr>
                <w:sz w:val="20"/>
                <w:szCs w:val="20"/>
              </w:rPr>
              <w:t>2,01</w:t>
            </w:r>
          </w:p>
        </w:tc>
        <w:tc>
          <w:tcPr>
            <w:tcW w:w="2981" w:type="dxa"/>
          </w:tcPr>
          <w:p w14:paraId="2F409E32" w14:textId="77777777" w:rsidR="003B7027" w:rsidRPr="0028514E" w:rsidRDefault="00296A74" w:rsidP="006E5F9A">
            <w:pPr>
              <w:pStyle w:val="TableParagraph"/>
              <w:jc w:val="center"/>
              <w:rPr>
                <w:sz w:val="20"/>
                <w:szCs w:val="20"/>
              </w:rPr>
            </w:pPr>
            <w:r w:rsidRPr="0028514E">
              <w:rPr>
                <w:sz w:val="20"/>
                <w:szCs w:val="20"/>
              </w:rPr>
              <w:t>1,95</w:t>
            </w:r>
          </w:p>
        </w:tc>
      </w:tr>
    </w:tbl>
    <w:p w14:paraId="233FA7F0" w14:textId="77777777" w:rsidR="003B7027" w:rsidRPr="00CA43F5" w:rsidRDefault="00296A74" w:rsidP="006E5F9A">
      <w:pPr>
        <w:rPr>
          <w:sz w:val="18"/>
          <w:lang w:val="fi-FI"/>
        </w:rPr>
      </w:pPr>
      <w:r w:rsidRPr="00CA43F5">
        <w:rPr>
          <w:sz w:val="18"/>
          <w:lang w:val="fi-FI"/>
        </w:rPr>
        <w:t>*</w:t>
      </w:r>
      <w:r w:rsidRPr="0028514E">
        <w:rPr>
          <w:sz w:val="18"/>
        </w:rPr>
        <w:t>τ</w:t>
      </w:r>
      <w:r w:rsidRPr="00CA43F5">
        <w:rPr>
          <w:sz w:val="18"/>
          <w:lang w:val="fi-FI"/>
        </w:rPr>
        <w:t xml:space="preserve"> = hoito-ohjelma 2 viikon ajan laskimoon</w:t>
      </w:r>
    </w:p>
    <w:p w14:paraId="5C1A7415" w14:textId="77777777" w:rsidR="003B7027" w:rsidRPr="0028514E" w:rsidRDefault="003B7027" w:rsidP="006E5F9A">
      <w:pPr>
        <w:pStyle w:val="a4"/>
        <w:ind w:left="0"/>
        <w:rPr>
          <w:sz w:val="18"/>
        </w:rPr>
      </w:pPr>
    </w:p>
    <w:p w14:paraId="7DE437EB" w14:textId="77777777" w:rsidR="003B7027" w:rsidRPr="0028514E" w:rsidRDefault="00296A74" w:rsidP="006E5F9A">
      <w:pPr>
        <w:pStyle w:val="a4"/>
        <w:ind w:left="0"/>
      </w:pPr>
      <w:r w:rsidRPr="0028514E">
        <w:t>Noin 90 % potilaista saavutti vakaan tilan laskimoon annettujen annosten 12 mg/kg (&lt; 30 kg painavat potilaat) ja 8 mg/kg joka toinen viikko (≥ 30 kg painavat potilaat) yhteydessä viikkoon 8 mennessä.</w:t>
      </w:r>
    </w:p>
    <w:p w14:paraId="374240F6" w14:textId="77777777" w:rsidR="003B7027" w:rsidRPr="0028514E" w:rsidRDefault="003B7027" w:rsidP="006E5F9A">
      <w:pPr>
        <w:pStyle w:val="a4"/>
        <w:ind w:left="0"/>
      </w:pPr>
    </w:p>
    <w:p w14:paraId="03C2EA53" w14:textId="77777777" w:rsidR="003B7027" w:rsidRPr="0028514E" w:rsidRDefault="00296A74" w:rsidP="006E5F9A">
      <w:pPr>
        <w:pStyle w:val="a4"/>
        <w:ind w:left="0"/>
      </w:pPr>
      <w:r w:rsidRPr="0028514E">
        <w:t>Yleisoireista lastenreumaa sairastavilla potilailla sentraalinen jakautumistilavuus oli 1,87 l ja perifeerinen jakautumistilavuus 2,14 l, joten jakautumistilavuus oli vakaan tilan aikana 4,01 l. Lineaarinen puhdistuma arvioituna populaatiofarmakokineettisen analyysin parametrina oli 5,7 ml/h.</w:t>
      </w:r>
      <w:r w:rsidR="00E456A9" w:rsidRPr="0028514E">
        <w:t xml:space="preserve"> </w:t>
      </w:r>
    </w:p>
    <w:p w14:paraId="67A4142B" w14:textId="77777777" w:rsidR="00E456A9" w:rsidRPr="0028514E" w:rsidRDefault="00E456A9" w:rsidP="006E5F9A">
      <w:pPr>
        <w:pStyle w:val="a4"/>
        <w:ind w:left="0"/>
      </w:pPr>
    </w:p>
    <w:p w14:paraId="1CA6A14C" w14:textId="77777777" w:rsidR="003B7027" w:rsidRPr="0028514E" w:rsidRDefault="00296A74" w:rsidP="006E5F9A">
      <w:pPr>
        <w:pStyle w:val="a4"/>
        <w:ind w:left="0"/>
      </w:pPr>
      <w:r w:rsidRPr="0028514E">
        <w:t>Viikolla 12 tosilitsumabin puoliintumisaika yleisoireista lastenreumaa sairastavilla potilailla on jopa 16 vuorokautta molemmissa painoryhmissä (8 mg/kg ≥ 30 kg painaville ja 12 mg/kg &lt; 30 kg painaville).</w:t>
      </w:r>
    </w:p>
    <w:p w14:paraId="3F8694C3" w14:textId="77777777" w:rsidR="003B7027" w:rsidRPr="0028514E" w:rsidRDefault="003B7027" w:rsidP="006E5F9A">
      <w:pPr>
        <w:pStyle w:val="a4"/>
        <w:ind w:left="0"/>
      </w:pPr>
    </w:p>
    <w:p w14:paraId="2905C080" w14:textId="77777777" w:rsidR="003B7027" w:rsidRPr="00CA43F5" w:rsidRDefault="00296A74" w:rsidP="006E5F9A">
      <w:pPr>
        <w:rPr>
          <w:i/>
          <w:lang w:val="fi-FI"/>
        </w:rPr>
      </w:pPr>
      <w:r w:rsidRPr="00CA43F5">
        <w:rPr>
          <w:i/>
          <w:lang w:val="fi-FI"/>
        </w:rPr>
        <w:t>Polyartriittipotilaat:</w:t>
      </w:r>
    </w:p>
    <w:p w14:paraId="5CB6C929" w14:textId="77777777" w:rsidR="003B7027" w:rsidRPr="0028514E" w:rsidRDefault="00296A74" w:rsidP="003C43CF">
      <w:pPr>
        <w:pStyle w:val="a4"/>
        <w:ind w:left="0"/>
      </w:pPr>
      <w:r w:rsidRPr="0028514E">
        <w:t>Tosilitsumabin farmakokinetiikka määritettiin polyartriittipotilailla populaatiofarmakokineettisellä analyysillä, jossa oli mukana 237 potilaan tiedot. Potilaat olivat saaneet hoitona annoksia 8 mg/kg laskimoon joka neljäs viikko (≥ 30 kg painavat potilaat), 10 mg/kg laskimoon joka neljäs viikko</w:t>
      </w:r>
      <w:r w:rsidR="00E456A9" w:rsidRPr="0028514E">
        <w:t xml:space="preserve"> </w:t>
      </w:r>
      <w:r w:rsidRPr="0028514E">
        <w:t>(&lt; 30 kg painavat potilaat), 162 mg ihon alle joka toinen viikko (≥ 30 kg painavat potilaat) tai 162 mg ihon alle joka kolmas viikko (&lt; 30 kg painavat potilaat).</w:t>
      </w:r>
    </w:p>
    <w:p w14:paraId="6B5021DA" w14:textId="77777777" w:rsidR="003B7027" w:rsidRPr="0028514E" w:rsidRDefault="003B7027" w:rsidP="006E5F9A">
      <w:pPr>
        <w:pStyle w:val="a4"/>
        <w:ind w:left="0"/>
      </w:pPr>
    </w:p>
    <w:p w14:paraId="7C2FA0FA" w14:textId="77777777" w:rsidR="003B7027" w:rsidRPr="00CA43F5" w:rsidRDefault="00296A74" w:rsidP="00A71F3E">
      <w:pPr>
        <w:pStyle w:val="Tabletitle"/>
        <w:keepNext/>
        <w:rPr>
          <w:lang w:val="fi-FI"/>
        </w:rPr>
      </w:pPr>
      <w:r w:rsidRPr="00CA43F5">
        <w:rPr>
          <w:lang w:val="fi-FI"/>
        </w:rPr>
        <w:t>Taulukko 12.</w:t>
      </w:r>
      <w:r w:rsidR="00E456A9" w:rsidRPr="00CA43F5">
        <w:rPr>
          <w:lang w:val="fi-FI"/>
        </w:rPr>
        <w:tab/>
      </w:r>
      <w:r w:rsidRPr="00CA43F5">
        <w:rPr>
          <w:lang w:val="fi-FI"/>
        </w:rPr>
        <w:t>Polyartriittipotilaille laskimoon annetun hoidon farmakokineettisten parametrien ennakoidut vakaan tilan keskiarvot ± keskihajonnat</w:t>
      </w:r>
    </w:p>
    <w:p w14:paraId="4A3F8F88" w14:textId="77777777" w:rsidR="00E456A9" w:rsidRPr="00CA43F5" w:rsidRDefault="00E456A9" w:rsidP="00A71F3E">
      <w:pPr>
        <w:keepNext/>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972"/>
        <w:gridCol w:w="2698"/>
        <w:gridCol w:w="3118"/>
      </w:tblGrid>
      <w:tr w:rsidR="003B7027" w:rsidRPr="00ED6BAC" w14:paraId="343A33E7" w14:textId="77777777" w:rsidTr="00A71F3E">
        <w:trPr>
          <w:trHeight w:val="20"/>
          <w:tblHeader/>
        </w:trPr>
        <w:tc>
          <w:tcPr>
            <w:tcW w:w="2972" w:type="dxa"/>
          </w:tcPr>
          <w:p w14:paraId="03721FDD" w14:textId="14D80BA0" w:rsidR="003B7027" w:rsidRPr="00AA12F7" w:rsidRDefault="00A61786" w:rsidP="006E5F9A">
            <w:pPr>
              <w:pStyle w:val="TableParagraph"/>
              <w:rPr>
                <w:b/>
                <w:sz w:val="20"/>
                <w:szCs w:val="20"/>
              </w:rPr>
            </w:pPr>
            <w:r>
              <w:rPr>
                <w:b/>
                <w:sz w:val="20"/>
                <w:szCs w:val="20"/>
              </w:rPr>
              <w:t>Tosilitsumabin</w:t>
            </w:r>
            <w:r w:rsidRPr="00AA12F7">
              <w:rPr>
                <w:b/>
                <w:sz w:val="20"/>
                <w:szCs w:val="20"/>
              </w:rPr>
              <w:t xml:space="preserve"> </w:t>
            </w:r>
            <w:r w:rsidR="00296A74" w:rsidRPr="00AA12F7">
              <w:rPr>
                <w:b/>
                <w:sz w:val="20"/>
                <w:szCs w:val="20"/>
              </w:rPr>
              <w:t>farmakokineettiset parametrit</w:t>
            </w:r>
          </w:p>
        </w:tc>
        <w:tc>
          <w:tcPr>
            <w:tcW w:w="2698" w:type="dxa"/>
          </w:tcPr>
          <w:p w14:paraId="4C3D1164" w14:textId="0D3B7986" w:rsidR="003B7027" w:rsidRPr="00AA12F7" w:rsidRDefault="00296A74" w:rsidP="006E5F9A">
            <w:pPr>
              <w:pStyle w:val="TableParagraph"/>
              <w:jc w:val="center"/>
              <w:rPr>
                <w:b/>
                <w:sz w:val="20"/>
                <w:szCs w:val="20"/>
              </w:rPr>
            </w:pPr>
            <w:r w:rsidRPr="00AA12F7">
              <w:rPr>
                <w:b/>
                <w:sz w:val="20"/>
                <w:szCs w:val="20"/>
              </w:rPr>
              <w:t xml:space="preserve">8 mg/kg joka 2. </w:t>
            </w:r>
            <w:r w:rsidR="00A71F3E">
              <w:rPr>
                <w:b/>
                <w:sz w:val="20"/>
                <w:szCs w:val="20"/>
              </w:rPr>
              <w:br/>
            </w:r>
            <w:r w:rsidRPr="00AA12F7">
              <w:rPr>
                <w:b/>
                <w:sz w:val="20"/>
                <w:szCs w:val="20"/>
              </w:rPr>
              <w:t>viikko</w:t>
            </w:r>
            <w:r w:rsidR="00AA12F7" w:rsidRPr="00AA12F7">
              <w:rPr>
                <w:b/>
                <w:sz w:val="20"/>
                <w:szCs w:val="20"/>
              </w:rPr>
              <w:t xml:space="preserve"> </w:t>
            </w:r>
            <w:r w:rsidRPr="00AA12F7">
              <w:rPr>
                <w:b/>
                <w:sz w:val="20"/>
                <w:szCs w:val="20"/>
              </w:rPr>
              <w:t>≥ 30 kg</w:t>
            </w:r>
          </w:p>
        </w:tc>
        <w:tc>
          <w:tcPr>
            <w:tcW w:w="3118" w:type="dxa"/>
          </w:tcPr>
          <w:p w14:paraId="5DD0F454" w14:textId="3DB1D3C9" w:rsidR="003B7027" w:rsidRPr="00AA12F7" w:rsidRDefault="00296A74" w:rsidP="006E5F9A">
            <w:pPr>
              <w:pStyle w:val="TableParagraph"/>
              <w:jc w:val="center"/>
              <w:rPr>
                <w:b/>
                <w:sz w:val="20"/>
                <w:szCs w:val="20"/>
              </w:rPr>
            </w:pPr>
            <w:r w:rsidRPr="00AA12F7">
              <w:rPr>
                <w:b/>
                <w:sz w:val="20"/>
                <w:szCs w:val="20"/>
              </w:rPr>
              <w:t xml:space="preserve">12 mg/kg joka 2. </w:t>
            </w:r>
            <w:r w:rsidR="00A71F3E">
              <w:rPr>
                <w:b/>
                <w:sz w:val="20"/>
                <w:szCs w:val="20"/>
              </w:rPr>
              <w:br/>
            </w:r>
            <w:r w:rsidRPr="00AA12F7">
              <w:rPr>
                <w:b/>
                <w:sz w:val="20"/>
                <w:szCs w:val="20"/>
              </w:rPr>
              <w:t>viikko</w:t>
            </w:r>
            <w:r w:rsidR="00AA12F7" w:rsidRPr="00AA12F7">
              <w:rPr>
                <w:b/>
                <w:sz w:val="20"/>
                <w:szCs w:val="20"/>
              </w:rPr>
              <w:t xml:space="preserve"> </w:t>
            </w:r>
            <w:r w:rsidRPr="00AA12F7">
              <w:rPr>
                <w:b/>
                <w:sz w:val="20"/>
                <w:szCs w:val="20"/>
              </w:rPr>
              <w:t>alle 30 kg</w:t>
            </w:r>
          </w:p>
        </w:tc>
      </w:tr>
      <w:tr w:rsidR="003B7027" w:rsidRPr="00777B93" w14:paraId="4951B856" w14:textId="77777777" w:rsidTr="00A71F3E">
        <w:trPr>
          <w:trHeight w:val="20"/>
        </w:trPr>
        <w:tc>
          <w:tcPr>
            <w:tcW w:w="2972" w:type="dxa"/>
          </w:tcPr>
          <w:p w14:paraId="37E5E249" w14:textId="77777777" w:rsidR="003B7027" w:rsidRPr="00AA12F7" w:rsidRDefault="00296A74" w:rsidP="006E5F9A">
            <w:pPr>
              <w:pStyle w:val="TableParagraph"/>
              <w:rPr>
                <w:sz w:val="20"/>
                <w:szCs w:val="20"/>
              </w:rPr>
            </w:pPr>
            <w:r w:rsidRPr="00AA12F7">
              <w:rPr>
                <w:sz w:val="20"/>
                <w:szCs w:val="20"/>
              </w:rPr>
              <w:t>C</w:t>
            </w:r>
            <w:r w:rsidRPr="00AA12F7">
              <w:rPr>
                <w:sz w:val="20"/>
                <w:szCs w:val="20"/>
                <w:vertAlign w:val="subscript"/>
              </w:rPr>
              <w:t>max</w:t>
            </w:r>
            <w:r w:rsidRPr="00AA12F7">
              <w:rPr>
                <w:sz w:val="20"/>
                <w:szCs w:val="20"/>
              </w:rPr>
              <w:t xml:space="preserve"> (µg/ml)</w:t>
            </w:r>
          </w:p>
        </w:tc>
        <w:tc>
          <w:tcPr>
            <w:tcW w:w="2698" w:type="dxa"/>
          </w:tcPr>
          <w:p w14:paraId="0926DB4C" w14:textId="77777777" w:rsidR="003B7027" w:rsidRPr="00AA12F7" w:rsidRDefault="00296A74" w:rsidP="006E5F9A">
            <w:pPr>
              <w:pStyle w:val="TableParagraph"/>
              <w:jc w:val="center"/>
              <w:rPr>
                <w:sz w:val="20"/>
                <w:szCs w:val="20"/>
              </w:rPr>
            </w:pPr>
            <w:r w:rsidRPr="00AA12F7">
              <w:rPr>
                <w:sz w:val="20"/>
                <w:szCs w:val="20"/>
                <w:u w:val="single"/>
              </w:rPr>
              <w:t>183 ± 42,3</w:t>
            </w:r>
          </w:p>
        </w:tc>
        <w:tc>
          <w:tcPr>
            <w:tcW w:w="3118" w:type="dxa"/>
          </w:tcPr>
          <w:p w14:paraId="32B79EBE" w14:textId="77777777" w:rsidR="003B7027" w:rsidRPr="00AA12F7" w:rsidRDefault="00296A74" w:rsidP="006E5F9A">
            <w:pPr>
              <w:pStyle w:val="TableParagraph"/>
              <w:jc w:val="center"/>
              <w:rPr>
                <w:sz w:val="20"/>
                <w:szCs w:val="20"/>
              </w:rPr>
            </w:pPr>
            <w:r w:rsidRPr="00AA12F7">
              <w:rPr>
                <w:sz w:val="20"/>
                <w:szCs w:val="20"/>
                <w:u w:val="single"/>
              </w:rPr>
              <w:t xml:space="preserve">168 </w:t>
            </w:r>
            <w:r w:rsidR="00AA12F7" w:rsidRPr="00AA12F7">
              <w:rPr>
                <w:sz w:val="20"/>
                <w:szCs w:val="20"/>
                <w:u w:val="single"/>
              </w:rPr>
              <w:t>±</w:t>
            </w:r>
            <w:r w:rsidRPr="00AA12F7">
              <w:rPr>
                <w:sz w:val="20"/>
                <w:szCs w:val="20"/>
                <w:u w:val="single"/>
              </w:rPr>
              <w:t xml:space="preserve"> 24,8</w:t>
            </w:r>
          </w:p>
        </w:tc>
      </w:tr>
      <w:tr w:rsidR="003B7027" w:rsidRPr="00777B93" w14:paraId="7127429D" w14:textId="77777777" w:rsidTr="00A71F3E">
        <w:trPr>
          <w:trHeight w:val="20"/>
        </w:trPr>
        <w:tc>
          <w:tcPr>
            <w:tcW w:w="2972" w:type="dxa"/>
          </w:tcPr>
          <w:p w14:paraId="5F19A8DC" w14:textId="77777777" w:rsidR="003B7027" w:rsidRPr="00AA12F7" w:rsidRDefault="00296A74" w:rsidP="006E5F9A">
            <w:pPr>
              <w:pStyle w:val="TableParagraph"/>
              <w:rPr>
                <w:sz w:val="20"/>
                <w:szCs w:val="20"/>
              </w:rPr>
            </w:pPr>
            <w:r w:rsidRPr="00AA12F7">
              <w:rPr>
                <w:sz w:val="20"/>
                <w:szCs w:val="20"/>
              </w:rPr>
              <w:t>C</w:t>
            </w:r>
            <w:r w:rsidRPr="00AA12F7">
              <w:rPr>
                <w:sz w:val="20"/>
                <w:szCs w:val="20"/>
                <w:vertAlign w:val="subscript"/>
              </w:rPr>
              <w:t>trough</w:t>
            </w:r>
            <w:r w:rsidRPr="00AA12F7">
              <w:rPr>
                <w:sz w:val="20"/>
                <w:szCs w:val="20"/>
              </w:rPr>
              <w:t xml:space="preserve"> (µg/ml)</w:t>
            </w:r>
          </w:p>
        </w:tc>
        <w:tc>
          <w:tcPr>
            <w:tcW w:w="2698" w:type="dxa"/>
          </w:tcPr>
          <w:p w14:paraId="766FF628" w14:textId="77777777" w:rsidR="003B7027" w:rsidRPr="00AA12F7" w:rsidRDefault="00296A74" w:rsidP="006E5F9A">
            <w:pPr>
              <w:pStyle w:val="TableParagraph"/>
              <w:jc w:val="center"/>
              <w:rPr>
                <w:sz w:val="20"/>
                <w:szCs w:val="20"/>
              </w:rPr>
            </w:pPr>
            <w:r w:rsidRPr="00AA12F7">
              <w:rPr>
                <w:sz w:val="20"/>
                <w:szCs w:val="20"/>
                <w:u w:val="single"/>
              </w:rPr>
              <w:t>6,55 ± 7,93</w:t>
            </w:r>
          </w:p>
        </w:tc>
        <w:tc>
          <w:tcPr>
            <w:tcW w:w="3118" w:type="dxa"/>
          </w:tcPr>
          <w:p w14:paraId="40434E7F" w14:textId="77777777" w:rsidR="003B7027" w:rsidRPr="00AA12F7" w:rsidRDefault="00296A74" w:rsidP="006E5F9A">
            <w:pPr>
              <w:pStyle w:val="TableParagraph"/>
              <w:jc w:val="center"/>
              <w:rPr>
                <w:sz w:val="20"/>
                <w:szCs w:val="20"/>
              </w:rPr>
            </w:pPr>
            <w:r w:rsidRPr="00AA12F7">
              <w:rPr>
                <w:sz w:val="20"/>
                <w:szCs w:val="20"/>
                <w:u w:val="single"/>
              </w:rPr>
              <w:t xml:space="preserve">1,47 </w:t>
            </w:r>
            <w:r w:rsidR="00AA12F7" w:rsidRPr="00AA12F7">
              <w:rPr>
                <w:sz w:val="20"/>
                <w:szCs w:val="20"/>
                <w:u w:val="single"/>
              </w:rPr>
              <w:t>±</w:t>
            </w:r>
            <w:r w:rsidRPr="00AA12F7">
              <w:rPr>
                <w:sz w:val="20"/>
                <w:szCs w:val="20"/>
                <w:u w:val="single"/>
              </w:rPr>
              <w:t xml:space="preserve"> 2,44</w:t>
            </w:r>
          </w:p>
        </w:tc>
      </w:tr>
      <w:tr w:rsidR="003B7027" w:rsidRPr="00777B93" w14:paraId="62560E58" w14:textId="77777777" w:rsidTr="00A71F3E">
        <w:trPr>
          <w:trHeight w:val="20"/>
        </w:trPr>
        <w:tc>
          <w:tcPr>
            <w:tcW w:w="2972" w:type="dxa"/>
          </w:tcPr>
          <w:p w14:paraId="0A337122" w14:textId="77777777" w:rsidR="003B7027" w:rsidRPr="00AA12F7" w:rsidRDefault="00296A74" w:rsidP="006E5F9A">
            <w:pPr>
              <w:pStyle w:val="TableParagraph"/>
              <w:rPr>
                <w:sz w:val="20"/>
                <w:szCs w:val="20"/>
              </w:rPr>
            </w:pPr>
            <w:r w:rsidRPr="00AA12F7">
              <w:rPr>
                <w:sz w:val="20"/>
                <w:szCs w:val="20"/>
              </w:rPr>
              <w:t>C</w:t>
            </w:r>
            <w:r w:rsidRPr="00AA12F7">
              <w:rPr>
                <w:sz w:val="20"/>
                <w:szCs w:val="20"/>
                <w:vertAlign w:val="subscript"/>
              </w:rPr>
              <w:t>mean</w:t>
            </w:r>
            <w:r w:rsidRPr="00AA12F7">
              <w:rPr>
                <w:sz w:val="20"/>
                <w:szCs w:val="20"/>
              </w:rPr>
              <w:t xml:space="preserve"> (µg/ml)</w:t>
            </w:r>
          </w:p>
        </w:tc>
        <w:tc>
          <w:tcPr>
            <w:tcW w:w="2698" w:type="dxa"/>
          </w:tcPr>
          <w:p w14:paraId="7287CEA2" w14:textId="77777777" w:rsidR="003B7027" w:rsidRPr="00AA12F7" w:rsidRDefault="00296A74" w:rsidP="006E5F9A">
            <w:pPr>
              <w:pStyle w:val="TableParagraph"/>
              <w:jc w:val="center"/>
              <w:rPr>
                <w:sz w:val="20"/>
                <w:szCs w:val="20"/>
              </w:rPr>
            </w:pPr>
            <w:r w:rsidRPr="00AA12F7">
              <w:rPr>
                <w:sz w:val="20"/>
                <w:szCs w:val="20"/>
                <w:u w:val="single"/>
              </w:rPr>
              <w:t>42,2 ± 13,4</w:t>
            </w:r>
          </w:p>
        </w:tc>
        <w:tc>
          <w:tcPr>
            <w:tcW w:w="3118" w:type="dxa"/>
          </w:tcPr>
          <w:p w14:paraId="5F0F2046" w14:textId="77777777" w:rsidR="003B7027" w:rsidRPr="00AA12F7" w:rsidRDefault="00296A74" w:rsidP="006E5F9A">
            <w:pPr>
              <w:pStyle w:val="TableParagraph"/>
              <w:jc w:val="center"/>
              <w:rPr>
                <w:sz w:val="20"/>
                <w:szCs w:val="20"/>
              </w:rPr>
            </w:pPr>
            <w:r w:rsidRPr="00AA12F7">
              <w:rPr>
                <w:sz w:val="20"/>
                <w:szCs w:val="20"/>
                <w:u w:val="single"/>
              </w:rPr>
              <w:t xml:space="preserve">31,6 </w:t>
            </w:r>
            <w:r w:rsidR="00AA12F7" w:rsidRPr="00AA12F7">
              <w:rPr>
                <w:sz w:val="20"/>
                <w:szCs w:val="20"/>
                <w:u w:val="single"/>
              </w:rPr>
              <w:t>±</w:t>
            </w:r>
            <w:r w:rsidRPr="00AA12F7">
              <w:rPr>
                <w:sz w:val="20"/>
                <w:szCs w:val="20"/>
                <w:u w:val="single"/>
              </w:rPr>
              <w:t xml:space="preserve"> 7,84</w:t>
            </w:r>
          </w:p>
        </w:tc>
      </w:tr>
      <w:tr w:rsidR="003B7027" w:rsidRPr="00777B93" w14:paraId="7BA30EAD" w14:textId="77777777" w:rsidTr="00A71F3E">
        <w:trPr>
          <w:trHeight w:val="20"/>
        </w:trPr>
        <w:tc>
          <w:tcPr>
            <w:tcW w:w="2972" w:type="dxa"/>
          </w:tcPr>
          <w:p w14:paraId="1A713BE9" w14:textId="77777777" w:rsidR="003B7027" w:rsidRPr="00AA12F7" w:rsidRDefault="00296A74" w:rsidP="006E5F9A">
            <w:pPr>
              <w:pStyle w:val="TableParagraph"/>
              <w:rPr>
                <w:sz w:val="20"/>
                <w:szCs w:val="20"/>
              </w:rPr>
            </w:pPr>
            <w:r w:rsidRPr="00AA12F7">
              <w:rPr>
                <w:sz w:val="20"/>
                <w:szCs w:val="20"/>
              </w:rPr>
              <w:t>Kumuloitumisen C</w:t>
            </w:r>
            <w:r w:rsidRPr="00AA12F7">
              <w:rPr>
                <w:sz w:val="20"/>
                <w:szCs w:val="20"/>
                <w:vertAlign w:val="subscript"/>
              </w:rPr>
              <w:t>max</w:t>
            </w:r>
          </w:p>
        </w:tc>
        <w:tc>
          <w:tcPr>
            <w:tcW w:w="2698" w:type="dxa"/>
          </w:tcPr>
          <w:p w14:paraId="05140961" w14:textId="77777777" w:rsidR="003B7027" w:rsidRPr="00AA12F7" w:rsidRDefault="00296A74" w:rsidP="006E5F9A">
            <w:pPr>
              <w:pStyle w:val="TableParagraph"/>
              <w:jc w:val="center"/>
              <w:rPr>
                <w:sz w:val="20"/>
                <w:szCs w:val="20"/>
              </w:rPr>
            </w:pPr>
            <w:r w:rsidRPr="00AA12F7">
              <w:rPr>
                <w:sz w:val="20"/>
                <w:szCs w:val="20"/>
                <w:u w:val="single"/>
              </w:rPr>
              <w:t>1,04</w:t>
            </w:r>
          </w:p>
        </w:tc>
        <w:tc>
          <w:tcPr>
            <w:tcW w:w="3118" w:type="dxa"/>
          </w:tcPr>
          <w:p w14:paraId="6CB87666" w14:textId="77777777" w:rsidR="003B7027" w:rsidRPr="00AA12F7" w:rsidRDefault="00296A74" w:rsidP="006E5F9A">
            <w:pPr>
              <w:pStyle w:val="TableParagraph"/>
              <w:jc w:val="center"/>
              <w:rPr>
                <w:sz w:val="20"/>
                <w:szCs w:val="20"/>
              </w:rPr>
            </w:pPr>
            <w:r w:rsidRPr="00AA12F7">
              <w:rPr>
                <w:sz w:val="20"/>
                <w:szCs w:val="20"/>
                <w:u w:val="single"/>
              </w:rPr>
              <w:t>1,01</w:t>
            </w:r>
          </w:p>
        </w:tc>
      </w:tr>
      <w:tr w:rsidR="003B7027" w:rsidRPr="00777B93" w14:paraId="6211B2A4" w14:textId="77777777" w:rsidTr="00A71F3E">
        <w:trPr>
          <w:trHeight w:val="20"/>
        </w:trPr>
        <w:tc>
          <w:tcPr>
            <w:tcW w:w="2972" w:type="dxa"/>
          </w:tcPr>
          <w:p w14:paraId="39770B25" w14:textId="77777777" w:rsidR="003B7027" w:rsidRPr="00AA12F7" w:rsidRDefault="00296A74" w:rsidP="006E5F9A">
            <w:pPr>
              <w:pStyle w:val="TableParagraph"/>
              <w:rPr>
                <w:sz w:val="20"/>
                <w:szCs w:val="20"/>
              </w:rPr>
            </w:pPr>
            <w:r w:rsidRPr="00AA12F7">
              <w:rPr>
                <w:sz w:val="20"/>
                <w:szCs w:val="20"/>
              </w:rPr>
              <w:t>Kumuloitumisen C</w:t>
            </w:r>
            <w:r w:rsidRPr="00AA12F7">
              <w:rPr>
                <w:sz w:val="20"/>
                <w:szCs w:val="20"/>
                <w:vertAlign w:val="subscript"/>
              </w:rPr>
              <w:t>trough</w:t>
            </w:r>
          </w:p>
        </w:tc>
        <w:tc>
          <w:tcPr>
            <w:tcW w:w="2698" w:type="dxa"/>
          </w:tcPr>
          <w:p w14:paraId="26F34D81" w14:textId="77777777" w:rsidR="003B7027" w:rsidRPr="00AA12F7" w:rsidRDefault="00296A74" w:rsidP="006E5F9A">
            <w:pPr>
              <w:pStyle w:val="TableParagraph"/>
              <w:jc w:val="center"/>
              <w:rPr>
                <w:sz w:val="20"/>
                <w:szCs w:val="20"/>
              </w:rPr>
            </w:pPr>
            <w:r w:rsidRPr="00AA12F7">
              <w:rPr>
                <w:sz w:val="20"/>
                <w:szCs w:val="20"/>
                <w:u w:val="single"/>
              </w:rPr>
              <w:t>2,22</w:t>
            </w:r>
          </w:p>
        </w:tc>
        <w:tc>
          <w:tcPr>
            <w:tcW w:w="3118" w:type="dxa"/>
          </w:tcPr>
          <w:p w14:paraId="5EF11724" w14:textId="77777777" w:rsidR="003B7027" w:rsidRPr="00AA12F7" w:rsidRDefault="00296A74" w:rsidP="006E5F9A">
            <w:pPr>
              <w:pStyle w:val="TableParagraph"/>
              <w:jc w:val="center"/>
              <w:rPr>
                <w:sz w:val="20"/>
                <w:szCs w:val="20"/>
              </w:rPr>
            </w:pPr>
            <w:r w:rsidRPr="00AA12F7">
              <w:rPr>
                <w:sz w:val="20"/>
                <w:szCs w:val="20"/>
                <w:u w:val="single"/>
              </w:rPr>
              <w:t>1,43</w:t>
            </w:r>
          </w:p>
        </w:tc>
      </w:tr>
      <w:tr w:rsidR="003B7027" w:rsidRPr="00777B93" w14:paraId="0BD62453" w14:textId="77777777" w:rsidTr="00A71F3E">
        <w:trPr>
          <w:trHeight w:val="20"/>
        </w:trPr>
        <w:tc>
          <w:tcPr>
            <w:tcW w:w="2972" w:type="dxa"/>
          </w:tcPr>
          <w:p w14:paraId="5BFF335D" w14:textId="77777777" w:rsidR="003B7027" w:rsidRPr="00AA12F7" w:rsidRDefault="00296A74" w:rsidP="006E5F9A">
            <w:pPr>
              <w:pStyle w:val="TableParagraph"/>
              <w:rPr>
                <w:sz w:val="20"/>
                <w:szCs w:val="20"/>
              </w:rPr>
            </w:pPr>
            <w:r w:rsidRPr="00AA12F7">
              <w:rPr>
                <w:sz w:val="20"/>
                <w:szCs w:val="20"/>
              </w:rPr>
              <w:t>Kumuloitumisen C</w:t>
            </w:r>
            <w:r w:rsidRPr="00AA12F7">
              <w:rPr>
                <w:sz w:val="20"/>
                <w:szCs w:val="20"/>
                <w:vertAlign w:val="subscript"/>
              </w:rPr>
              <w:t>mean</w:t>
            </w:r>
            <w:r w:rsidRPr="00AA12F7">
              <w:rPr>
                <w:sz w:val="20"/>
                <w:szCs w:val="20"/>
              </w:rPr>
              <w:t xml:space="preserve"> tai AUC</w:t>
            </w:r>
            <w:r w:rsidRPr="00AA12F7">
              <w:rPr>
                <w:sz w:val="20"/>
                <w:szCs w:val="20"/>
                <w:vertAlign w:val="subscript"/>
              </w:rPr>
              <w:t>τ</w:t>
            </w:r>
            <w:r w:rsidRPr="00AA12F7">
              <w:rPr>
                <w:sz w:val="20"/>
                <w:szCs w:val="20"/>
              </w:rPr>
              <w:t>*</w:t>
            </w:r>
          </w:p>
        </w:tc>
        <w:tc>
          <w:tcPr>
            <w:tcW w:w="2698" w:type="dxa"/>
          </w:tcPr>
          <w:p w14:paraId="6862654D" w14:textId="77777777" w:rsidR="003B7027" w:rsidRPr="00AA12F7" w:rsidRDefault="00296A74" w:rsidP="006E5F9A">
            <w:pPr>
              <w:pStyle w:val="TableParagraph"/>
              <w:jc w:val="center"/>
              <w:rPr>
                <w:sz w:val="20"/>
                <w:szCs w:val="20"/>
              </w:rPr>
            </w:pPr>
            <w:r w:rsidRPr="00AA12F7">
              <w:rPr>
                <w:sz w:val="20"/>
                <w:szCs w:val="20"/>
                <w:u w:val="single"/>
              </w:rPr>
              <w:t>1,16</w:t>
            </w:r>
          </w:p>
        </w:tc>
        <w:tc>
          <w:tcPr>
            <w:tcW w:w="3118" w:type="dxa"/>
          </w:tcPr>
          <w:p w14:paraId="21D5381B" w14:textId="77777777" w:rsidR="003B7027" w:rsidRPr="00AA12F7" w:rsidRDefault="00296A74" w:rsidP="006E5F9A">
            <w:pPr>
              <w:pStyle w:val="TableParagraph"/>
              <w:jc w:val="center"/>
              <w:rPr>
                <w:sz w:val="20"/>
                <w:szCs w:val="20"/>
              </w:rPr>
            </w:pPr>
            <w:r w:rsidRPr="00AA12F7">
              <w:rPr>
                <w:sz w:val="20"/>
                <w:szCs w:val="20"/>
                <w:u w:val="single"/>
              </w:rPr>
              <w:t>1,05</w:t>
            </w:r>
          </w:p>
        </w:tc>
      </w:tr>
    </w:tbl>
    <w:p w14:paraId="313C46B1" w14:textId="77777777" w:rsidR="003B7027" w:rsidRPr="00CA43F5" w:rsidRDefault="00296A74" w:rsidP="003C43CF">
      <w:pPr>
        <w:rPr>
          <w:sz w:val="18"/>
          <w:lang w:val="fi-FI"/>
        </w:rPr>
      </w:pPr>
      <w:r w:rsidRPr="00CA43F5">
        <w:rPr>
          <w:sz w:val="18"/>
          <w:lang w:val="fi-FI"/>
        </w:rPr>
        <w:t>*</w:t>
      </w:r>
      <w:r w:rsidRPr="0028514E">
        <w:rPr>
          <w:sz w:val="18"/>
        </w:rPr>
        <w:t>τ</w:t>
      </w:r>
      <w:r w:rsidRPr="00CA43F5">
        <w:rPr>
          <w:sz w:val="18"/>
          <w:lang w:val="fi-FI"/>
        </w:rPr>
        <w:t xml:space="preserve"> = hoito-ohjelmat 4 viikon ajan laskimoon</w:t>
      </w:r>
    </w:p>
    <w:p w14:paraId="7070B32A" w14:textId="77777777" w:rsidR="003B7027" w:rsidRPr="0028514E" w:rsidRDefault="003B7027" w:rsidP="006E5F9A">
      <w:pPr>
        <w:pStyle w:val="a4"/>
        <w:ind w:left="0"/>
        <w:rPr>
          <w:sz w:val="18"/>
        </w:rPr>
      </w:pPr>
    </w:p>
    <w:p w14:paraId="2E963B4F" w14:textId="77777777" w:rsidR="003B7027" w:rsidRPr="0028514E" w:rsidRDefault="00296A74" w:rsidP="006E5F9A">
      <w:pPr>
        <w:pStyle w:val="a4"/>
        <w:ind w:left="0"/>
      </w:pPr>
      <w:r w:rsidRPr="0028514E">
        <w:t>Noin 90 % potilaista saavutti vakaan tilan laskimoon annettujen annosten 10 mg/kg (paino &lt; 30 kg) yhteydessä viikkoon 12 mennessä ja annosten 8 mg/kg (paino ≥ 30 kg) yhteydessä viikkoon 16 mennessä.</w:t>
      </w:r>
    </w:p>
    <w:p w14:paraId="546E12A6" w14:textId="77777777" w:rsidR="00E456A9" w:rsidRPr="0028514E" w:rsidRDefault="00E456A9" w:rsidP="006E5F9A">
      <w:pPr>
        <w:pStyle w:val="a4"/>
        <w:ind w:left="0"/>
      </w:pPr>
    </w:p>
    <w:p w14:paraId="1DCE590D" w14:textId="77777777" w:rsidR="003B7027" w:rsidRPr="0028514E" w:rsidRDefault="00296A74" w:rsidP="006E5F9A">
      <w:pPr>
        <w:pStyle w:val="a4"/>
        <w:ind w:left="0"/>
      </w:pPr>
      <w:r w:rsidRPr="0028514E">
        <w:t>Tosilitsumabin puoliintumisaika polyartriittipotilailla on jopa 16 vuorokautta molemmissa painoryhmissä (8 mg/kg ≥ 30 kg painaville ja 10 mg/kg &lt; 30 kg painaville) (vakaa tila antovälin aikana).</w:t>
      </w:r>
    </w:p>
    <w:p w14:paraId="103B0D09" w14:textId="77777777" w:rsidR="003B7027" w:rsidRPr="0028514E" w:rsidRDefault="003B7027" w:rsidP="006E5F9A">
      <w:pPr>
        <w:pStyle w:val="a4"/>
        <w:ind w:left="0"/>
      </w:pPr>
    </w:p>
    <w:p w14:paraId="446FC66B" w14:textId="77777777" w:rsidR="003B7027" w:rsidRPr="0028514E" w:rsidRDefault="00296A74" w:rsidP="00D57B3C">
      <w:pPr>
        <w:pStyle w:val="2"/>
        <w:keepNext/>
        <w:keepLines/>
        <w:ind w:left="562" w:hanging="562"/>
      </w:pPr>
      <w:r w:rsidRPr="0028514E">
        <w:lastRenderedPageBreak/>
        <w:t>5.3</w:t>
      </w:r>
      <w:r w:rsidRPr="0028514E">
        <w:tab/>
        <w:t>Prekliiniset tiedot turvallisuudesta</w:t>
      </w:r>
    </w:p>
    <w:p w14:paraId="0F1BE0E6" w14:textId="77777777" w:rsidR="00E456A9" w:rsidRPr="009A3CB5" w:rsidRDefault="00E456A9" w:rsidP="001C1F69">
      <w:pPr>
        <w:rPr>
          <w:lang w:val="fi-FI"/>
        </w:rPr>
      </w:pPr>
    </w:p>
    <w:p w14:paraId="3B8F8BDB" w14:textId="77777777" w:rsidR="003B7027" w:rsidRPr="0028514E" w:rsidRDefault="00296A74" w:rsidP="006E5F9A">
      <w:pPr>
        <w:pStyle w:val="a4"/>
        <w:ind w:left="0"/>
      </w:pPr>
      <w:r w:rsidRPr="0028514E">
        <w:t>Farmakologista turvallisuutta, toistuvan altistuksen aiheuttamaa toksisuutta ja genotoksisuutta koskevien konventionaalisten prekliinisten tutkimusten tulokset eivät viittaa erityiseen vaaraan ihmisille.</w:t>
      </w:r>
    </w:p>
    <w:p w14:paraId="0CF52229" w14:textId="77777777" w:rsidR="003B7027" w:rsidRPr="0028514E" w:rsidRDefault="003B7027" w:rsidP="006E5F9A">
      <w:pPr>
        <w:pStyle w:val="a4"/>
        <w:ind w:left="0"/>
      </w:pPr>
    </w:p>
    <w:p w14:paraId="332C2AF4" w14:textId="77777777" w:rsidR="003B7027" w:rsidRPr="0028514E" w:rsidRDefault="00296A74" w:rsidP="006E5F9A">
      <w:pPr>
        <w:pStyle w:val="a4"/>
        <w:ind w:left="0"/>
      </w:pPr>
      <w:r w:rsidRPr="0028514E">
        <w:t>Karsinogeenisuustutkimuksia ei ole tehty, koska monoklonaalisia IgG1-vasta-aineita ei pidetä luontaisina karsinogeeneinä.</w:t>
      </w:r>
    </w:p>
    <w:p w14:paraId="4078A4FD" w14:textId="77777777" w:rsidR="00E456A9" w:rsidRPr="0028514E" w:rsidRDefault="00E456A9" w:rsidP="006E5F9A">
      <w:pPr>
        <w:pStyle w:val="a4"/>
        <w:ind w:left="0"/>
      </w:pPr>
    </w:p>
    <w:p w14:paraId="6F5E4949" w14:textId="77777777" w:rsidR="003B7027" w:rsidRPr="0028514E" w:rsidRDefault="00296A74" w:rsidP="006E5F9A">
      <w:pPr>
        <w:pStyle w:val="a4"/>
        <w:ind w:left="0"/>
      </w:pPr>
      <w:r w:rsidRPr="0028514E">
        <w:t>Käytettävissä olevat ei-kliiniset tiedot osoittivat, että IL-6 vaikuttaa tiettyjen syöpätyyppien etenemiseen ja apoptoosiresistenssiin. Nämä tiedot eivät viittaa siihen, että tosilitsumabihoitoon liittyisi merkittävää syövän kehittymisen ja etenemisen riskiä. Pitkäaikaisessa kuuden kuukauden toksisuustutkimuksessa ei havaittu proliferoivia leesioita jaavanmakakeilla (cynomolgus-apinoilla) eikä IL-6-defisienteillä hiirillä.</w:t>
      </w:r>
    </w:p>
    <w:p w14:paraId="0F2E6B63" w14:textId="77777777" w:rsidR="00E456A9" w:rsidRPr="0028514E" w:rsidRDefault="00E456A9" w:rsidP="006E5F9A">
      <w:pPr>
        <w:pStyle w:val="a4"/>
        <w:ind w:left="0"/>
      </w:pPr>
    </w:p>
    <w:p w14:paraId="02DA5DCE" w14:textId="77777777" w:rsidR="003B7027" w:rsidRPr="0028514E" w:rsidRDefault="00296A74" w:rsidP="006E5F9A">
      <w:pPr>
        <w:pStyle w:val="a4"/>
        <w:ind w:left="0"/>
      </w:pPr>
      <w:r w:rsidRPr="0028514E">
        <w:t>Käytettävissä olevat ei-kliiniset tiedot eivät viittaa hedelmällisyyteen kohdistuviin vaikutuksiin tosilitsumabihoidon aikana. Jaavanmakakeilla tehdyssä toksisuustutkimuksessa ei havaittu endokriinisesti aktiivisiin elimiin eikä lisääntymiselimiin kohdistuneita vaikutuksia.</w:t>
      </w:r>
      <w:r w:rsidR="00E456A9" w:rsidRPr="0028514E">
        <w:t xml:space="preserve"> </w:t>
      </w:r>
      <w:r w:rsidRPr="0028514E">
        <w:t>Lisääntymistoimintoihin kohdistuvia vaikutuksia ei havaittu myöskään IL-6-defisienteillä hiirillä.</w:t>
      </w:r>
    </w:p>
    <w:p w14:paraId="0E4D5B17" w14:textId="77777777" w:rsidR="003B7027" w:rsidRPr="0028514E" w:rsidRDefault="003B7027" w:rsidP="006E5F9A">
      <w:pPr>
        <w:pStyle w:val="a4"/>
        <w:ind w:left="0"/>
      </w:pPr>
    </w:p>
    <w:p w14:paraId="48AC3E20" w14:textId="77777777" w:rsidR="003B7027" w:rsidRPr="0028514E" w:rsidRDefault="00296A74" w:rsidP="006E5F9A">
      <w:pPr>
        <w:pStyle w:val="a4"/>
        <w:ind w:left="0"/>
      </w:pPr>
      <w:r w:rsidRPr="0028514E">
        <w:t>Tosilitsumabilla ei havaittu olevan suoraa eikä epäsuoraa haitallista vaikutusta tiineyteen eikä alkion- tai sikiönkehitykseen, kun sitä annettiin jaavanmakakeille tiineyden alkuvaiheessa. Keskenmenojen / alkio- ja sikiökuolemien vähäistä lisääntymistä havaittiin kuitenkin suurta annostusta 50 mg/kg/vrk saaneiden ryhmässä, jossa systeeminen altistus oli suuri (&gt; 100-kertainen ihmisen altistukseen verrattuna), lumeryhmään ja muihin pientä annosta saaneiden ryhmiin verrattuna. Vaikka IL-6 ei näytä olevan ratkaisevan tärkeä sytokiini sikiön kasvun kannalta eikä emon ja sikiön immunologisessa vuorovaikutuksen säätelyssä, tämän löydöksen yhteyttä tosilitsumabihoitoon ei voida sulkea pois.</w:t>
      </w:r>
    </w:p>
    <w:p w14:paraId="12D82805" w14:textId="77777777" w:rsidR="003B7027" w:rsidRPr="0028514E" w:rsidRDefault="003B7027" w:rsidP="006E5F9A">
      <w:pPr>
        <w:pStyle w:val="a4"/>
        <w:ind w:left="0"/>
      </w:pPr>
    </w:p>
    <w:p w14:paraId="09840BDB" w14:textId="77777777" w:rsidR="003B7027" w:rsidRPr="0028514E" w:rsidRDefault="00296A74" w:rsidP="006E5F9A">
      <w:pPr>
        <w:pStyle w:val="a4"/>
        <w:ind w:left="0"/>
      </w:pPr>
      <w:r w:rsidRPr="0028514E">
        <w:t>Hoito hiiren analogeilla ei aiheuttanut lisääntynyttä toksisuutta nuorilla hiirillä. Häiriöitä ei havaittu etenkään luuston kehityksessä, immuniteetissä eikä seksuaalisessa kypsymisessä.</w:t>
      </w:r>
    </w:p>
    <w:p w14:paraId="29C78157" w14:textId="77777777" w:rsidR="003B7027" w:rsidRPr="0028514E" w:rsidRDefault="003B7027" w:rsidP="006E5F9A">
      <w:pPr>
        <w:pStyle w:val="a4"/>
        <w:ind w:left="0"/>
      </w:pPr>
    </w:p>
    <w:p w14:paraId="65B9A398" w14:textId="77777777" w:rsidR="003B7027" w:rsidRPr="0028514E" w:rsidRDefault="003B7027" w:rsidP="006E5F9A">
      <w:pPr>
        <w:pStyle w:val="a4"/>
        <w:ind w:left="0"/>
      </w:pPr>
    </w:p>
    <w:p w14:paraId="1DC5F8E1" w14:textId="77777777" w:rsidR="003B7027" w:rsidRPr="0028514E" w:rsidRDefault="00296A74" w:rsidP="00A71F3E">
      <w:pPr>
        <w:pStyle w:val="1"/>
        <w:keepNext/>
      </w:pPr>
      <w:r w:rsidRPr="0028514E">
        <w:t>6.</w:t>
      </w:r>
      <w:r w:rsidRPr="0028514E">
        <w:tab/>
        <w:t>FARMASEUTTISET TIEDOT</w:t>
      </w:r>
    </w:p>
    <w:p w14:paraId="4EE9907A" w14:textId="77777777" w:rsidR="003B7027" w:rsidRPr="0028514E" w:rsidRDefault="003B7027" w:rsidP="00A71F3E">
      <w:pPr>
        <w:pStyle w:val="a4"/>
        <w:keepNext/>
        <w:ind w:left="0"/>
        <w:rPr>
          <w:b/>
        </w:rPr>
      </w:pPr>
    </w:p>
    <w:p w14:paraId="71586FC2" w14:textId="77777777" w:rsidR="003B7027" w:rsidRPr="0028514E" w:rsidRDefault="00296A74" w:rsidP="00A71F3E">
      <w:pPr>
        <w:pStyle w:val="2"/>
        <w:keepNext/>
      </w:pPr>
      <w:r w:rsidRPr="0028514E">
        <w:t>6.1</w:t>
      </w:r>
      <w:r w:rsidRPr="0028514E">
        <w:tab/>
        <w:t>Apuaineet</w:t>
      </w:r>
    </w:p>
    <w:p w14:paraId="68C464B4" w14:textId="77777777" w:rsidR="00E456A9" w:rsidRPr="0028514E" w:rsidRDefault="00E456A9" w:rsidP="001C1F69"/>
    <w:p w14:paraId="515837B7" w14:textId="3F42BAD6" w:rsidR="00AA12F7" w:rsidRDefault="00C96F78" w:rsidP="006E5F9A">
      <w:pPr>
        <w:pStyle w:val="a4"/>
        <w:ind w:left="0"/>
        <w:rPr>
          <w:rFonts w:eastAsia="맑은 고딕"/>
          <w:lang w:eastAsia="ko-KR"/>
        </w:rPr>
      </w:pPr>
      <w:r>
        <w:t>L‑histidiini</w:t>
      </w:r>
    </w:p>
    <w:p w14:paraId="27BFDF96" w14:textId="77777777" w:rsidR="00C26E34" w:rsidRDefault="00C26E34" w:rsidP="006E5F9A">
      <w:pPr>
        <w:pStyle w:val="a4"/>
        <w:ind w:left="0"/>
        <w:rPr>
          <w:rFonts w:eastAsia="맑은 고딕"/>
          <w:lang w:val="en-GB" w:eastAsia="ko-KR"/>
        </w:rPr>
      </w:pPr>
      <w:r w:rsidRPr="00C26E34">
        <w:rPr>
          <w:rFonts w:eastAsia="맑은 고딕" w:hint="eastAsia"/>
          <w:lang w:val="en-GB" w:eastAsia="ko-KR"/>
        </w:rPr>
        <w:t>L-</w:t>
      </w:r>
      <w:proofErr w:type="spellStart"/>
      <w:r w:rsidRPr="00C26E34">
        <w:rPr>
          <w:rFonts w:eastAsia="맑은 고딕" w:hint="eastAsia"/>
          <w:lang w:val="en-GB" w:eastAsia="ko-KR"/>
        </w:rPr>
        <w:t>histidiinimonohydrokloridimonohydraatti</w:t>
      </w:r>
      <w:proofErr w:type="spellEnd"/>
    </w:p>
    <w:p w14:paraId="511A0CDC" w14:textId="08D3285B" w:rsidR="00C96F78" w:rsidRDefault="00C96F78" w:rsidP="006E5F9A">
      <w:pPr>
        <w:pStyle w:val="a4"/>
        <w:ind w:left="0"/>
      </w:pPr>
      <w:r>
        <w:t>L‑treoniini</w:t>
      </w:r>
    </w:p>
    <w:p w14:paraId="5C0124B6" w14:textId="120D081E" w:rsidR="00C96F78" w:rsidRDefault="00C96F78" w:rsidP="006E5F9A">
      <w:pPr>
        <w:pStyle w:val="a4"/>
        <w:ind w:left="0"/>
      </w:pPr>
      <w:r>
        <w:t>L‑metioniini</w:t>
      </w:r>
    </w:p>
    <w:p w14:paraId="405E37A7" w14:textId="77777777" w:rsidR="003B7027" w:rsidRPr="0028514E" w:rsidRDefault="00296A74" w:rsidP="006E5F9A">
      <w:pPr>
        <w:pStyle w:val="a4"/>
        <w:ind w:left="0"/>
      </w:pPr>
      <w:r w:rsidRPr="0028514E">
        <w:t>Polysorbaatti 80</w:t>
      </w:r>
    </w:p>
    <w:p w14:paraId="402E280C" w14:textId="77777777" w:rsidR="003B7027" w:rsidRPr="0028514E" w:rsidRDefault="00296A74" w:rsidP="006E5F9A">
      <w:pPr>
        <w:pStyle w:val="a4"/>
        <w:ind w:left="0"/>
      </w:pPr>
      <w:r w:rsidRPr="0028514E">
        <w:t>Injektionesteisiin käytettävä vesi</w:t>
      </w:r>
    </w:p>
    <w:p w14:paraId="45C31A0B" w14:textId="77777777" w:rsidR="003B7027" w:rsidRPr="0028514E" w:rsidRDefault="003B7027" w:rsidP="006E5F9A">
      <w:pPr>
        <w:pStyle w:val="a4"/>
        <w:ind w:left="0"/>
      </w:pPr>
    </w:p>
    <w:p w14:paraId="68CAEEFC" w14:textId="77777777" w:rsidR="003B7027" w:rsidRPr="0028514E" w:rsidRDefault="00296A74" w:rsidP="00704C8E">
      <w:pPr>
        <w:pStyle w:val="2"/>
        <w:keepNext/>
      </w:pPr>
      <w:r w:rsidRPr="0028514E">
        <w:t>6.2</w:t>
      </w:r>
      <w:r w:rsidRPr="0028514E">
        <w:tab/>
        <w:t>Yhteensopimattomuudet</w:t>
      </w:r>
    </w:p>
    <w:p w14:paraId="4C3F3554" w14:textId="77777777" w:rsidR="00E456A9" w:rsidRPr="009A3CB5" w:rsidRDefault="00E456A9" w:rsidP="001C1F69">
      <w:pPr>
        <w:rPr>
          <w:lang w:val="fi-FI"/>
        </w:rPr>
      </w:pPr>
    </w:p>
    <w:p w14:paraId="2FEDB40E" w14:textId="77777777" w:rsidR="003B7027" w:rsidRPr="0028514E" w:rsidRDefault="00296A74" w:rsidP="006E5F9A">
      <w:pPr>
        <w:pStyle w:val="a4"/>
        <w:ind w:left="0"/>
      </w:pPr>
      <w:r w:rsidRPr="0028514E">
        <w:t>Tätä lääkevalmistetta ei saa sekoittaa muiden lääkevalmisteiden kanssa, lukuun ottamatta niitä, jotka mainitaan kohdassa 6.6.</w:t>
      </w:r>
    </w:p>
    <w:p w14:paraId="4D213D13" w14:textId="77777777" w:rsidR="00E456A9" w:rsidRPr="0028514E" w:rsidRDefault="00E456A9" w:rsidP="006E5F9A">
      <w:pPr>
        <w:pStyle w:val="a4"/>
        <w:ind w:left="0"/>
      </w:pPr>
    </w:p>
    <w:p w14:paraId="0F30E064" w14:textId="77777777" w:rsidR="003B7027" w:rsidRPr="0028514E" w:rsidRDefault="00296A74" w:rsidP="006E5F9A">
      <w:pPr>
        <w:pStyle w:val="2"/>
      </w:pPr>
      <w:r w:rsidRPr="0028514E">
        <w:t>6.3</w:t>
      </w:r>
      <w:r w:rsidRPr="0028514E">
        <w:tab/>
        <w:t>Kestoaika</w:t>
      </w:r>
    </w:p>
    <w:p w14:paraId="611D11AD" w14:textId="77777777" w:rsidR="00E456A9" w:rsidRPr="009A3CB5" w:rsidRDefault="00E456A9" w:rsidP="001C1F69">
      <w:pPr>
        <w:rPr>
          <w:lang w:val="fi-FI"/>
        </w:rPr>
      </w:pPr>
    </w:p>
    <w:p w14:paraId="333C0047" w14:textId="65E697F8" w:rsidR="003B7027" w:rsidRPr="00CA43F5" w:rsidRDefault="00296A74" w:rsidP="006E5F9A">
      <w:pPr>
        <w:rPr>
          <w:lang w:val="fi-FI"/>
        </w:rPr>
      </w:pPr>
      <w:r w:rsidRPr="00CA43F5">
        <w:rPr>
          <w:i/>
          <w:lang w:val="fi-FI"/>
        </w:rPr>
        <w:t xml:space="preserve">Avaamaton injektiopullo: </w:t>
      </w:r>
      <w:ins w:id="10" w:author="만든 이">
        <w:r w:rsidR="0064502E" w:rsidRPr="0064502E">
          <w:rPr>
            <w:rFonts w:eastAsia="맑은 고딕"/>
            <w:lang w:val="fi-FI" w:eastAsia="ko-KR"/>
          </w:rPr>
          <w:t>3 vuotta</w:t>
        </w:r>
      </w:ins>
      <w:del w:id="11" w:author="만든 이">
        <w:r w:rsidR="00A3116F" w:rsidDel="0064502E">
          <w:rPr>
            <w:rFonts w:eastAsia="맑은 고딕" w:hint="eastAsia"/>
            <w:lang w:val="fi-FI" w:eastAsia="ko-KR"/>
          </w:rPr>
          <w:delText>36</w:delText>
        </w:r>
        <w:r w:rsidR="00A3116F" w:rsidDel="0064502E">
          <w:rPr>
            <w:lang w:val="fi-FI"/>
          </w:rPr>
          <w:delText> </w:delText>
        </w:r>
        <w:r w:rsidRPr="00CA43F5" w:rsidDel="0064502E">
          <w:rPr>
            <w:lang w:val="fi-FI"/>
          </w:rPr>
          <w:delText>kuukautta</w:delText>
        </w:r>
      </w:del>
    </w:p>
    <w:p w14:paraId="1FE362E3" w14:textId="77777777" w:rsidR="003B7027" w:rsidRPr="0028514E" w:rsidRDefault="003B7027" w:rsidP="006E5F9A">
      <w:pPr>
        <w:pStyle w:val="a4"/>
        <w:ind w:left="0"/>
      </w:pPr>
    </w:p>
    <w:p w14:paraId="71554FB1" w14:textId="7D7E11C4" w:rsidR="003B7027" w:rsidRPr="0028514E" w:rsidRDefault="00296A74" w:rsidP="006E5F9A">
      <w:pPr>
        <w:pStyle w:val="a4"/>
        <w:ind w:left="0"/>
      </w:pPr>
      <w:r w:rsidRPr="0028514E">
        <w:rPr>
          <w:i/>
        </w:rPr>
        <w:t xml:space="preserve">Valmis liuos: </w:t>
      </w:r>
      <w:r w:rsidRPr="0028514E">
        <w:t xml:space="preserve">Infuusiokonsentraatti laimennetaan 0,9-prosenttiseen </w:t>
      </w:r>
      <w:r w:rsidR="00C96F78" w:rsidRPr="0028514E">
        <w:t>(9 mg/ml)</w:t>
      </w:r>
      <w:r w:rsidR="00C96F78">
        <w:t xml:space="preserve"> tai 0,45‑prosenttiseen (4,5 mg/ml) </w:t>
      </w:r>
      <w:r w:rsidRPr="0028514E">
        <w:t xml:space="preserve">natriumkloridiliuokseen, ja valmis infuusioliuos on kemiallisesti ja fysikaalisesti stabiili. Sitä voidaan säilyttää </w:t>
      </w:r>
      <w:r w:rsidR="009D6046">
        <w:t>48</w:t>
      </w:r>
      <w:r w:rsidR="001A097F">
        <w:t> </w:t>
      </w:r>
      <w:r w:rsidRPr="0028514E">
        <w:t>tuntia</w:t>
      </w:r>
      <w:r w:rsidR="00E456A9" w:rsidRPr="0028514E">
        <w:t xml:space="preserve"> </w:t>
      </w:r>
      <w:r w:rsidRPr="0028514E">
        <w:t>30</w:t>
      </w:r>
      <w:r w:rsidR="005F554F">
        <w:t> </w:t>
      </w:r>
      <w:r w:rsidRPr="0028514E">
        <w:t xml:space="preserve">ºC:ssa ja enintään </w:t>
      </w:r>
      <w:r w:rsidR="009D6046">
        <w:t>1 kuukauden ajan</w:t>
      </w:r>
      <w:r w:rsidRPr="0028514E">
        <w:t xml:space="preserve"> jääkaapissa (2–8 °C).</w:t>
      </w:r>
    </w:p>
    <w:p w14:paraId="70DF201A" w14:textId="77777777" w:rsidR="003B7027" w:rsidRPr="0028514E" w:rsidRDefault="003B7027" w:rsidP="006E5F9A">
      <w:pPr>
        <w:pStyle w:val="a4"/>
        <w:ind w:left="0"/>
      </w:pPr>
    </w:p>
    <w:p w14:paraId="3ADF6761" w14:textId="77777777" w:rsidR="003B7027" w:rsidRPr="0028514E" w:rsidRDefault="00296A74" w:rsidP="006E5F9A">
      <w:pPr>
        <w:pStyle w:val="a4"/>
        <w:ind w:left="0"/>
      </w:pPr>
      <w:r w:rsidRPr="0028514E">
        <w:lastRenderedPageBreak/>
        <w:t>Mikrobiologiselta kannalta valmis infuusioliuos tulisi käyttää välittömästi. Ellei liuosta käytetä heti, säilytysajat ja olosuhteet ennen käyttöä ovat käyttäjän vastuulla. Valmista liuosta ei tulisi yleensä säilyttää yli 24 tuntia 2–8 °C:ssa, ellei laimentaminen ole tapahtunut kontrolloiduissa ja validoiduissa aseptisissa olosuhteissa.</w:t>
      </w:r>
    </w:p>
    <w:p w14:paraId="278DB74D" w14:textId="77777777" w:rsidR="003B7027" w:rsidRPr="0028514E" w:rsidRDefault="003B7027" w:rsidP="006E5F9A">
      <w:pPr>
        <w:pStyle w:val="a4"/>
        <w:ind w:left="0"/>
      </w:pPr>
    </w:p>
    <w:p w14:paraId="02BDCE42" w14:textId="77777777" w:rsidR="003B7027" w:rsidRPr="0028514E" w:rsidRDefault="00296A74" w:rsidP="006E5F9A">
      <w:pPr>
        <w:pStyle w:val="2"/>
      </w:pPr>
      <w:r w:rsidRPr="0028514E">
        <w:t>6.4</w:t>
      </w:r>
      <w:r w:rsidRPr="0028514E">
        <w:tab/>
        <w:t>Säilytys</w:t>
      </w:r>
    </w:p>
    <w:p w14:paraId="469E5FD1" w14:textId="77777777" w:rsidR="00E456A9" w:rsidRPr="009A3CB5" w:rsidRDefault="00E456A9" w:rsidP="001C1F69">
      <w:pPr>
        <w:rPr>
          <w:lang w:val="fi-FI"/>
        </w:rPr>
      </w:pPr>
    </w:p>
    <w:p w14:paraId="44CEA45A" w14:textId="77777777" w:rsidR="00E456A9" w:rsidRPr="0028514E" w:rsidRDefault="00296A74" w:rsidP="006E5F9A">
      <w:pPr>
        <w:pStyle w:val="a4"/>
        <w:ind w:left="0"/>
      </w:pPr>
      <w:r w:rsidRPr="0028514E">
        <w:t>Säilytä injektiopullo(t) jääkaapissa (2 °C–8 °C). Ei saa jäätyä.</w:t>
      </w:r>
    </w:p>
    <w:p w14:paraId="4683EFDB" w14:textId="77777777" w:rsidR="00E456A9" w:rsidRPr="0028514E" w:rsidRDefault="00E456A9" w:rsidP="006E5F9A">
      <w:pPr>
        <w:pStyle w:val="a4"/>
        <w:ind w:left="0"/>
      </w:pPr>
    </w:p>
    <w:p w14:paraId="4E957242" w14:textId="77777777" w:rsidR="003B7027" w:rsidRPr="0028514E" w:rsidRDefault="00296A74" w:rsidP="006E5F9A">
      <w:pPr>
        <w:pStyle w:val="a4"/>
        <w:ind w:left="0"/>
      </w:pPr>
      <w:r w:rsidRPr="0028514E">
        <w:t>Pidä injektiopullot ulkopakkauksessa. Herkkä valolle.</w:t>
      </w:r>
    </w:p>
    <w:p w14:paraId="564D35AD" w14:textId="77777777" w:rsidR="00E456A9" w:rsidRPr="0028514E" w:rsidRDefault="00E456A9" w:rsidP="006E5F9A">
      <w:pPr>
        <w:pStyle w:val="a4"/>
        <w:ind w:left="0"/>
      </w:pPr>
    </w:p>
    <w:p w14:paraId="6B1116AC" w14:textId="77777777" w:rsidR="003B7027" w:rsidRPr="0028514E" w:rsidRDefault="00296A74" w:rsidP="006E5F9A">
      <w:pPr>
        <w:pStyle w:val="a4"/>
        <w:ind w:left="0"/>
      </w:pPr>
      <w:r w:rsidRPr="0028514E">
        <w:t>Laimennetun lääkevalmisteen säilytys, ks. kohta 6.3.</w:t>
      </w:r>
    </w:p>
    <w:p w14:paraId="099FA2BF" w14:textId="77777777" w:rsidR="003B7027" w:rsidRPr="0028514E" w:rsidRDefault="003B7027" w:rsidP="006E5F9A">
      <w:pPr>
        <w:pStyle w:val="a4"/>
        <w:ind w:left="0"/>
      </w:pPr>
    </w:p>
    <w:p w14:paraId="4C334058" w14:textId="77777777" w:rsidR="003B7027" w:rsidRPr="0028514E" w:rsidRDefault="00296A74" w:rsidP="006E5F9A">
      <w:pPr>
        <w:pStyle w:val="2"/>
      </w:pPr>
      <w:r w:rsidRPr="0028514E">
        <w:t>6.5</w:t>
      </w:r>
      <w:r w:rsidRPr="0028514E">
        <w:tab/>
        <w:t>Pakkaustyyppi ja pakkauskoko (pakkauskoot)</w:t>
      </w:r>
    </w:p>
    <w:p w14:paraId="65384A55" w14:textId="77777777" w:rsidR="00E456A9" w:rsidRPr="009A3CB5" w:rsidRDefault="00E456A9" w:rsidP="001C1F69">
      <w:pPr>
        <w:rPr>
          <w:lang w:val="fi-FI"/>
        </w:rPr>
      </w:pPr>
    </w:p>
    <w:p w14:paraId="3B887AF7" w14:textId="687C8E5A" w:rsidR="003B7027" w:rsidRPr="0028514E" w:rsidRDefault="009D6046" w:rsidP="006E5F9A">
      <w:pPr>
        <w:pStyle w:val="a4"/>
        <w:ind w:left="0"/>
      </w:pPr>
      <w:r>
        <w:t>Avtozma</w:t>
      </w:r>
      <w:r w:rsidRPr="0028514E">
        <w:t xml:space="preserve"> </w:t>
      </w:r>
      <w:r w:rsidR="00296A74" w:rsidRPr="0028514E">
        <w:t>on pakattu injektiopulloon (kirkas tyypin I lasi, butyylikumitulppa). Sisältää 4 ml, 10 ml tai 20 ml konsentraattia. Pakkauskoot: 1 ja 4 injektiopulloa.</w:t>
      </w:r>
    </w:p>
    <w:p w14:paraId="7DE238A2" w14:textId="77777777" w:rsidR="00E456A9" w:rsidRPr="0028514E" w:rsidRDefault="00E456A9" w:rsidP="006E5F9A">
      <w:pPr>
        <w:pStyle w:val="a4"/>
        <w:ind w:left="0"/>
      </w:pPr>
    </w:p>
    <w:p w14:paraId="6AA3960F" w14:textId="77777777" w:rsidR="003B7027" w:rsidRPr="0028514E" w:rsidRDefault="00296A74" w:rsidP="006E5F9A">
      <w:pPr>
        <w:pStyle w:val="a4"/>
        <w:ind w:left="0"/>
      </w:pPr>
      <w:r w:rsidRPr="0028514E">
        <w:t>Kaikkia pakkauskokoja ei välttämättä ole myynnissä.</w:t>
      </w:r>
    </w:p>
    <w:p w14:paraId="20C0BD5B" w14:textId="77777777" w:rsidR="003B7027" w:rsidRPr="0028514E" w:rsidRDefault="003B7027" w:rsidP="006E5F9A">
      <w:pPr>
        <w:pStyle w:val="a4"/>
        <w:ind w:left="0"/>
      </w:pPr>
    </w:p>
    <w:p w14:paraId="1D2D01DC" w14:textId="77777777" w:rsidR="003B7027" w:rsidRPr="0028514E" w:rsidRDefault="00296A74" w:rsidP="006E5F9A">
      <w:pPr>
        <w:pStyle w:val="2"/>
      </w:pPr>
      <w:r w:rsidRPr="0028514E">
        <w:t>6.6</w:t>
      </w:r>
      <w:r w:rsidRPr="0028514E">
        <w:tab/>
        <w:t>Erityiset varotoimet hävittämiselle ja muut käsittelyohjeet</w:t>
      </w:r>
    </w:p>
    <w:p w14:paraId="62AD186E" w14:textId="77777777" w:rsidR="00E456A9" w:rsidRPr="0028514E" w:rsidRDefault="00E456A9" w:rsidP="001C1F69"/>
    <w:p w14:paraId="258F270D" w14:textId="77777777" w:rsidR="003B7027" w:rsidRPr="0028514E" w:rsidRDefault="00296A74" w:rsidP="006E5F9A">
      <w:pPr>
        <w:pStyle w:val="a4"/>
        <w:ind w:left="0"/>
      </w:pPr>
      <w:r w:rsidRPr="0028514E">
        <w:rPr>
          <w:u w:val="single"/>
        </w:rPr>
        <w:t>Laimentamisohjeet (ennen annostelua)</w:t>
      </w:r>
    </w:p>
    <w:p w14:paraId="7FD9F78F" w14:textId="0D6E002B" w:rsidR="003B7027" w:rsidRPr="0028514E" w:rsidRDefault="00296A74" w:rsidP="006E5F9A">
      <w:pPr>
        <w:pStyle w:val="a4"/>
        <w:ind w:left="0"/>
      </w:pPr>
      <w:r w:rsidRPr="0028514E">
        <w:t xml:space="preserve">Parenteraalisesti annettavat lääkkeet on tarkastettava silmämääräisesti ennen annostelua hiukkasten ja värimuutosten havaitsemiseksi. Laimennettavan liuoksen on oltava kirkasta tai </w:t>
      </w:r>
      <w:r w:rsidR="009D6046">
        <w:t xml:space="preserve">hieman </w:t>
      </w:r>
      <w:r w:rsidRPr="0028514E">
        <w:t xml:space="preserve">opalisoivaa ja väritöntä tai vaaleankeltaista, eikä siinä saa olla näkyviä hiukkasia. Käytä steriiliä neulaa ja ruiskua </w:t>
      </w:r>
      <w:r w:rsidR="009D6046">
        <w:t>Avtozman</w:t>
      </w:r>
      <w:r w:rsidR="009D6046" w:rsidRPr="0028514E" w:rsidDel="009D6046">
        <w:t xml:space="preserve"> </w:t>
      </w:r>
      <w:r w:rsidRPr="0028514E">
        <w:t>käyttökuntoon saattamista varten.</w:t>
      </w:r>
      <w:r w:rsidR="009D6046">
        <w:t xml:space="preserve"> Polyvinyylikloridista (PVC) valmistettuja infuusiopusseja käytettäessä tulee käyttää infuusiopusseja, jotka eivät sisällä di</w:t>
      </w:r>
      <w:r w:rsidR="00A5225E">
        <w:rPr>
          <w:rFonts w:eastAsia="맑은 고딕" w:hint="eastAsia"/>
          <w:lang w:eastAsia="ko-KR"/>
        </w:rPr>
        <w:t xml:space="preserve"> </w:t>
      </w:r>
      <w:r w:rsidR="009D6046">
        <w:t>(2‑etyyliheksyyli)</w:t>
      </w:r>
      <w:r w:rsidR="00A5225E">
        <w:rPr>
          <w:rFonts w:eastAsia="맑은 고딕" w:hint="eastAsia"/>
          <w:lang w:eastAsia="ko-KR"/>
        </w:rPr>
        <w:t xml:space="preserve"> </w:t>
      </w:r>
      <w:r w:rsidR="009D6046">
        <w:t>ftalaattia (DEHP).</w:t>
      </w:r>
    </w:p>
    <w:p w14:paraId="67FB20FB" w14:textId="77777777" w:rsidR="003B7027" w:rsidRPr="0028514E" w:rsidRDefault="003B7027" w:rsidP="006E5F9A">
      <w:pPr>
        <w:pStyle w:val="a4"/>
        <w:ind w:left="0"/>
      </w:pPr>
    </w:p>
    <w:p w14:paraId="282D3D17" w14:textId="77777777" w:rsidR="003B7027" w:rsidRPr="0028514E" w:rsidRDefault="00296A74" w:rsidP="006E5F9A">
      <w:pPr>
        <w:pStyle w:val="a4"/>
        <w:ind w:left="0"/>
      </w:pPr>
      <w:r w:rsidRPr="0028514E">
        <w:rPr>
          <w:u w:val="single"/>
        </w:rPr>
        <w:t>Nivelreumapotilaat ja potilaat, joilla on sytokiinien vapautumisoireyhtymä (≥ 30 kg), sekä COVID-19-</w:t>
      </w:r>
      <w:r w:rsidRPr="0028514E">
        <w:t xml:space="preserve"> </w:t>
      </w:r>
      <w:r w:rsidRPr="0028514E">
        <w:rPr>
          <w:u w:val="single"/>
        </w:rPr>
        <w:t>potilaat</w:t>
      </w:r>
    </w:p>
    <w:p w14:paraId="6A8D5127" w14:textId="0C0BC8CC" w:rsidR="003B7027" w:rsidRPr="0028514E" w:rsidRDefault="00296A74" w:rsidP="006E5F9A">
      <w:pPr>
        <w:pStyle w:val="a4"/>
        <w:ind w:left="0"/>
      </w:pPr>
      <w:r w:rsidRPr="0028514E">
        <w:t>Vedä aseptisissa olosuhteissa ruiskuun steriiliä, pyrogeenitonta 0,9-prosenttista (9 mg/ml)</w:t>
      </w:r>
      <w:r w:rsidR="009D6046">
        <w:t xml:space="preserve"> tai 0,45‑prosenttista (4,5 mg/ml)</w:t>
      </w:r>
      <w:r w:rsidRPr="0028514E">
        <w:t xml:space="preserve"> natriumkloridiliuosta 100 ml:n infuusiopussista. Määrän tulee vastata potilaan annosta varten tarvittavaa tilavuutta </w:t>
      </w:r>
      <w:r w:rsidR="009D6046">
        <w:t>Avtozma</w:t>
      </w:r>
      <w:r w:rsidRPr="0028514E">
        <w:t xml:space="preserve">-konsentraattia. Tarvittava määrä </w:t>
      </w:r>
      <w:r w:rsidR="009D6046">
        <w:t>Avtozma</w:t>
      </w:r>
      <w:r w:rsidRPr="0028514E">
        <w:t>-konsentraattia</w:t>
      </w:r>
      <w:r w:rsidR="00E456A9" w:rsidRPr="0028514E">
        <w:t xml:space="preserve"> </w:t>
      </w:r>
      <w:r w:rsidRPr="0028514E">
        <w:t>(0,4 ml/kg) vedetään injektiopullosta ja siirretään 100 ml:n infuusiopussiin. Lopullisen tilavuuden pitää olla 100 ml. Sekoita kääntämällä pussia varovasti ylösalaisin, jotta vältetään vaahdon muodostuminen.</w:t>
      </w:r>
    </w:p>
    <w:p w14:paraId="4A6F2F0B" w14:textId="77777777" w:rsidR="003B7027" w:rsidRPr="0028514E" w:rsidRDefault="003B7027" w:rsidP="006E5F9A">
      <w:pPr>
        <w:pStyle w:val="a4"/>
        <w:ind w:left="0"/>
      </w:pPr>
    </w:p>
    <w:p w14:paraId="266C85B9" w14:textId="77777777" w:rsidR="003B7027" w:rsidRPr="0028514E" w:rsidRDefault="00296A74" w:rsidP="00A928DD">
      <w:pPr>
        <w:pStyle w:val="a4"/>
        <w:keepNext/>
        <w:ind w:left="0"/>
      </w:pPr>
      <w:r w:rsidRPr="0028514E">
        <w:rPr>
          <w:u w:val="single"/>
        </w:rPr>
        <w:t>Käyttö pediatrisille potilaille</w:t>
      </w:r>
    </w:p>
    <w:p w14:paraId="2C52E40C" w14:textId="77777777" w:rsidR="003B7027" w:rsidRPr="0028514E" w:rsidRDefault="003B7027" w:rsidP="00A928DD">
      <w:pPr>
        <w:pStyle w:val="a4"/>
        <w:keepNext/>
        <w:ind w:left="0"/>
      </w:pPr>
    </w:p>
    <w:p w14:paraId="03037209" w14:textId="77777777" w:rsidR="003B7027" w:rsidRPr="0028514E" w:rsidRDefault="00296A74" w:rsidP="006E5F9A">
      <w:pPr>
        <w:pStyle w:val="a4"/>
        <w:keepNext/>
        <w:ind w:left="0"/>
      </w:pPr>
      <w:r w:rsidRPr="0028514E">
        <w:rPr>
          <w:u w:val="single"/>
        </w:rPr>
        <w:t>Yleisoireista lastenreumaa sairastavat ja polyartriittipotilaat sekä potilaat, joilla on sytokiinien</w:t>
      </w:r>
      <w:r w:rsidR="005F554F">
        <w:rPr>
          <w:u w:val="single"/>
        </w:rPr>
        <w:t xml:space="preserve"> </w:t>
      </w:r>
      <w:r w:rsidRPr="0028514E">
        <w:rPr>
          <w:u w:val="single"/>
        </w:rPr>
        <w:t>vapautumisoireyhtymä (≥ 30 kg)</w:t>
      </w:r>
    </w:p>
    <w:p w14:paraId="363A764C" w14:textId="4779F439" w:rsidR="003B7027" w:rsidRPr="0028514E" w:rsidRDefault="00296A74" w:rsidP="006E5F9A">
      <w:pPr>
        <w:pStyle w:val="a4"/>
        <w:ind w:left="0"/>
      </w:pPr>
      <w:r w:rsidRPr="0028514E">
        <w:t>Vedä aseptisissa olosuhteissa ruiskuun steriiliä, pyrogeenitonta 0,9-prosenttista (9 mg/ml)</w:t>
      </w:r>
      <w:r w:rsidR="009D6046">
        <w:t xml:space="preserve"> tai 0,45‑prosenttista (4,5 mg/ml)</w:t>
      </w:r>
      <w:r w:rsidRPr="0028514E">
        <w:t xml:space="preserve"> natriumkloridiliuosta 100 ml:n infuusiopussista. Määrän tulee vastata potilaan annosta varten tarvittavaa tilavuutta </w:t>
      </w:r>
      <w:r w:rsidR="009D6046">
        <w:t>Avtozma</w:t>
      </w:r>
      <w:r w:rsidRPr="0028514E">
        <w:t xml:space="preserve">-konsentraattia. Tarvittava määrä </w:t>
      </w:r>
      <w:r w:rsidR="009D6046">
        <w:t>Avtozma</w:t>
      </w:r>
      <w:r w:rsidRPr="0028514E">
        <w:t>-konsentraattia</w:t>
      </w:r>
      <w:r w:rsidR="00E456A9" w:rsidRPr="0028514E">
        <w:t xml:space="preserve"> </w:t>
      </w:r>
      <w:r w:rsidRPr="0028514E">
        <w:t>(</w:t>
      </w:r>
      <w:r w:rsidRPr="0028514E">
        <w:rPr>
          <w:b/>
        </w:rPr>
        <w:t>0,4 ml/kg</w:t>
      </w:r>
      <w:r w:rsidRPr="0028514E">
        <w:t>) vedetään injektiopullosta ja siirretään 100 ml:n infuusiopussiin. Lopullisen tilavuuden pitää olla 100 ml. Sekoita kääntämällä pussia varovasti ylösalaisin, jotta vältetään vaahdon muodostuminen.</w:t>
      </w:r>
    </w:p>
    <w:p w14:paraId="7BD90FD5" w14:textId="77777777" w:rsidR="00E456A9" w:rsidRPr="0028514E" w:rsidRDefault="00E456A9" w:rsidP="006E5F9A">
      <w:pPr>
        <w:pStyle w:val="a4"/>
        <w:ind w:left="0"/>
      </w:pPr>
    </w:p>
    <w:p w14:paraId="5141677F" w14:textId="77777777" w:rsidR="003B7027" w:rsidRPr="0028514E" w:rsidRDefault="00296A74" w:rsidP="006E5F9A">
      <w:pPr>
        <w:pStyle w:val="a4"/>
        <w:ind w:left="0"/>
      </w:pPr>
      <w:r w:rsidRPr="0028514E">
        <w:rPr>
          <w:u w:val="single"/>
        </w:rPr>
        <w:t>Yleisoireista lastenreumaa sairastavat potilaat sekä potilaat, joilla on sytokiinien</w:t>
      </w:r>
      <w:r w:rsidRPr="0028514E">
        <w:t xml:space="preserve"> </w:t>
      </w:r>
      <w:r w:rsidRPr="0028514E">
        <w:rPr>
          <w:u w:val="single"/>
        </w:rPr>
        <w:t>vapautumisoireyhtymä (&lt; 30 kg)</w:t>
      </w:r>
    </w:p>
    <w:p w14:paraId="552C5C8F" w14:textId="52281A17" w:rsidR="003B7027" w:rsidRPr="0028514E" w:rsidRDefault="00296A74" w:rsidP="006E5F9A">
      <w:pPr>
        <w:pStyle w:val="a4"/>
        <w:ind w:left="0"/>
      </w:pPr>
      <w:r w:rsidRPr="0028514E">
        <w:t>Vedä aseptisissa olosuhteissa ruiskuun steriiliä, pyrogeenitonta 0,9-prosenttista (9 mg/ml)</w:t>
      </w:r>
      <w:r w:rsidR="009D6046">
        <w:t xml:space="preserve"> tai 0,45‑prosenttista (4,5 mg/ml)</w:t>
      </w:r>
      <w:r w:rsidRPr="0028514E">
        <w:t xml:space="preserve"> natriumkloridiliuosta 50 ml:n infuusiopussista. Määrän tulee vastata potilaan annosta varten tarvittavaa tilavuutta </w:t>
      </w:r>
      <w:r w:rsidR="009D6046">
        <w:t>Avtozma</w:t>
      </w:r>
      <w:r w:rsidRPr="0028514E">
        <w:t xml:space="preserve">-konsentraattia. Tarvittava määrä </w:t>
      </w:r>
      <w:r w:rsidR="009D6046">
        <w:t>Avtozma</w:t>
      </w:r>
      <w:r w:rsidRPr="0028514E">
        <w:t>-konsentraattia</w:t>
      </w:r>
      <w:r w:rsidR="00E456A9" w:rsidRPr="0028514E">
        <w:t xml:space="preserve"> </w:t>
      </w:r>
      <w:r w:rsidRPr="0028514E">
        <w:t>(</w:t>
      </w:r>
      <w:r w:rsidRPr="0028514E">
        <w:rPr>
          <w:b/>
        </w:rPr>
        <w:t>0,6 ml/kg</w:t>
      </w:r>
      <w:r w:rsidRPr="0028514E">
        <w:t xml:space="preserve">) vedetään injektiopullosta ja siirretään 50 ml:n infuusiopussiin. Lopullisen </w:t>
      </w:r>
      <w:r w:rsidRPr="0028514E">
        <w:lastRenderedPageBreak/>
        <w:t>tilavuuden pitää olla 50 ml. Sekoita kääntämällä pussia varovasti ylösalaisin, jotta vältetään vaahdon muodostuminen.</w:t>
      </w:r>
    </w:p>
    <w:p w14:paraId="21E7C998" w14:textId="77777777" w:rsidR="00E456A9" w:rsidRPr="0028514E" w:rsidRDefault="00E456A9" w:rsidP="006E5F9A">
      <w:pPr>
        <w:pStyle w:val="a4"/>
        <w:ind w:left="0"/>
      </w:pPr>
    </w:p>
    <w:p w14:paraId="542D986B" w14:textId="77777777" w:rsidR="003B7027" w:rsidRPr="0028514E" w:rsidRDefault="00296A74" w:rsidP="006E5F9A">
      <w:pPr>
        <w:pStyle w:val="a4"/>
        <w:ind w:left="0"/>
      </w:pPr>
      <w:r w:rsidRPr="0028514E">
        <w:rPr>
          <w:u w:val="single"/>
        </w:rPr>
        <w:t>Polyartriittipotilaat (&lt; 30 kg)</w:t>
      </w:r>
    </w:p>
    <w:p w14:paraId="743D36A8" w14:textId="7BBB7187" w:rsidR="003B7027" w:rsidRPr="0028514E" w:rsidRDefault="00296A74" w:rsidP="006E5F9A">
      <w:pPr>
        <w:pStyle w:val="a4"/>
        <w:ind w:left="0"/>
      </w:pPr>
      <w:r w:rsidRPr="0028514E">
        <w:t xml:space="preserve">Vedä aseptisissa olosuhteissa ruiskuun steriiliä, pyrogeenitonta 0,9-prosenttista (9 mg/ml) </w:t>
      </w:r>
      <w:r w:rsidR="006C36EF">
        <w:t xml:space="preserve">tai 0,45‑prosenttista (4,5 mg/ml) </w:t>
      </w:r>
      <w:r w:rsidRPr="0028514E">
        <w:t xml:space="preserve">natriumkloridiliuosta 50 ml:n infuusiopussista. Määrän tulee vastata potilaan annosta varten tarvittavaa tilavuutta </w:t>
      </w:r>
      <w:r w:rsidR="009D6046">
        <w:t>Avtozma</w:t>
      </w:r>
      <w:r w:rsidRPr="0028514E">
        <w:t xml:space="preserve">-konsentraattia. Tarvittava määrä </w:t>
      </w:r>
      <w:r w:rsidR="009D6046">
        <w:t>Avtozma</w:t>
      </w:r>
      <w:r w:rsidRPr="0028514E">
        <w:t>-konsentraattia</w:t>
      </w:r>
      <w:r w:rsidR="00E456A9" w:rsidRPr="0028514E">
        <w:t xml:space="preserve"> </w:t>
      </w:r>
      <w:r w:rsidRPr="0028514E">
        <w:t>(</w:t>
      </w:r>
      <w:r w:rsidRPr="0028514E">
        <w:rPr>
          <w:b/>
        </w:rPr>
        <w:t>0,5 ml/kg</w:t>
      </w:r>
      <w:r w:rsidRPr="0028514E">
        <w:t>) vedetään injektiopullosta ja siirretään 50 ml:n infuusiopussiin. Lopullisen tilavuuden pitää olla 50 ml. Sekoita kääntämällä pussia varovasti ylösalaisin, jotta vältetään vaahdon muodostuminen.</w:t>
      </w:r>
    </w:p>
    <w:p w14:paraId="6B66B98C" w14:textId="77777777" w:rsidR="003B7027" w:rsidRPr="0028514E" w:rsidRDefault="003B7027" w:rsidP="006E5F9A">
      <w:pPr>
        <w:pStyle w:val="a4"/>
        <w:ind w:left="0"/>
      </w:pPr>
    </w:p>
    <w:p w14:paraId="5EE92D10" w14:textId="45D27021" w:rsidR="003B7027" w:rsidRPr="0028514E" w:rsidRDefault="009D6046" w:rsidP="006E5F9A">
      <w:pPr>
        <w:pStyle w:val="a4"/>
        <w:ind w:left="0"/>
      </w:pPr>
      <w:r>
        <w:t xml:space="preserve">Avtozma </w:t>
      </w:r>
      <w:r w:rsidR="00296A74" w:rsidRPr="0028514E">
        <w:t>on tarkoitettu vain kertakäyttöön.</w:t>
      </w:r>
    </w:p>
    <w:p w14:paraId="3272ACBC" w14:textId="77777777" w:rsidR="003B7027" w:rsidRPr="0028514E" w:rsidRDefault="00296A74" w:rsidP="006E5F9A">
      <w:pPr>
        <w:pStyle w:val="a4"/>
        <w:ind w:left="0"/>
      </w:pPr>
      <w:r w:rsidRPr="0028514E">
        <w:t>Käyttämätön lääkevalmiste tai jäte on hävitettävä paikallisten vaatimusten mukaisesti.</w:t>
      </w:r>
    </w:p>
    <w:p w14:paraId="74596DAD" w14:textId="77777777" w:rsidR="003B7027" w:rsidRPr="0028514E" w:rsidRDefault="003B7027" w:rsidP="006E5F9A">
      <w:pPr>
        <w:pStyle w:val="a4"/>
        <w:ind w:left="0"/>
      </w:pPr>
    </w:p>
    <w:p w14:paraId="25D18DB2" w14:textId="77777777" w:rsidR="003B7027" w:rsidRPr="0028514E" w:rsidRDefault="003B7027" w:rsidP="006E5F9A">
      <w:pPr>
        <w:pStyle w:val="a4"/>
        <w:ind w:left="0"/>
      </w:pPr>
    </w:p>
    <w:p w14:paraId="7335A546" w14:textId="77777777" w:rsidR="003B7027" w:rsidRPr="00E919A5" w:rsidRDefault="00296A74" w:rsidP="00BF3213">
      <w:pPr>
        <w:pStyle w:val="1"/>
      </w:pPr>
      <w:r w:rsidRPr="00E919A5">
        <w:t>7.</w:t>
      </w:r>
      <w:r w:rsidRPr="00E919A5">
        <w:tab/>
        <w:t>MYYNTILUVAN HALTIJA</w:t>
      </w:r>
    </w:p>
    <w:p w14:paraId="6C1276CC" w14:textId="77777777" w:rsidR="00E456A9" w:rsidRPr="00E919A5" w:rsidRDefault="00E456A9" w:rsidP="001C1F69"/>
    <w:p w14:paraId="1AC6F126" w14:textId="77777777" w:rsidR="009D6046" w:rsidRPr="00E919A5" w:rsidRDefault="009D6046" w:rsidP="009D6046">
      <w:pPr>
        <w:keepNext/>
        <w:rPr>
          <w:lang w:val="fi-FI"/>
        </w:rPr>
      </w:pPr>
      <w:r w:rsidRPr="00E919A5">
        <w:rPr>
          <w:lang w:val="fi-FI"/>
        </w:rPr>
        <w:t xml:space="preserve">Celltrion Healthcare Hungary Kft. </w:t>
      </w:r>
    </w:p>
    <w:p w14:paraId="5D1DF13B" w14:textId="77777777" w:rsidR="009D6046" w:rsidRPr="00E919A5" w:rsidRDefault="009D6046" w:rsidP="009D6046">
      <w:pPr>
        <w:keepNext/>
        <w:rPr>
          <w:lang w:val="fi-FI"/>
        </w:rPr>
      </w:pPr>
      <w:r w:rsidRPr="00E919A5">
        <w:rPr>
          <w:lang w:val="fi-FI"/>
        </w:rPr>
        <w:t>1062 Budapest</w:t>
      </w:r>
    </w:p>
    <w:p w14:paraId="60BC47A3" w14:textId="77777777" w:rsidR="009D6046" w:rsidRPr="001879E9" w:rsidRDefault="009D6046" w:rsidP="009D6046">
      <w:pPr>
        <w:keepNext/>
      </w:pPr>
      <w:r w:rsidRPr="001879E9">
        <w:t xml:space="preserve">Váci </w:t>
      </w:r>
      <w:proofErr w:type="spellStart"/>
      <w:r w:rsidRPr="001879E9">
        <w:t>út</w:t>
      </w:r>
      <w:proofErr w:type="spellEnd"/>
      <w:r w:rsidRPr="001879E9">
        <w:t xml:space="preserve"> 1-3. </w:t>
      </w:r>
      <w:proofErr w:type="spellStart"/>
      <w:r w:rsidRPr="001879E9">
        <w:t>WestEnd</w:t>
      </w:r>
      <w:proofErr w:type="spellEnd"/>
      <w:r w:rsidRPr="001879E9">
        <w:t xml:space="preserve"> Office Building B </w:t>
      </w:r>
      <w:proofErr w:type="spellStart"/>
      <w:r w:rsidRPr="001879E9">
        <w:t>torony</w:t>
      </w:r>
      <w:proofErr w:type="spellEnd"/>
    </w:p>
    <w:p w14:paraId="5BE5EC37" w14:textId="631D4B17" w:rsidR="003B7027" w:rsidRPr="0028514E" w:rsidRDefault="009D6046" w:rsidP="006E5F9A">
      <w:pPr>
        <w:pStyle w:val="a4"/>
        <w:ind w:left="0"/>
      </w:pPr>
      <w:r>
        <w:t>Unkari</w:t>
      </w:r>
    </w:p>
    <w:p w14:paraId="1EA3E5BB" w14:textId="77777777" w:rsidR="003B7027" w:rsidRPr="0028514E" w:rsidRDefault="003B7027" w:rsidP="006E5F9A">
      <w:pPr>
        <w:pStyle w:val="a4"/>
        <w:ind w:left="0"/>
      </w:pPr>
    </w:p>
    <w:p w14:paraId="10B0F20E" w14:textId="77777777" w:rsidR="003B7027" w:rsidRPr="0028514E" w:rsidRDefault="003B7027" w:rsidP="006E5F9A">
      <w:pPr>
        <w:pStyle w:val="a4"/>
        <w:ind w:left="0"/>
      </w:pPr>
    </w:p>
    <w:p w14:paraId="6F42C29F" w14:textId="77777777" w:rsidR="003B7027" w:rsidRPr="0028514E" w:rsidRDefault="00296A74" w:rsidP="00BF3213">
      <w:pPr>
        <w:pStyle w:val="1"/>
      </w:pPr>
      <w:r w:rsidRPr="0028514E">
        <w:t>8.</w:t>
      </w:r>
      <w:r w:rsidRPr="0028514E">
        <w:tab/>
        <w:t>MYYNTILUVAN NUMERO(T)</w:t>
      </w:r>
    </w:p>
    <w:p w14:paraId="6F314F29" w14:textId="77777777" w:rsidR="00E456A9" w:rsidRPr="0028514E" w:rsidRDefault="00E456A9" w:rsidP="001C1F69"/>
    <w:p w14:paraId="51B6CC68" w14:textId="4D7C3C4A" w:rsidR="00E456A9" w:rsidRPr="0028514E" w:rsidRDefault="00296A74" w:rsidP="003C43CF">
      <w:pPr>
        <w:pStyle w:val="a4"/>
        <w:ind w:left="0"/>
      </w:pPr>
      <w:r w:rsidRPr="0028514E">
        <w:t>EU/</w:t>
      </w:r>
      <w:r w:rsidR="00767B6B" w:rsidRPr="009D7042">
        <w:rPr>
          <w:spacing w:val="-1"/>
        </w:rPr>
        <w:t>1/24/1896/001</w:t>
      </w:r>
    </w:p>
    <w:p w14:paraId="6CCC9D00" w14:textId="3221C68A" w:rsidR="00E456A9" w:rsidRPr="00CA43F5" w:rsidRDefault="00296A74" w:rsidP="003C43CF">
      <w:pPr>
        <w:pStyle w:val="a4"/>
        <w:ind w:left="0"/>
        <w:rPr>
          <w:lang w:val="sv-SE"/>
        </w:rPr>
      </w:pPr>
      <w:r w:rsidRPr="00CA43F5">
        <w:rPr>
          <w:lang w:val="sv-SE"/>
        </w:rPr>
        <w:t>EU/</w:t>
      </w:r>
      <w:r w:rsidR="00767B6B" w:rsidRPr="00E919A5">
        <w:rPr>
          <w:spacing w:val="-1"/>
          <w:lang w:val="sv-SE"/>
        </w:rPr>
        <w:t>1/24/1896/002</w:t>
      </w:r>
    </w:p>
    <w:p w14:paraId="00B0066F" w14:textId="54CA65F0" w:rsidR="00E456A9" w:rsidRPr="00CA43F5" w:rsidRDefault="00296A74" w:rsidP="003C43CF">
      <w:pPr>
        <w:pStyle w:val="a4"/>
        <w:ind w:left="0"/>
        <w:rPr>
          <w:lang w:val="sv-SE"/>
        </w:rPr>
      </w:pPr>
      <w:r w:rsidRPr="00CA43F5">
        <w:rPr>
          <w:lang w:val="sv-SE"/>
        </w:rPr>
        <w:t>EU/</w:t>
      </w:r>
      <w:r w:rsidR="00767B6B" w:rsidRPr="00E919A5">
        <w:rPr>
          <w:spacing w:val="-1"/>
          <w:lang w:val="sv-SE"/>
        </w:rPr>
        <w:t>1/24/1896/003</w:t>
      </w:r>
    </w:p>
    <w:p w14:paraId="7BF3867E" w14:textId="73B57ECD" w:rsidR="00E456A9" w:rsidRPr="00CA43F5" w:rsidRDefault="00296A74" w:rsidP="003C43CF">
      <w:pPr>
        <w:pStyle w:val="a4"/>
        <w:ind w:left="0"/>
        <w:rPr>
          <w:lang w:val="sv-SE"/>
        </w:rPr>
      </w:pPr>
      <w:r w:rsidRPr="00CA43F5">
        <w:rPr>
          <w:lang w:val="sv-SE"/>
        </w:rPr>
        <w:t>EU/</w:t>
      </w:r>
      <w:r w:rsidR="00767B6B" w:rsidRPr="00E919A5">
        <w:rPr>
          <w:spacing w:val="-1"/>
          <w:lang w:val="sv-SE"/>
        </w:rPr>
        <w:t>1/24/1896/004</w:t>
      </w:r>
    </w:p>
    <w:p w14:paraId="487B9C7D" w14:textId="14CE7DC7" w:rsidR="00E456A9" w:rsidRPr="00CA43F5" w:rsidRDefault="00296A74" w:rsidP="003C43CF">
      <w:pPr>
        <w:pStyle w:val="a4"/>
        <w:ind w:left="0"/>
        <w:rPr>
          <w:lang w:val="sv-SE"/>
        </w:rPr>
      </w:pPr>
      <w:r w:rsidRPr="00CA43F5">
        <w:rPr>
          <w:lang w:val="sv-SE"/>
        </w:rPr>
        <w:t>EU/</w:t>
      </w:r>
      <w:r w:rsidR="00767B6B" w:rsidRPr="00E919A5">
        <w:rPr>
          <w:spacing w:val="-1"/>
          <w:lang w:val="sv-SE"/>
        </w:rPr>
        <w:t>1/24/1896/005</w:t>
      </w:r>
    </w:p>
    <w:p w14:paraId="3753E9FD" w14:textId="49C38CB6" w:rsidR="003B7027" w:rsidRPr="00CA43F5" w:rsidRDefault="00296A74" w:rsidP="006E5F9A">
      <w:pPr>
        <w:pStyle w:val="a4"/>
        <w:ind w:left="0"/>
        <w:rPr>
          <w:lang w:val="sv-SE"/>
        </w:rPr>
      </w:pPr>
      <w:r w:rsidRPr="00CA43F5">
        <w:rPr>
          <w:lang w:val="sv-SE"/>
        </w:rPr>
        <w:t>EU/</w:t>
      </w:r>
      <w:r w:rsidR="00767B6B" w:rsidRPr="00E919A5">
        <w:rPr>
          <w:spacing w:val="-1"/>
          <w:lang w:val="sv-SE"/>
        </w:rPr>
        <w:t>1/24/1896/006</w:t>
      </w:r>
    </w:p>
    <w:p w14:paraId="29446082" w14:textId="77777777" w:rsidR="003B7027" w:rsidRDefault="003B7027" w:rsidP="006E5F9A">
      <w:pPr>
        <w:pStyle w:val="a4"/>
        <w:ind w:left="0"/>
        <w:rPr>
          <w:lang w:val="sv-SE"/>
        </w:rPr>
      </w:pPr>
    </w:p>
    <w:p w14:paraId="5A42D693" w14:textId="77777777" w:rsidR="004F46B0" w:rsidRPr="00CA43F5" w:rsidRDefault="004F46B0" w:rsidP="006E5F9A">
      <w:pPr>
        <w:pStyle w:val="a4"/>
        <w:ind w:left="0"/>
        <w:rPr>
          <w:lang w:val="sv-SE"/>
        </w:rPr>
      </w:pPr>
    </w:p>
    <w:p w14:paraId="3F372DA6" w14:textId="77777777" w:rsidR="003B7027" w:rsidRPr="0028514E" w:rsidRDefault="00296A74" w:rsidP="00BF3213">
      <w:pPr>
        <w:pStyle w:val="1"/>
      </w:pPr>
      <w:r w:rsidRPr="0028514E">
        <w:t>9.</w:t>
      </w:r>
      <w:r w:rsidRPr="0028514E">
        <w:tab/>
        <w:t>MYYNTILUVAN MYÖNTÄMISPÄIVÄMÄÄRÄ/UUDISTAMISPÄIVÄMÄÄRÄ</w:t>
      </w:r>
    </w:p>
    <w:p w14:paraId="42DF0BA7" w14:textId="77777777" w:rsidR="00E456A9" w:rsidRPr="009A3CB5" w:rsidRDefault="00E456A9" w:rsidP="001C1F69">
      <w:pPr>
        <w:rPr>
          <w:lang w:val="sv-SE"/>
        </w:rPr>
      </w:pPr>
    </w:p>
    <w:p w14:paraId="01CED10D" w14:textId="7A4AEA9C" w:rsidR="003B7027" w:rsidRPr="0028514E" w:rsidRDefault="00296A74" w:rsidP="006E5F9A">
      <w:pPr>
        <w:pStyle w:val="a4"/>
        <w:ind w:left="0"/>
      </w:pPr>
      <w:r w:rsidRPr="0028514E">
        <w:t xml:space="preserve">Myyntiluvan myöntämisen päivämäärä: </w:t>
      </w:r>
      <w:r w:rsidR="00C2525B">
        <w:rPr>
          <w:rFonts w:eastAsia="맑은 고딕" w:hint="eastAsia"/>
          <w:lang w:eastAsia="ko-KR"/>
        </w:rPr>
        <w:t xml:space="preserve">14 </w:t>
      </w:r>
      <w:r w:rsidR="000E459A" w:rsidRPr="004C41FF">
        <w:t>helmikuu</w:t>
      </w:r>
      <w:r w:rsidR="000E459A">
        <w:rPr>
          <w:rFonts w:eastAsia="맑은 고딕" w:hint="eastAsia"/>
          <w:lang w:eastAsia="ko-KR"/>
        </w:rPr>
        <w:t xml:space="preserve"> 2025</w:t>
      </w:r>
    </w:p>
    <w:p w14:paraId="252D2F0D" w14:textId="77777777" w:rsidR="003B7027" w:rsidRPr="0028514E" w:rsidRDefault="003B7027" w:rsidP="006E5F9A">
      <w:pPr>
        <w:pStyle w:val="a4"/>
        <w:ind w:left="0"/>
      </w:pPr>
    </w:p>
    <w:p w14:paraId="5172C915" w14:textId="77777777" w:rsidR="003B7027" w:rsidRPr="0028514E" w:rsidRDefault="003B7027" w:rsidP="006E5F9A">
      <w:pPr>
        <w:pStyle w:val="a4"/>
        <w:ind w:left="0"/>
      </w:pPr>
    </w:p>
    <w:p w14:paraId="3B990FC8" w14:textId="77777777" w:rsidR="003B7027" w:rsidRPr="0028514E" w:rsidRDefault="00296A74" w:rsidP="00A71F3E">
      <w:pPr>
        <w:pStyle w:val="1"/>
        <w:keepNext/>
      </w:pPr>
      <w:r w:rsidRPr="0028514E">
        <w:t>10.</w:t>
      </w:r>
      <w:r w:rsidRPr="0028514E">
        <w:tab/>
        <w:t>TEKSTIN MUUTTAMISPÄIVÄMÄÄRÄ</w:t>
      </w:r>
    </w:p>
    <w:p w14:paraId="79FF4DBC" w14:textId="77777777" w:rsidR="00E456A9" w:rsidRPr="0028514E" w:rsidRDefault="00E456A9" w:rsidP="001C1F69"/>
    <w:p w14:paraId="52561C95" w14:textId="710146F0" w:rsidR="003B7027" w:rsidRDefault="00296A74" w:rsidP="006E5F9A">
      <w:pPr>
        <w:pStyle w:val="a4"/>
        <w:ind w:left="0"/>
      </w:pPr>
      <w:r w:rsidRPr="0028514E">
        <w:t xml:space="preserve">Lisätietoa tästä lääkevalmisteesta on Euroopan lääkeviraston verkkosivulla </w:t>
      </w:r>
      <w:r w:rsidR="00084035">
        <w:fldChar w:fldCharType="begin"/>
      </w:r>
      <w:r w:rsidR="00084035">
        <w:instrText>HYPERLINK "https://www.ema.europa.eu."</w:instrText>
      </w:r>
      <w:r w:rsidR="00084035">
        <w:fldChar w:fldCharType="separate"/>
      </w:r>
      <w:r w:rsidR="00084035" w:rsidRPr="004A4AD4">
        <w:rPr>
          <w:rStyle w:val="ad"/>
        </w:rPr>
        <w:t>http</w:t>
      </w:r>
      <w:r w:rsidR="00084035" w:rsidRPr="004A4AD4">
        <w:rPr>
          <w:rStyle w:val="ad"/>
          <w:rFonts w:eastAsia="맑은 고딕" w:hint="eastAsia"/>
          <w:lang w:eastAsia="ko-KR"/>
        </w:rPr>
        <w:t>s</w:t>
      </w:r>
      <w:r w:rsidR="00084035" w:rsidRPr="004A4AD4">
        <w:rPr>
          <w:rStyle w:val="ad"/>
        </w:rPr>
        <w:t>://www.ema.europa.eu.</w:t>
      </w:r>
      <w:r w:rsidR="00084035">
        <w:fldChar w:fldCharType="end"/>
      </w:r>
    </w:p>
    <w:p w14:paraId="2730FDD1" w14:textId="77777777" w:rsidR="000B7A07" w:rsidRDefault="000B7A07" w:rsidP="006E5F9A">
      <w:pPr>
        <w:pStyle w:val="a4"/>
        <w:ind w:left="0"/>
      </w:pPr>
    </w:p>
    <w:p w14:paraId="40B63D57" w14:textId="594A2DA1" w:rsidR="00145299" w:rsidRPr="00AF361E" w:rsidRDefault="000B7A07" w:rsidP="00145299">
      <w:pPr>
        <w:tabs>
          <w:tab w:val="left" w:pos="284"/>
        </w:tabs>
        <w:rPr>
          <w:lang w:val="fi-FI"/>
        </w:rPr>
      </w:pPr>
      <w:r w:rsidRPr="00CA43F5">
        <w:rPr>
          <w:lang w:val="fi-FI"/>
        </w:rPr>
        <w:br w:type="page"/>
      </w:r>
      <w:r w:rsidR="0086716C">
        <w:rPr>
          <w:noProof/>
          <w:lang w:val="en-US" w:eastAsia="ko-KR"/>
        </w:rPr>
        <w:lastRenderedPageBreak/>
        <w:drawing>
          <wp:inline distT="0" distB="0" distL="0" distR="0" wp14:anchorId="48F6D781" wp14:editId="5ABA4A00">
            <wp:extent cx="223520" cy="138430"/>
            <wp:effectExtent l="0" t="0" r="0" b="0"/>
            <wp:docPr id="2" name="그림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 cy="138430"/>
                    </a:xfrm>
                    <a:prstGeom prst="rect">
                      <a:avLst/>
                    </a:prstGeom>
                    <a:noFill/>
                    <a:ln>
                      <a:noFill/>
                    </a:ln>
                  </pic:spPr>
                </pic:pic>
              </a:graphicData>
            </a:graphic>
          </wp:inline>
        </w:drawing>
      </w:r>
      <w:r w:rsidR="00145299" w:rsidRPr="00AF361E">
        <w:rPr>
          <w:lang w:val="fi-FI"/>
        </w:rPr>
        <w:t>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w:t>
      </w:r>
    </w:p>
    <w:p w14:paraId="4FFFB5B5" w14:textId="2A5C0567" w:rsidR="00145299" w:rsidRDefault="00145299" w:rsidP="000B7A07">
      <w:pPr>
        <w:pStyle w:val="a4"/>
        <w:ind w:left="0"/>
      </w:pPr>
    </w:p>
    <w:p w14:paraId="27EE3A08" w14:textId="77777777" w:rsidR="00145299" w:rsidRDefault="00145299" w:rsidP="000B7A07">
      <w:pPr>
        <w:pStyle w:val="a4"/>
        <w:ind w:left="0"/>
      </w:pPr>
    </w:p>
    <w:p w14:paraId="5CFB4F49" w14:textId="027EA800" w:rsidR="003B7027" w:rsidRPr="000B7A07" w:rsidRDefault="00296A74" w:rsidP="000B7A07">
      <w:pPr>
        <w:pStyle w:val="a4"/>
        <w:ind w:left="0"/>
        <w:rPr>
          <w:b/>
          <w:bCs/>
        </w:rPr>
      </w:pPr>
      <w:r w:rsidRPr="000B7A07">
        <w:rPr>
          <w:b/>
          <w:bCs/>
        </w:rPr>
        <w:t>1.</w:t>
      </w:r>
      <w:r w:rsidRPr="000B7A07">
        <w:rPr>
          <w:b/>
          <w:bCs/>
        </w:rPr>
        <w:tab/>
        <w:t>LÄÄKEVALMISTEEN NIMI</w:t>
      </w:r>
    </w:p>
    <w:p w14:paraId="301D92A4" w14:textId="77777777" w:rsidR="00E456A9" w:rsidRPr="0028514E" w:rsidRDefault="00E456A9" w:rsidP="001C1F69"/>
    <w:p w14:paraId="798F5F5D" w14:textId="6D191186" w:rsidR="003B7027" w:rsidRPr="0028514E" w:rsidRDefault="00145299" w:rsidP="006E5F9A">
      <w:pPr>
        <w:pStyle w:val="a4"/>
        <w:ind w:left="0"/>
      </w:pPr>
      <w:r>
        <w:t>Avtozma</w:t>
      </w:r>
      <w:r w:rsidRPr="0028514E">
        <w:t xml:space="preserve"> </w:t>
      </w:r>
      <w:r w:rsidR="00296A74" w:rsidRPr="0028514E">
        <w:t>162 mg, injektioneste, liuos esitäytet</w:t>
      </w:r>
      <w:r w:rsidR="00477839">
        <w:t>ty</w:t>
      </w:r>
      <w:r w:rsidR="00296A74" w:rsidRPr="0028514E">
        <w:t xml:space="preserve"> ruisku</w:t>
      </w:r>
    </w:p>
    <w:p w14:paraId="0C4A5F0F" w14:textId="77777777" w:rsidR="003B7027" w:rsidRPr="0028514E" w:rsidRDefault="003B7027" w:rsidP="006E5F9A">
      <w:pPr>
        <w:pStyle w:val="a4"/>
        <w:ind w:left="0"/>
      </w:pPr>
    </w:p>
    <w:p w14:paraId="1C2D880F" w14:textId="77777777" w:rsidR="003B7027" w:rsidRPr="0028514E" w:rsidRDefault="003B7027" w:rsidP="006E5F9A">
      <w:pPr>
        <w:pStyle w:val="a4"/>
        <w:ind w:left="0"/>
      </w:pPr>
    </w:p>
    <w:p w14:paraId="19C9777A" w14:textId="77777777" w:rsidR="003B7027" w:rsidRPr="0028514E" w:rsidRDefault="00296A74" w:rsidP="00BF3213">
      <w:pPr>
        <w:pStyle w:val="1"/>
      </w:pPr>
      <w:r w:rsidRPr="0028514E">
        <w:t>2.</w:t>
      </w:r>
      <w:r w:rsidRPr="0028514E">
        <w:tab/>
        <w:t>VAIKUTTAVAT AINEET JA NIIDEN MÄÄRÄT</w:t>
      </w:r>
    </w:p>
    <w:p w14:paraId="60F9367F" w14:textId="77777777" w:rsidR="00E456A9" w:rsidRPr="009A3CB5" w:rsidRDefault="00E456A9" w:rsidP="001C1F69">
      <w:pPr>
        <w:rPr>
          <w:lang w:val="fi-FI"/>
        </w:rPr>
      </w:pPr>
    </w:p>
    <w:p w14:paraId="53AC824C" w14:textId="77777777" w:rsidR="003B7027" w:rsidRPr="0028514E" w:rsidRDefault="00296A74" w:rsidP="006E5F9A">
      <w:pPr>
        <w:pStyle w:val="a4"/>
        <w:ind w:left="0"/>
      </w:pPr>
      <w:r w:rsidRPr="0028514E">
        <w:t>Jokainen esitäytetty ruisku sisältää 162 mg tosilitsumabia 0,9 ml:ssa liuosta.</w:t>
      </w:r>
    </w:p>
    <w:p w14:paraId="1C0F877C" w14:textId="77777777" w:rsidR="003B7027" w:rsidRPr="0028514E" w:rsidRDefault="003B7027" w:rsidP="006E5F9A">
      <w:pPr>
        <w:pStyle w:val="a4"/>
        <w:ind w:left="0"/>
      </w:pPr>
    </w:p>
    <w:p w14:paraId="1ACD6CC7" w14:textId="77777777" w:rsidR="003B7027" w:rsidRPr="0028514E" w:rsidRDefault="00296A74" w:rsidP="006E5F9A">
      <w:pPr>
        <w:pStyle w:val="a4"/>
        <w:ind w:left="0"/>
      </w:pPr>
      <w:r w:rsidRPr="0028514E">
        <w:t>Tosilitsumabi on rekombinantti, humanisoitu monoklonaalinen immunoglobuliinin G1 (IgG1) vasta- aine, jonka vaikutus kohdistuu liukoisiin ja solukalvoon sitoutuneisiin interleukiini 6 (IL-6)</w:t>
      </w:r>
      <w:r w:rsidR="00E456A9" w:rsidRPr="0028514E">
        <w:t xml:space="preserve"> </w:t>
      </w:r>
      <w:r w:rsidRPr="0028514E">
        <w:t>-reseptoreihin.</w:t>
      </w:r>
    </w:p>
    <w:p w14:paraId="55D2C1C5" w14:textId="77777777" w:rsidR="003B7027" w:rsidRDefault="003B7027" w:rsidP="006E5F9A">
      <w:pPr>
        <w:pStyle w:val="a4"/>
        <w:ind w:left="0"/>
      </w:pPr>
    </w:p>
    <w:p w14:paraId="66863E59" w14:textId="77777777" w:rsidR="00874ED2" w:rsidRPr="009D7042" w:rsidRDefault="00874ED2" w:rsidP="00874ED2">
      <w:pPr>
        <w:pStyle w:val="a4"/>
        <w:ind w:left="0"/>
        <w:rPr>
          <w:u w:val="single"/>
        </w:rPr>
      </w:pPr>
      <w:r w:rsidRPr="009D7042">
        <w:rPr>
          <w:u w:val="single"/>
        </w:rPr>
        <w:t>Apuaineet, joiden vaikutu</w:t>
      </w:r>
      <w:r>
        <w:rPr>
          <w:u w:val="single"/>
        </w:rPr>
        <w:t>s</w:t>
      </w:r>
      <w:r w:rsidRPr="009D7042">
        <w:rPr>
          <w:u w:val="single"/>
        </w:rPr>
        <w:t xml:space="preserve"> tunnetaan:</w:t>
      </w:r>
    </w:p>
    <w:p w14:paraId="4712BDBD" w14:textId="77777777" w:rsidR="00874ED2" w:rsidRPr="009D7042" w:rsidRDefault="00874ED2" w:rsidP="00874ED2">
      <w:pPr>
        <w:pStyle w:val="a4"/>
        <w:ind w:left="0"/>
        <w:rPr>
          <w:i/>
          <w:iCs/>
        </w:rPr>
      </w:pPr>
      <w:r w:rsidRPr="009D7042">
        <w:rPr>
          <w:i/>
          <w:iCs/>
        </w:rPr>
        <w:t>Polysorbaatti</w:t>
      </w:r>
    </w:p>
    <w:p w14:paraId="37DC9E7C" w14:textId="05C7C955" w:rsidR="00874ED2" w:rsidRDefault="00874ED2" w:rsidP="00874ED2">
      <w:pPr>
        <w:pStyle w:val="a4"/>
        <w:ind w:left="0"/>
      </w:pPr>
      <w:r>
        <w:t>Yksi 162 mg:n esitäytetty ruisku sisältää 0,2 mg polysorbaatti</w:t>
      </w:r>
      <w:r w:rsidR="00484863">
        <w:rPr>
          <w:rFonts w:eastAsia="맑은 고딕" w:hint="eastAsia"/>
          <w:lang w:eastAsia="ko-KR"/>
        </w:rPr>
        <w:t xml:space="preserve"> 80</w:t>
      </w:r>
      <w:r w:rsidR="0042468E">
        <w:rPr>
          <w:rFonts w:eastAsia="맑은 고딕"/>
          <w:lang w:eastAsia="ko-KR"/>
        </w:rPr>
        <w:t>:tä</w:t>
      </w:r>
      <w:r>
        <w:t>.</w:t>
      </w:r>
    </w:p>
    <w:p w14:paraId="7F58CF87" w14:textId="77777777" w:rsidR="00874ED2" w:rsidRPr="0028514E" w:rsidRDefault="00874ED2" w:rsidP="00874ED2">
      <w:pPr>
        <w:pStyle w:val="a4"/>
        <w:ind w:left="0"/>
      </w:pPr>
    </w:p>
    <w:p w14:paraId="1160743E" w14:textId="77777777" w:rsidR="003B7027" w:rsidRPr="0028514E" w:rsidRDefault="00296A74" w:rsidP="006E5F9A">
      <w:pPr>
        <w:pStyle w:val="a4"/>
        <w:ind w:left="0"/>
      </w:pPr>
      <w:r w:rsidRPr="0028514E">
        <w:t>Täydellinen apuaineluettelo, ks. kohta 6.1.</w:t>
      </w:r>
    </w:p>
    <w:p w14:paraId="3C58218D" w14:textId="77777777" w:rsidR="003B7027" w:rsidRPr="0028514E" w:rsidRDefault="003B7027" w:rsidP="006E5F9A">
      <w:pPr>
        <w:pStyle w:val="a4"/>
        <w:ind w:left="0"/>
      </w:pPr>
    </w:p>
    <w:p w14:paraId="1C0BEC73" w14:textId="77777777" w:rsidR="003B7027" w:rsidRPr="0028514E" w:rsidRDefault="003B7027" w:rsidP="006E5F9A">
      <w:pPr>
        <w:pStyle w:val="a4"/>
        <w:ind w:left="0"/>
      </w:pPr>
    </w:p>
    <w:p w14:paraId="107AC388" w14:textId="77777777" w:rsidR="003B7027" w:rsidRPr="0028514E" w:rsidRDefault="00296A74" w:rsidP="00BF3213">
      <w:pPr>
        <w:pStyle w:val="1"/>
      </w:pPr>
      <w:r w:rsidRPr="0028514E">
        <w:t>3.</w:t>
      </w:r>
      <w:r w:rsidRPr="0028514E">
        <w:tab/>
        <w:t>LÄÄKEMUOTO</w:t>
      </w:r>
    </w:p>
    <w:p w14:paraId="50AC0462" w14:textId="77777777" w:rsidR="00E456A9" w:rsidRPr="0028514E" w:rsidRDefault="00E456A9" w:rsidP="001C1F69"/>
    <w:p w14:paraId="7231047B" w14:textId="77777777" w:rsidR="00E456A9" w:rsidRPr="0028514E" w:rsidRDefault="00296A74" w:rsidP="006E5F9A">
      <w:pPr>
        <w:pStyle w:val="a4"/>
        <w:ind w:left="0"/>
      </w:pPr>
      <w:r w:rsidRPr="0028514E">
        <w:t>Injektioneste, liuos, esitäytetty ruisku.</w:t>
      </w:r>
    </w:p>
    <w:p w14:paraId="5D85DD91" w14:textId="77777777" w:rsidR="00E456A9" w:rsidRPr="0028514E" w:rsidRDefault="00E456A9" w:rsidP="006E5F9A">
      <w:pPr>
        <w:pStyle w:val="a4"/>
        <w:ind w:left="0"/>
      </w:pPr>
    </w:p>
    <w:p w14:paraId="7391D951" w14:textId="42D57F31" w:rsidR="003B7027" w:rsidRPr="0028514E" w:rsidRDefault="00145299" w:rsidP="006E5F9A">
      <w:pPr>
        <w:pStyle w:val="a4"/>
        <w:ind w:left="0"/>
      </w:pPr>
      <w:r w:rsidRPr="00A327CF">
        <w:t xml:space="preserve">Kirkas tai </w:t>
      </w:r>
      <w:r>
        <w:t xml:space="preserve">hieman </w:t>
      </w:r>
      <w:r w:rsidRPr="00A327CF">
        <w:t>opalisoiva, väritön tai keltainen liuos</w:t>
      </w:r>
      <w:r>
        <w:t>, jonka pH on 5,7–6,3 ja osmolaalisuus 280–340 mmol/kg</w:t>
      </w:r>
      <w:r w:rsidRPr="00A327CF">
        <w:t>.</w:t>
      </w:r>
    </w:p>
    <w:p w14:paraId="3D4AE9DE" w14:textId="77777777" w:rsidR="003B7027" w:rsidRDefault="003B7027" w:rsidP="006E5F9A">
      <w:pPr>
        <w:pStyle w:val="a4"/>
        <w:ind w:left="0"/>
      </w:pPr>
    </w:p>
    <w:p w14:paraId="1F2B53D0" w14:textId="77777777" w:rsidR="00D57B3C" w:rsidRPr="0028514E" w:rsidRDefault="00D57B3C" w:rsidP="006E5F9A">
      <w:pPr>
        <w:pStyle w:val="a4"/>
        <w:ind w:left="0"/>
      </w:pPr>
    </w:p>
    <w:p w14:paraId="7DFAC3C9" w14:textId="77777777" w:rsidR="003B7027" w:rsidRPr="0028514E" w:rsidRDefault="00296A74" w:rsidP="00BF3213">
      <w:pPr>
        <w:pStyle w:val="1"/>
      </w:pPr>
      <w:r w:rsidRPr="0028514E">
        <w:t>4.</w:t>
      </w:r>
      <w:r w:rsidRPr="0028514E">
        <w:tab/>
        <w:t>KLIINISET TIEDOT</w:t>
      </w:r>
    </w:p>
    <w:p w14:paraId="1835E391" w14:textId="77777777" w:rsidR="003B7027" w:rsidRPr="0028514E" w:rsidRDefault="003B7027" w:rsidP="006E5F9A">
      <w:pPr>
        <w:pStyle w:val="a4"/>
        <w:ind w:left="0"/>
        <w:rPr>
          <w:b/>
        </w:rPr>
      </w:pPr>
    </w:p>
    <w:p w14:paraId="6667FABB" w14:textId="77777777" w:rsidR="003B7027" w:rsidRPr="0028514E" w:rsidRDefault="00296A74" w:rsidP="009E78E1">
      <w:pPr>
        <w:pStyle w:val="2"/>
        <w:tabs>
          <w:tab w:val="clear" w:pos="603"/>
        </w:tabs>
      </w:pPr>
      <w:r w:rsidRPr="0028514E">
        <w:t>4.1</w:t>
      </w:r>
      <w:r w:rsidRPr="0028514E">
        <w:tab/>
        <w:t>Käyttöaiheet</w:t>
      </w:r>
    </w:p>
    <w:p w14:paraId="3E0AB598" w14:textId="77777777" w:rsidR="00E456A9" w:rsidRPr="009A3CB5" w:rsidRDefault="00E456A9" w:rsidP="001C1F69">
      <w:pPr>
        <w:rPr>
          <w:lang w:val="fi-FI"/>
        </w:rPr>
      </w:pPr>
    </w:p>
    <w:p w14:paraId="52364DBB" w14:textId="0514019F" w:rsidR="00A5656C" w:rsidRPr="00E919A5" w:rsidRDefault="00A5656C" w:rsidP="006E5F9A">
      <w:pPr>
        <w:pStyle w:val="a4"/>
        <w:ind w:left="0"/>
        <w:rPr>
          <w:rFonts w:eastAsia="맑은 고딕"/>
          <w:u w:val="single"/>
          <w:lang w:eastAsia="ko-KR"/>
        </w:rPr>
      </w:pPr>
      <w:r w:rsidRPr="00E919A5">
        <w:rPr>
          <w:rFonts w:eastAsia="맑은 고딕"/>
          <w:u w:val="single"/>
          <w:lang w:eastAsia="ko-KR"/>
        </w:rPr>
        <w:t>Nivelreuma</w:t>
      </w:r>
    </w:p>
    <w:p w14:paraId="3BE56402" w14:textId="6228CC66" w:rsidR="003B7027" w:rsidRPr="009E78E1" w:rsidRDefault="00145299" w:rsidP="006E5F9A">
      <w:pPr>
        <w:pStyle w:val="a4"/>
        <w:ind w:left="0"/>
      </w:pPr>
      <w:r>
        <w:t>Avtozma</w:t>
      </w:r>
      <w:r w:rsidRPr="009E78E1" w:rsidDel="00145299">
        <w:t xml:space="preserve"> </w:t>
      </w:r>
      <w:r w:rsidR="00296A74" w:rsidRPr="009E78E1">
        <w:t>on tarkoitettu yhdessä metotreksaatin (MTX) kanssa:</w:t>
      </w:r>
    </w:p>
    <w:p w14:paraId="6A3A67C2" w14:textId="77777777" w:rsidR="00E456A9" w:rsidRPr="009E78E1" w:rsidRDefault="00E456A9" w:rsidP="006E5F9A">
      <w:pPr>
        <w:pStyle w:val="a4"/>
        <w:ind w:left="0"/>
      </w:pPr>
    </w:p>
    <w:p w14:paraId="5DAB5ECF" w14:textId="77777777" w:rsidR="003B7027" w:rsidRPr="009E78E1" w:rsidRDefault="00296A74" w:rsidP="009E78E1">
      <w:pPr>
        <w:pStyle w:val="a"/>
      </w:pPr>
      <w:r w:rsidRPr="009E78E1">
        <w:t>vaikean, aktiivisen ja etenevän nivelreuman hoitoon aikuisille, joita ei aiemmin ole hoidettu MTX:lla</w:t>
      </w:r>
    </w:p>
    <w:p w14:paraId="1261032B" w14:textId="77777777" w:rsidR="003B7027" w:rsidRPr="009E78E1" w:rsidRDefault="00296A74" w:rsidP="009E78E1">
      <w:pPr>
        <w:pStyle w:val="a"/>
      </w:pPr>
      <w:r w:rsidRPr="009E78E1">
        <w:t>aikuispotilaiden kohtalaisen tai vaikean aktiivisen nivelreuman hoitoon, kun aikaisempi hoito yhdellä tai useammalla tautiprosessia hidastavalla reumalääkkeellä (disease modifying anti-rheumatic drugs, DMARD) tai tuumorinekroositekijän (TNF) estäjällä ei ole tuottanut riittävää hoitovastetta tai potilas ei siedä niitä.</w:t>
      </w:r>
    </w:p>
    <w:p w14:paraId="2EC3458A" w14:textId="77777777" w:rsidR="00E456A9" w:rsidRPr="00CA43F5" w:rsidRDefault="00E456A9" w:rsidP="009E78E1">
      <w:pPr>
        <w:rPr>
          <w:lang w:val="fi-FI"/>
        </w:rPr>
      </w:pPr>
    </w:p>
    <w:p w14:paraId="144F8C76" w14:textId="4B9A9870" w:rsidR="003B7027" w:rsidRPr="009E78E1" w:rsidRDefault="00145299" w:rsidP="006E5F9A">
      <w:pPr>
        <w:pStyle w:val="a4"/>
        <w:ind w:left="0"/>
      </w:pPr>
      <w:r>
        <w:t>Avtozmaa</w:t>
      </w:r>
      <w:r w:rsidRPr="009E78E1" w:rsidDel="00145299">
        <w:t xml:space="preserve"> </w:t>
      </w:r>
      <w:r w:rsidR="00296A74" w:rsidRPr="009E78E1">
        <w:t>voidaan antaa monoterapiana näille potilaille, jos he eivät siedä MTX:a tai, jos jatkuva MTX-hoito ei sovi heille.</w:t>
      </w:r>
    </w:p>
    <w:p w14:paraId="4ACC4FBA" w14:textId="77777777" w:rsidR="003B7027" w:rsidRPr="009E78E1" w:rsidRDefault="003B7027" w:rsidP="006E5F9A">
      <w:pPr>
        <w:pStyle w:val="a4"/>
        <w:ind w:left="0"/>
      </w:pPr>
    </w:p>
    <w:p w14:paraId="1B1B69A4" w14:textId="04D6DB6E" w:rsidR="003B7027" w:rsidRPr="009E78E1" w:rsidRDefault="00145299" w:rsidP="006E5F9A">
      <w:pPr>
        <w:pStyle w:val="a4"/>
        <w:ind w:left="0"/>
      </w:pPr>
      <w:r>
        <w:t>Avtozman</w:t>
      </w:r>
      <w:r w:rsidRPr="009E78E1" w:rsidDel="00145299">
        <w:t xml:space="preserve"> </w:t>
      </w:r>
      <w:r w:rsidR="00296A74" w:rsidRPr="009E78E1">
        <w:t>on röntgentutkimuksissa havaittu vähentävän nivelvaurioiden etenemistä ja parantavan fyysistä toimintakykyä, kun sitä annetaan yhdessä MTX:n kanssa.</w:t>
      </w:r>
    </w:p>
    <w:p w14:paraId="05B06E9B" w14:textId="77777777" w:rsidR="00E456A9" w:rsidRPr="009E78E1" w:rsidRDefault="00E456A9" w:rsidP="006E5F9A">
      <w:pPr>
        <w:pStyle w:val="a4"/>
        <w:ind w:left="0"/>
      </w:pPr>
    </w:p>
    <w:p w14:paraId="496799CE" w14:textId="22484CCD" w:rsidR="00A94125" w:rsidRPr="00E919A5" w:rsidRDefault="00A94125" w:rsidP="006E5F9A">
      <w:pPr>
        <w:pStyle w:val="a4"/>
        <w:ind w:left="0"/>
        <w:rPr>
          <w:rFonts w:eastAsia="맑은 고딕"/>
          <w:u w:val="single"/>
          <w:lang w:eastAsia="ko-KR"/>
        </w:rPr>
      </w:pPr>
      <w:r w:rsidRPr="00E919A5">
        <w:rPr>
          <w:rFonts w:eastAsia="맑은 고딕"/>
          <w:u w:val="single"/>
          <w:lang w:eastAsia="ko-KR"/>
        </w:rPr>
        <w:t>Yleisoireinen lastenreuma</w:t>
      </w:r>
    </w:p>
    <w:p w14:paraId="5C8FE25C" w14:textId="6F37C403" w:rsidR="003B7027" w:rsidRPr="009E78E1" w:rsidRDefault="00145299" w:rsidP="006E5F9A">
      <w:pPr>
        <w:pStyle w:val="a4"/>
        <w:ind w:left="0"/>
      </w:pPr>
      <w:r>
        <w:t>Avtozma</w:t>
      </w:r>
      <w:r w:rsidRPr="009E78E1" w:rsidDel="00145299">
        <w:t xml:space="preserve"> </w:t>
      </w:r>
      <w:r w:rsidR="00296A74" w:rsidRPr="009E78E1">
        <w:t xml:space="preserve">on tarkoitettu 1-vuotiaiden ja sitä vanhempien lasten aktiivisen yleisoireisen lastenreuman hoitoon, kun aikaisempi hoito tulehduskipulääkkeillä ja systeemisillä kortikosteroideilla ei ole </w:t>
      </w:r>
      <w:r w:rsidR="00296A74" w:rsidRPr="009E78E1">
        <w:lastRenderedPageBreak/>
        <w:t xml:space="preserve">tuottanut riittävää hoitovastetta. </w:t>
      </w:r>
      <w:r>
        <w:t>Avtozmaa</w:t>
      </w:r>
      <w:r w:rsidRPr="009E78E1" w:rsidDel="00145299">
        <w:t xml:space="preserve"> </w:t>
      </w:r>
      <w:r w:rsidR="00296A74" w:rsidRPr="009E78E1">
        <w:t>voidaan antaa monoterapiana (jos potilas ei siedä MTX:a tai MTX-hoito ei sovi hänelle) tai yhdessä MTX:n kanssa.</w:t>
      </w:r>
    </w:p>
    <w:p w14:paraId="16EBCA27" w14:textId="77777777" w:rsidR="00E456A9" w:rsidRPr="009E78E1" w:rsidRDefault="00E456A9" w:rsidP="006E5F9A">
      <w:pPr>
        <w:pStyle w:val="a4"/>
        <w:ind w:left="0"/>
      </w:pPr>
    </w:p>
    <w:p w14:paraId="535C1A89" w14:textId="2731D903" w:rsidR="00A94125" w:rsidRPr="00E919A5" w:rsidRDefault="00A94125" w:rsidP="006E5F9A">
      <w:pPr>
        <w:pStyle w:val="a4"/>
        <w:ind w:left="0"/>
        <w:rPr>
          <w:rFonts w:eastAsia="맑은 고딕"/>
          <w:u w:val="single"/>
          <w:lang w:eastAsia="ko-KR"/>
        </w:rPr>
      </w:pPr>
      <w:r w:rsidRPr="00E919A5">
        <w:rPr>
          <w:rFonts w:eastAsia="맑은 고딕"/>
          <w:u w:val="single"/>
          <w:lang w:eastAsia="ko-KR"/>
        </w:rPr>
        <w:t>Lasten polyartriitti</w:t>
      </w:r>
    </w:p>
    <w:p w14:paraId="6EB6EEC4" w14:textId="734FB192" w:rsidR="003B7027" w:rsidRPr="009E78E1" w:rsidRDefault="00145299" w:rsidP="006E5F9A">
      <w:pPr>
        <w:pStyle w:val="a4"/>
        <w:ind w:left="0"/>
      </w:pPr>
      <w:r>
        <w:t>Avtozma</w:t>
      </w:r>
      <w:r w:rsidRPr="009E78E1" w:rsidDel="00145299">
        <w:t xml:space="preserve"> </w:t>
      </w:r>
      <w:r w:rsidR="00296A74" w:rsidRPr="009E78E1">
        <w:t xml:space="preserve">on tarkoitettu yhdessä metotreksaatin (MTX) kanssa 2-vuotiaiden ja sitä vanhempien lasten aktiivisen polyartriitin hoitoon (pJIA; reumatekijä positiivinen tai negatiivinen ja laajentunut oligoartriitti), kun aikaisempi hoito MTX:lla ei ole tuottanut riittävää hoitovastetta. </w:t>
      </w:r>
      <w:r>
        <w:t>Avtozma</w:t>
      </w:r>
      <w:r w:rsidRPr="009E78E1" w:rsidDel="00145299">
        <w:t xml:space="preserve"> </w:t>
      </w:r>
      <w:r w:rsidR="00296A74" w:rsidRPr="009E78E1">
        <w:t>voidaan antaa monoterapiana, jos potilas ei siedä MTX:a tai jos hoitoa MTX:lla ei voi jatkaa.</w:t>
      </w:r>
    </w:p>
    <w:p w14:paraId="7AF2C2AC" w14:textId="77777777" w:rsidR="00E456A9" w:rsidRPr="009E78E1" w:rsidRDefault="00E456A9" w:rsidP="006E5F9A">
      <w:pPr>
        <w:pStyle w:val="a4"/>
        <w:ind w:left="0"/>
      </w:pPr>
    </w:p>
    <w:p w14:paraId="3A7F1BC5" w14:textId="678F577F" w:rsidR="00A94125" w:rsidRPr="00E919A5" w:rsidRDefault="00A94125" w:rsidP="006E5F9A">
      <w:pPr>
        <w:pStyle w:val="a4"/>
        <w:ind w:left="0"/>
        <w:rPr>
          <w:rFonts w:eastAsia="맑은 고딕"/>
          <w:u w:val="single"/>
          <w:lang w:eastAsia="ko-KR"/>
        </w:rPr>
      </w:pPr>
      <w:r w:rsidRPr="00E919A5">
        <w:rPr>
          <w:rFonts w:eastAsia="맑은 고딕"/>
          <w:u w:val="single"/>
          <w:lang w:eastAsia="ko-KR"/>
        </w:rPr>
        <w:t>Jättisoluart</w:t>
      </w:r>
      <w:r w:rsidR="00B9313C">
        <w:rPr>
          <w:rFonts w:eastAsia="맑은 고딕"/>
          <w:u w:val="single"/>
          <w:lang w:eastAsia="ko-KR"/>
        </w:rPr>
        <w:t>e</w:t>
      </w:r>
      <w:r w:rsidRPr="00E919A5">
        <w:rPr>
          <w:rFonts w:eastAsia="맑은 고딕"/>
          <w:u w:val="single"/>
          <w:lang w:eastAsia="ko-KR"/>
        </w:rPr>
        <w:t>riitti</w:t>
      </w:r>
    </w:p>
    <w:p w14:paraId="4E2328DC" w14:textId="44E9055A" w:rsidR="003B7027" w:rsidRPr="009E78E1" w:rsidRDefault="00145299" w:rsidP="006E5F9A">
      <w:pPr>
        <w:pStyle w:val="a4"/>
        <w:ind w:left="0"/>
      </w:pPr>
      <w:r>
        <w:t>Avtozma</w:t>
      </w:r>
      <w:r w:rsidRPr="009E78E1" w:rsidDel="00145299">
        <w:t xml:space="preserve"> </w:t>
      </w:r>
      <w:r w:rsidR="00296A74" w:rsidRPr="009E78E1">
        <w:t>on tarkoitettu aikuispotilaille jättisoluarteriitin hoitoon.</w:t>
      </w:r>
    </w:p>
    <w:p w14:paraId="35E35AD0" w14:textId="77777777" w:rsidR="003B7027" w:rsidRPr="009E78E1" w:rsidRDefault="003B7027" w:rsidP="006E5F9A">
      <w:pPr>
        <w:pStyle w:val="a4"/>
        <w:ind w:left="0"/>
      </w:pPr>
    </w:p>
    <w:p w14:paraId="6E1F9DB3" w14:textId="77777777" w:rsidR="003B7027" w:rsidRPr="0028514E" w:rsidRDefault="00296A74" w:rsidP="00A928DD">
      <w:pPr>
        <w:pStyle w:val="2"/>
        <w:keepNext/>
      </w:pPr>
      <w:r w:rsidRPr="0028514E">
        <w:t>4.2</w:t>
      </w:r>
      <w:r w:rsidRPr="0028514E">
        <w:tab/>
        <w:t>Annostus ja antotapa</w:t>
      </w:r>
    </w:p>
    <w:p w14:paraId="4DF1C873" w14:textId="77777777" w:rsidR="00E456A9" w:rsidRPr="009A3CB5" w:rsidRDefault="00E456A9" w:rsidP="001C1F69">
      <w:pPr>
        <w:rPr>
          <w:lang w:val="fi-FI"/>
        </w:rPr>
      </w:pPr>
    </w:p>
    <w:p w14:paraId="3FD4F4F4" w14:textId="77777777" w:rsidR="00145299" w:rsidRDefault="00296A74" w:rsidP="006E5F9A">
      <w:pPr>
        <w:pStyle w:val="a4"/>
        <w:ind w:left="0"/>
      </w:pPr>
      <w:r w:rsidRPr="0028514E">
        <w:t xml:space="preserve">Tosilitsumabin ihon alle annettava lääkemuoto annetaan kertakäyttöisellä esitäytetyllä ruiskulla, jossa on turvamekanismi neulanpiston estämiseksi. Hoidon saa aloittaa nivelreuman, aktiivisen yleisoireisen lastenreuman, lasten aktiivisen polyartriitin ja/tai jättisoluarteriitin diagnosointiin ja hoitoon perehtynyt lääkäri. </w:t>
      </w:r>
    </w:p>
    <w:p w14:paraId="03CBED9B" w14:textId="77777777" w:rsidR="00145299" w:rsidRDefault="00145299" w:rsidP="006E5F9A">
      <w:pPr>
        <w:pStyle w:val="a4"/>
        <w:ind w:left="0"/>
      </w:pPr>
    </w:p>
    <w:p w14:paraId="4FA3B752" w14:textId="17781149" w:rsidR="003B7027" w:rsidRPr="0028514E" w:rsidRDefault="00296A74" w:rsidP="006E5F9A">
      <w:pPr>
        <w:pStyle w:val="a4"/>
        <w:ind w:left="0"/>
      </w:pPr>
      <w:r w:rsidRPr="0028514E">
        <w:t xml:space="preserve">Ensimmäinen pistos annetaan pätevän terveydenhuollon ammattilaisen valvonnassa. Potilas tai potilaan vanhempi/huoltaja voi pistää </w:t>
      </w:r>
      <w:r w:rsidR="00145299">
        <w:t>Avtozma</w:t>
      </w:r>
      <w:r w:rsidRPr="0028514E">
        <w:t>-pistoksen itse vain silloin, jos lääkäri katsoo sen tarkoituksenmukaiseksi, potilas tai potilaan vanhempi/huoltaja käy seurannassa tarvittavin väliajoin ja potilaalle on opastettu oikea pistostekniikka.</w:t>
      </w:r>
    </w:p>
    <w:p w14:paraId="56BCB2EF" w14:textId="77777777" w:rsidR="00E456A9" w:rsidRPr="0028514E" w:rsidRDefault="00E456A9" w:rsidP="006E5F9A">
      <w:pPr>
        <w:pStyle w:val="a4"/>
        <w:ind w:left="0"/>
      </w:pPr>
    </w:p>
    <w:p w14:paraId="2029551D" w14:textId="77777777" w:rsidR="003B7027" w:rsidRPr="0028514E" w:rsidRDefault="00296A74" w:rsidP="006E5F9A">
      <w:pPr>
        <w:pStyle w:val="a4"/>
        <w:ind w:left="0"/>
      </w:pPr>
      <w:r w:rsidRPr="0028514E">
        <w:t>Jos potilas siirtyy ihon alle (s.c.) annettavaan tosilitsumabihoitoon laskimoon (i.v.) annettavasta tosilitsumabihoidosta, ensimmäinen annos ihon alle on annettava pätevän terveydenhuollon ammattilaisen valvonnassa hoito-ohjelman mukaisen seuraavan laskimoon annettavan annoksen antoajankohtana.</w:t>
      </w:r>
    </w:p>
    <w:p w14:paraId="6CB30EA7" w14:textId="77777777" w:rsidR="003B7027" w:rsidRPr="0028514E" w:rsidRDefault="003B7027" w:rsidP="006E5F9A">
      <w:pPr>
        <w:pStyle w:val="a4"/>
        <w:ind w:left="0"/>
      </w:pPr>
    </w:p>
    <w:p w14:paraId="2C4603B2" w14:textId="743BDE8E" w:rsidR="003B7027" w:rsidRPr="0028514E" w:rsidRDefault="00296A74" w:rsidP="006E5F9A">
      <w:pPr>
        <w:pStyle w:val="a4"/>
        <w:ind w:left="0"/>
      </w:pPr>
      <w:r w:rsidRPr="0028514E">
        <w:t xml:space="preserve">Kaikille </w:t>
      </w:r>
      <w:r w:rsidR="00145299">
        <w:t>Avtozma</w:t>
      </w:r>
      <w:r w:rsidRPr="0028514E">
        <w:t>-hoitoa saaville potilaille tulee antaa potilaskortti.</w:t>
      </w:r>
    </w:p>
    <w:p w14:paraId="15089437" w14:textId="77777777" w:rsidR="003B7027" w:rsidRPr="0028514E" w:rsidRDefault="003B7027" w:rsidP="006E5F9A">
      <w:pPr>
        <w:pStyle w:val="a4"/>
        <w:ind w:left="0"/>
      </w:pPr>
    </w:p>
    <w:p w14:paraId="052ABF93" w14:textId="77777777" w:rsidR="003B7027" w:rsidRPr="0028514E" w:rsidRDefault="00296A74" w:rsidP="006E5F9A">
      <w:pPr>
        <w:pStyle w:val="a4"/>
        <w:ind w:left="0"/>
      </w:pPr>
      <w:r w:rsidRPr="0028514E">
        <w:t>Varmista potilaan tai vanhemman/huoltajan soveltuvuus ihon alle annettavana hoitona toteutettavaan kotihoitoon. Potilasta tai vanhempaa/huoltajaa tulee ohjeistaa kertomaan terveydenhuollon ammattilaiselle ennen seuraavan annoksen antamista, jos potilaalle ilmaantuu allergisen reaktion oireita. Potilaan on hakeuduttava välittömästi lääkäriin, jos hänelle ilmaantuu vakavien allergisten reaktioiden oireita (ks. kohta 4.4).</w:t>
      </w:r>
    </w:p>
    <w:p w14:paraId="540429B7" w14:textId="77777777" w:rsidR="003B7027" w:rsidRPr="0028514E" w:rsidRDefault="003B7027" w:rsidP="006E5F9A">
      <w:pPr>
        <w:pStyle w:val="a4"/>
        <w:ind w:left="0"/>
      </w:pPr>
    </w:p>
    <w:p w14:paraId="3EC13DFA" w14:textId="77777777" w:rsidR="003B7027" w:rsidRPr="0028514E" w:rsidRDefault="00296A74" w:rsidP="006E5F9A">
      <w:pPr>
        <w:pStyle w:val="a4"/>
        <w:ind w:left="0"/>
      </w:pPr>
      <w:r w:rsidRPr="0028514E">
        <w:rPr>
          <w:u w:val="single"/>
        </w:rPr>
        <w:t>Annostus</w:t>
      </w:r>
    </w:p>
    <w:p w14:paraId="16737A43" w14:textId="77777777" w:rsidR="003B7027" w:rsidRPr="0028514E" w:rsidRDefault="003B7027" w:rsidP="006E5F9A">
      <w:pPr>
        <w:pStyle w:val="a4"/>
        <w:ind w:left="0"/>
      </w:pPr>
    </w:p>
    <w:p w14:paraId="67261908" w14:textId="77777777" w:rsidR="003B7027" w:rsidRPr="0028514E" w:rsidRDefault="00296A74" w:rsidP="006E5F9A">
      <w:pPr>
        <w:pStyle w:val="a4"/>
        <w:ind w:left="0"/>
      </w:pPr>
      <w:r w:rsidRPr="0028514E">
        <w:rPr>
          <w:u w:val="single"/>
        </w:rPr>
        <w:t>Nivelreuma</w:t>
      </w:r>
    </w:p>
    <w:p w14:paraId="3B9B26B1" w14:textId="77777777" w:rsidR="003B7027" w:rsidRPr="0028514E" w:rsidRDefault="00296A74" w:rsidP="006E5F9A">
      <w:pPr>
        <w:pStyle w:val="a4"/>
        <w:ind w:left="0"/>
      </w:pPr>
      <w:r w:rsidRPr="0028514E">
        <w:t>Suositeltu annostus on 162 mg ihon alle kerran viikossa.</w:t>
      </w:r>
    </w:p>
    <w:p w14:paraId="4A282586" w14:textId="77777777" w:rsidR="003B7027" w:rsidRPr="0028514E" w:rsidRDefault="003B7027" w:rsidP="006E5F9A">
      <w:pPr>
        <w:pStyle w:val="a4"/>
        <w:ind w:left="0"/>
      </w:pPr>
    </w:p>
    <w:p w14:paraId="01345BA0" w14:textId="2321C660" w:rsidR="003B7027" w:rsidRPr="0028514E" w:rsidRDefault="00296A74" w:rsidP="006E5F9A">
      <w:pPr>
        <w:pStyle w:val="a4"/>
        <w:ind w:left="0"/>
      </w:pPr>
      <w:r w:rsidRPr="0028514E">
        <w:t xml:space="preserve">Potilaan hoidon vaihtamisesta </w:t>
      </w:r>
      <w:r w:rsidR="00145299">
        <w:t>Avtozman</w:t>
      </w:r>
      <w:r w:rsidR="00145299" w:rsidRPr="0028514E" w:rsidDel="00145299">
        <w:t xml:space="preserve"> </w:t>
      </w:r>
      <w:r w:rsidRPr="0028514E">
        <w:t xml:space="preserve">laskimoon annettavasta lääkemuodosta </w:t>
      </w:r>
      <w:r w:rsidR="00145299">
        <w:t>Avtozman</w:t>
      </w:r>
      <w:r w:rsidR="00145299" w:rsidRPr="0028514E" w:rsidDel="00145299">
        <w:t xml:space="preserve"> </w:t>
      </w:r>
      <w:r w:rsidRPr="0028514E">
        <w:t>vakioannoksena ihon alle annettavaan lääkemuotoon on vähän tietoa. Antoväliä kerran viikossa pitää noudattaa.</w:t>
      </w:r>
    </w:p>
    <w:p w14:paraId="50ABC9B6" w14:textId="77777777" w:rsidR="00E456A9" w:rsidRPr="0028514E" w:rsidRDefault="00E456A9" w:rsidP="006E5F9A">
      <w:pPr>
        <w:pStyle w:val="a4"/>
        <w:ind w:left="0"/>
      </w:pPr>
    </w:p>
    <w:p w14:paraId="69663AFC" w14:textId="77777777" w:rsidR="003B7027" w:rsidRPr="0028514E" w:rsidRDefault="00296A74" w:rsidP="006E5F9A">
      <w:pPr>
        <w:pStyle w:val="a4"/>
        <w:ind w:left="0"/>
      </w:pPr>
      <w:r w:rsidRPr="0028514E">
        <w:t>Laskimoon annettavasta lääkemuodosta ihon alle annettavan lääkemuodon käyttöön siirtyvien potilaiden ensimmäinen annos ihon alle on annettava hoitoon perehtyneen terveydenhuollon ammattilaisen valvonnassa hoito-ohjelman mukaisesti seuraavana antoajankohtana.</w:t>
      </w:r>
    </w:p>
    <w:p w14:paraId="11F1C21F" w14:textId="77777777" w:rsidR="003B7027" w:rsidRPr="0028514E" w:rsidRDefault="003B7027" w:rsidP="006E5F9A">
      <w:pPr>
        <w:pStyle w:val="a4"/>
        <w:ind w:left="0"/>
      </w:pPr>
    </w:p>
    <w:p w14:paraId="02B0DA4F" w14:textId="77777777" w:rsidR="003B7027" w:rsidRPr="0028514E" w:rsidRDefault="00296A74" w:rsidP="006E5F9A">
      <w:pPr>
        <w:pStyle w:val="a4"/>
        <w:ind w:left="0"/>
      </w:pPr>
      <w:r w:rsidRPr="0028514E">
        <w:rPr>
          <w:u w:val="single"/>
        </w:rPr>
        <w:t>Jättisoluarteriitti</w:t>
      </w:r>
    </w:p>
    <w:p w14:paraId="55B3C145" w14:textId="3B9F3790" w:rsidR="003B7027" w:rsidRPr="0028514E" w:rsidRDefault="00296A74" w:rsidP="006E5F9A">
      <w:pPr>
        <w:pStyle w:val="a4"/>
        <w:ind w:left="0"/>
      </w:pPr>
      <w:r w:rsidRPr="0028514E">
        <w:t xml:space="preserve">Suositeltu annostus on 162 mg ihon alle kerran viikossa yhdistelmänä asteittain vähennettävän glukortikoidihoidon kanssa. </w:t>
      </w:r>
      <w:r w:rsidR="00145299">
        <w:t>Avtozmaa</w:t>
      </w:r>
      <w:r w:rsidR="00145299" w:rsidRPr="0028514E" w:rsidDel="00145299">
        <w:t xml:space="preserve"> </w:t>
      </w:r>
      <w:r w:rsidRPr="0028514E">
        <w:t>voidaan käyttää yksinään glukokortikoidihoidon lopettamisen jälkeen.</w:t>
      </w:r>
      <w:r w:rsidR="00E456A9" w:rsidRPr="0028514E">
        <w:t xml:space="preserve"> </w:t>
      </w:r>
      <w:r w:rsidR="00145299">
        <w:t>Avtozma</w:t>
      </w:r>
      <w:r w:rsidRPr="0028514E">
        <w:t>-monoterapiaa ei saa käyttää akuuttien relapsien hoitoon (ks. kohta 4.4).</w:t>
      </w:r>
    </w:p>
    <w:p w14:paraId="6C0A533A" w14:textId="77777777" w:rsidR="00E456A9" w:rsidRPr="0028514E" w:rsidRDefault="00E456A9" w:rsidP="006E5F9A">
      <w:pPr>
        <w:pStyle w:val="a4"/>
        <w:ind w:left="0"/>
      </w:pPr>
    </w:p>
    <w:p w14:paraId="6327BCC6" w14:textId="77777777" w:rsidR="003B7027" w:rsidRPr="0028514E" w:rsidRDefault="00296A74" w:rsidP="006E5F9A">
      <w:pPr>
        <w:pStyle w:val="a4"/>
        <w:ind w:left="0"/>
      </w:pPr>
      <w:r w:rsidRPr="0028514E">
        <w:t>Jättisoluarteriitti on luonteeltaan krooninen sairaus. Hoidon jatkamisen 52 viikkoa pidempään pitää perustua sairauden aktiivisuuteen, lääkärin harkintaan ja potilaan valintaan.</w:t>
      </w:r>
    </w:p>
    <w:p w14:paraId="0681D691" w14:textId="77777777" w:rsidR="00E456A9" w:rsidRPr="0028514E" w:rsidRDefault="00E456A9" w:rsidP="006E5F9A">
      <w:pPr>
        <w:pStyle w:val="a4"/>
        <w:ind w:left="0"/>
      </w:pPr>
    </w:p>
    <w:p w14:paraId="3E113BF6" w14:textId="77777777" w:rsidR="003B7027" w:rsidRPr="0028514E" w:rsidRDefault="00296A74" w:rsidP="006E5F9A">
      <w:pPr>
        <w:pStyle w:val="a4"/>
        <w:ind w:left="0"/>
        <w:rPr>
          <w:u w:val="single"/>
        </w:rPr>
      </w:pPr>
      <w:r w:rsidRPr="0028514E">
        <w:rPr>
          <w:u w:val="single"/>
        </w:rPr>
        <w:t>Nivelreuma ja jättisoluarteriitti</w:t>
      </w:r>
    </w:p>
    <w:p w14:paraId="36362A8E" w14:textId="77777777" w:rsidR="003B7027" w:rsidRPr="0028514E" w:rsidRDefault="00296A74" w:rsidP="006E5F9A">
      <w:pPr>
        <w:pStyle w:val="a4"/>
        <w:ind w:left="0"/>
      </w:pPr>
      <w:r w:rsidRPr="0028514E">
        <w:rPr>
          <w:u w:val="single"/>
        </w:rPr>
        <w:t>Annoksen muuttaminen poikkeavien laboratorioarvojen takia (ks. kohta 4.4).</w:t>
      </w:r>
    </w:p>
    <w:p w14:paraId="570B496C" w14:textId="77777777" w:rsidR="003B7027" w:rsidRPr="0028514E" w:rsidRDefault="003B7027" w:rsidP="006E5F9A">
      <w:pPr>
        <w:pStyle w:val="a4"/>
        <w:ind w:left="0"/>
      </w:pPr>
    </w:p>
    <w:p w14:paraId="670CAB25" w14:textId="77777777" w:rsidR="003B7027" w:rsidRPr="0028514E" w:rsidRDefault="00296A74" w:rsidP="009E78E1">
      <w:pPr>
        <w:pStyle w:val="a"/>
      </w:pPr>
      <w:r w:rsidRPr="0028514E">
        <w:t>Poikkeavat maksaentsyymit</w:t>
      </w:r>
    </w:p>
    <w:p w14:paraId="6C0E8E65" w14:textId="77777777" w:rsidR="003B7027" w:rsidRPr="0028514E" w:rsidRDefault="003B7027" w:rsidP="006E5F9A">
      <w:pPr>
        <w:pStyle w:val="a4"/>
        <w:ind w:left="0"/>
        <w:rPr>
          <w:sz w:val="20"/>
        </w:rPr>
      </w:pPr>
    </w:p>
    <w:tbl>
      <w:tblPr>
        <w:tblW w:w="4804"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47"/>
        <w:gridCol w:w="6762"/>
      </w:tblGrid>
      <w:tr w:rsidR="003B7027" w:rsidRPr="00777B93" w14:paraId="6E673C3F" w14:textId="77777777" w:rsidTr="00A71F3E">
        <w:trPr>
          <w:trHeight w:val="20"/>
          <w:tblHeader/>
        </w:trPr>
        <w:tc>
          <w:tcPr>
            <w:tcW w:w="1992" w:type="dxa"/>
          </w:tcPr>
          <w:p w14:paraId="05799E5F" w14:textId="77777777" w:rsidR="003B7027" w:rsidRPr="0028514E" w:rsidRDefault="00296A74" w:rsidP="00A71F3E">
            <w:pPr>
              <w:pStyle w:val="TableParagraph"/>
              <w:keepNext/>
              <w:jc w:val="center"/>
            </w:pPr>
            <w:r w:rsidRPr="0028514E">
              <w:t>Laboratorioarvo</w:t>
            </w:r>
          </w:p>
        </w:tc>
        <w:tc>
          <w:tcPr>
            <w:tcW w:w="6934" w:type="dxa"/>
          </w:tcPr>
          <w:p w14:paraId="25BD68B9" w14:textId="77777777" w:rsidR="003B7027" w:rsidRPr="0028514E" w:rsidRDefault="00296A74" w:rsidP="006E5F9A">
            <w:pPr>
              <w:pStyle w:val="TableParagraph"/>
              <w:jc w:val="center"/>
            </w:pPr>
            <w:r w:rsidRPr="0028514E">
              <w:t>Toimenpide</w:t>
            </w:r>
          </w:p>
        </w:tc>
      </w:tr>
      <w:tr w:rsidR="003B7027" w:rsidRPr="00BB5A61" w14:paraId="0C579D4F" w14:textId="77777777" w:rsidTr="00A71F3E">
        <w:trPr>
          <w:cantSplit/>
          <w:trHeight w:val="20"/>
        </w:trPr>
        <w:tc>
          <w:tcPr>
            <w:tcW w:w="1992" w:type="dxa"/>
          </w:tcPr>
          <w:p w14:paraId="097F4230" w14:textId="77777777" w:rsidR="003B7027" w:rsidRPr="0028514E" w:rsidRDefault="00296A74" w:rsidP="006E5F9A">
            <w:pPr>
              <w:pStyle w:val="TableParagraph"/>
            </w:pPr>
            <w:r w:rsidRPr="0028514E">
              <w:t>&gt; 1–3 x viitevälin yläraja (ULN)</w:t>
            </w:r>
            <w:r w:rsidR="00E456A9" w:rsidRPr="0028514E">
              <w:t xml:space="preserve"> </w:t>
            </w:r>
            <w:r w:rsidRPr="0028514E">
              <w:t>(Upper Limit of Normal = viitevälin yläraja)</w:t>
            </w:r>
          </w:p>
        </w:tc>
        <w:tc>
          <w:tcPr>
            <w:tcW w:w="6934" w:type="dxa"/>
          </w:tcPr>
          <w:p w14:paraId="721AE44E" w14:textId="77777777" w:rsidR="003B7027" w:rsidRPr="0028514E" w:rsidRDefault="00296A74" w:rsidP="006E5F9A">
            <w:pPr>
              <w:pStyle w:val="TableParagraph"/>
            </w:pPr>
            <w:r w:rsidRPr="0028514E">
              <w:t>Muuta samanaikaisesti annettavaa DMARD-annosta (nivelreuma) tai immuunivastetta muuntavan lääkeaineen annosta (jättisoluarteriitti), jos tarkoituksenmukaista.</w:t>
            </w:r>
          </w:p>
          <w:p w14:paraId="0CB57F5F" w14:textId="77777777" w:rsidR="00E456A9" w:rsidRPr="0028514E" w:rsidRDefault="00E456A9" w:rsidP="006E5F9A">
            <w:pPr>
              <w:pStyle w:val="TableParagraph"/>
            </w:pPr>
          </w:p>
          <w:p w14:paraId="29E41CE1" w14:textId="74415479" w:rsidR="003B7027" w:rsidRPr="0028514E" w:rsidRDefault="00296A74" w:rsidP="006E5F9A">
            <w:pPr>
              <w:pStyle w:val="TableParagraph"/>
            </w:pPr>
            <w:r w:rsidRPr="0028514E">
              <w:t xml:space="preserve">Jos arvon nousu on pitkäaikaista, vähennä </w:t>
            </w:r>
            <w:r w:rsidR="00145299">
              <w:t>Avtozma</w:t>
            </w:r>
            <w:r w:rsidRPr="0028514E">
              <w:t xml:space="preserve">-annosta antoväliin kerran kahdessa viikossa tai keskeytä </w:t>
            </w:r>
            <w:r w:rsidR="00145299">
              <w:t>Avtozma</w:t>
            </w:r>
            <w:r w:rsidRPr="0028514E">
              <w:t>-hoito, kunnes ALAT- (alaniiniaminotransferaasi) ja ASAT- (aspartaattiaminotransferaasi) arvot ovat normalisoituneet.</w:t>
            </w:r>
          </w:p>
          <w:p w14:paraId="2F34B483" w14:textId="77777777" w:rsidR="00E456A9" w:rsidRPr="0028514E" w:rsidRDefault="00E456A9" w:rsidP="006E5F9A">
            <w:pPr>
              <w:pStyle w:val="TableParagraph"/>
            </w:pPr>
          </w:p>
          <w:p w14:paraId="13FDD817" w14:textId="77777777" w:rsidR="003B7027" w:rsidRPr="0028514E" w:rsidRDefault="00296A74" w:rsidP="006E5F9A">
            <w:pPr>
              <w:pStyle w:val="TableParagraph"/>
            </w:pPr>
            <w:r w:rsidRPr="0028514E">
              <w:t>Aloita hoito uudelleen kerran viikossa tai kerran kahdessa viikossa annettavina injektioina, kliinisen tilan mukaan.</w:t>
            </w:r>
          </w:p>
        </w:tc>
      </w:tr>
      <w:tr w:rsidR="003B7027" w:rsidRPr="00BB5A61" w14:paraId="035BAADB" w14:textId="77777777" w:rsidTr="00A71F3E">
        <w:trPr>
          <w:trHeight w:val="20"/>
        </w:trPr>
        <w:tc>
          <w:tcPr>
            <w:tcW w:w="1992" w:type="dxa"/>
          </w:tcPr>
          <w:p w14:paraId="183AA6F5" w14:textId="77777777" w:rsidR="003B7027" w:rsidRPr="0028514E" w:rsidRDefault="00296A74" w:rsidP="006E5F9A">
            <w:pPr>
              <w:pStyle w:val="TableParagraph"/>
            </w:pPr>
            <w:r w:rsidRPr="0028514E">
              <w:t>&gt; 3–5 x viitevälin yläraja</w:t>
            </w:r>
          </w:p>
        </w:tc>
        <w:tc>
          <w:tcPr>
            <w:tcW w:w="6934" w:type="dxa"/>
          </w:tcPr>
          <w:p w14:paraId="1D23D4E1" w14:textId="09528951" w:rsidR="003B7027" w:rsidRPr="0028514E" w:rsidRDefault="00296A74" w:rsidP="006E5F9A">
            <w:pPr>
              <w:pStyle w:val="TableParagraph"/>
            </w:pPr>
            <w:r w:rsidRPr="0028514E">
              <w:t xml:space="preserve">Keskeytä </w:t>
            </w:r>
            <w:r w:rsidR="00145299">
              <w:t>Avtozma</w:t>
            </w:r>
            <w:r w:rsidRPr="0028514E">
              <w:t>-hoito kunnes arvo on &lt; 3 x viitevälin yläraja ja noudata yllä annettuja suosituksia arvolle &gt; 1–3 x viitevälin yläraja.</w:t>
            </w:r>
          </w:p>
          <w:p w14:paraId="02AA8758" w14:textId="77777777" w:rsidR="00E456A9" w:rsidRPr="0028514E" w:rsidRDefault="00E456A9" w:rsidP="006E5F9A">
            <w:pPr>
              <w:pStyle w:val="TableParagraph"/>
            </w:pPr>
          </w:p>
          <w:p w14:paraId="6316F902" w14:textId="3E6A9682" w:rsidR="003B7027" w:rsidRPr="0028514E" w:rsidRDefault="00296A74" w:rsidP="006E5F9A">
            <w:pPr>
              <w:pStyle w:val="TableParagraph"/>
            </w:pPr>
            <w:r w:rsidRPr="0028514E">
              <w:t xml:space="preserve">Jos arvot nousevat uudestaan &gt; 3 x viitevälin yläraja (varmistetaan toistetulla mittauksella, ks. kohta 4.4), lopeta </w:t>
            </w:r>
            <w:r w:rsidR="00145299">
              <w:t>Avtozma</w:t>
            </w:r>
            <w:r w:rsidRPr="0028514E">
              <w:t>-hoito.</w:t>
            </w:r>
          </w:p>
        </w:tc>
      </w:tr>
      <w:tr w:rsidR="003B7027" w:rsidRPr="00777B93" w14:paraId="5C44733B" w14:textId="77777777" w:rsidTr="00A71F3E">
        <w:trPr>
          <w:trHeight w:val="20"/>
        </w:trPr>
        <w:tc>
          <w:tcPr>
            <w:tcW w:w="1992" w:type="dxa"/>
          </w:tcPr>
          <w:p w14:paraId="6EB657F7" w14:textId="77777777" w:rsidR="003B7027" w:rsidRPr="0028514E" w:rsidRDefault="00296A74" w:rsidP="006E5F9A">
            <w:pPr>
              <w:pStyle w:val="TableParagraph"/>
            </w:pPr>
            <w:r w:rsidRPr="0028514E">
              <w:t>&gt; 5 x viitevälin yläraja</w:t>
            </w:r>
          </w:p>
        </w:tc>
        <w:tc>
          <w:tcPr>
            <w:tcW w:w="6934" w:type="dxa"/>
          </w:tcPr>
          <w:p w14:paraId="645998B6" w14:textId="1A1CC7E7" w:rsidR="003B7027" w:rsidRPr="0028514E" w:rsidRDefault="00296A74" w:rsidP="006E5F9A">
            <w:pPr>
              <w:pStyle w:val="TableParagraph"/>
            </w:pPr>
            <w:r w:rsidRPr="0028514E">
              <w:t xml:space="preserve">Lopeta </w:t>
            </w:r>
            <w:r w:rsidR="00145299">
              <w:t>Avtozma</w:t>
            </w:r>
            <w:r w:rsidRPr="0028514E">
              <w:t>-hoito.</w:t>
            </w:r>
          </w:p>
        </w:tc>
      </w:tr>
    </w:tbl>
    <w:p w14:paraId="4905749A" w14:textId="77777777" w:rsidR="00E456A9" w:rsidRPr="0028514E" w:rsidRDefault="00E456A9" w:rsidP="006E5F9A">
      <w:pPr>
        <w:tabs>
          <w:tab w:val="left" w:pos="1604"/>
        </w:tabs>
        <w:rPr>
          <w:rFonts w:ascii="Symbol" w:eastAsia="Symbol" w:hAnsi="Symbol" w:cs="Symbol"/>
          <w:lang w:val="fi-FI" w:eastAsia="en-US"/>
        </w:rPr>
      </w:pPr>
    </w:p>
    <w:p w14:paraId="71570D70" w14:textId="77777777" w:rsidR="003B7027" w:rsidRPr="0028514E" w:rsidRDefault="00296A74" w:rsidP="009E78E1">
      <w:pPr>
        <w:pStyle w:val="a"/>
      </w:pPr>
      <w:r w:rsidRPr="0028514E">
        <w:t>Matala absoluuttinen neutrofiilien määrä (ANC)</w:t>
      </w:r>
    </w:p>
    <w:p w14:paraId="33AB6531" w14:textId="77777777" w:rsidR="00E456A9" w:rsidRPr="0028514E" w:rsidRDefault="00E456A9" w:rsidP="006E5F9A">
      <w:pPr>
        <w:pStyle w:val="a4"/>
        <w:ind w:left="0"/>
      </w:pPr>
    </w:p>
    <w:p w14:paraId="5155EB08" w14:textId="5D2DB81E" w:rsidR="003B7027" w:rsidRPr="0028514E" w:rsidRDefault="00296A74" w:rsidP="006E5F9A">
      <w:pPr>
        <w:pStyle w:val="a4"/>
        <w:ind w:left="0"/>
      </w:pPr>
      <w:r w:rsidRPr="0028514E">
        <w:t xml:space="preserve">Aiemmin </w:t>
      </w:r>
      <w:r w:rsidR="0062734E">
        <w:t>tosilitsumabilla</w:t>
      </w:r>
      <w:r w:rsidR="0062734E" w:rsidRPr="0028514E">
        <w:t xml:space="preserve"> </w:t>
      </w:r>
      <w:r w:rsidRPr="0028514E">
        <w:t>hoitamattomille potilaille ei suositella hoidon aloitusta, jos absoluuttinen neutrofiilien määrä (ANC) on &lt; 2 x 10</w:t>
      </w:r>
      <w:r w:rsidRPr="0028514E">
        <w:rPr>
          <w:vertAlign w:val="superscript"/>
        </w:rPr>
        <w:t>9</w:t>
      </w:r>
      <w:r w:rsidRPr="0028514E">
        <w:t>/l.</w:t>
      </w:r>
    </w:p>
    <w:p w14:paraId="682670C3" w14:textId="77777777" w:rsidR="003B7027" w:rsidRPr="0028514E" w:rsidRDefault="003B7027" w:rsidP="006E5F9A">
      <w:pPr>
        <w:pStyle w:val="a4"/>
        <w:ind w:left="0"/>
        <w:rPr>
          <w:sz w:val="20"/>
        </w:rPr>
      </w:pPr>
    </w:p>
    <w:tbl>
      <w:tblPr>
        <w:tblW w:w="4804"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128"/>
        <w:gridCol w:w="6581"/>
      </w:tblGrid>
      <w:tr w:rsidR="003B7027" w:rsidRPr="00777B93" w14:paraId="02808BEC" w14:textId="77777777" w:rsidTr="00A71F3E">
        <w:trPr>
          <w:trHeight w:val="20"/>
        </w:trPr>
        <w:tc>
          <w:tcPr>
            <w:tcW w:w="2178" w:type="dxa"/>
          </w:tcPr>
          <w:p w14:paraId="25C0E765" w14:textId="77777777" w:rsidR="003B7027" w:rsidRPr="0028514E" w:rsidRDefault="00296A74" w:rsidP="006E5F9A">
            <w:pPr>
              <w:pStyle w:val="TableParagraph"/>
              <w:jc w:val="center"/>
            </w:pPr>
            <w:r w:rsidRPr="0028514E">
              <w:t>Laboratorioarvo (solumäärä x 10</w:t>
            </w:r>
            <w:r w:rsidRPr="0028514E">
              <w:rPr>
                <w:vertAlign w:val="superscript"/>
              </w:rPr>
              <w:t>9</w:t>
            </w:r>
            <w:r w:rsidRPr="0028514E">
              <w:t>/l)</w:t>
            </w:r>
          </w:p>
        </w:tc>
        <w:tc>
          <w:tcPr>
            <w:tcW w:w="6748" w:type="dxa"/>
          </w:tcPr>
          <w:p w14:paraId="7479DF83" w14:textId="77777777" w:rsidR="003B7027" w:rsidRPr="0028514E" w:rsidRDefault="00296A74" w:rsidP="006E5F9A">
            <w:pPr>
              <w:pStyle w:val="TableParagraph"/>
              <w:jc w:val="center"/>
            </w:pPr>
            <w:r w:rsidRPr="0028514E">
              <w:t>Toimenpide</w:t>
            </w:r>
          </w:p>
        </w:tc>
      </w:tr>
      <w:tr w:rsidR="003B7027" w:rsidRPr="00777B93" w14:paraId="620E8923" w14:textId="77777777" w:rsidTr="00A71F3E">
        <w:trPr>
          <w:trHeight w:val="20"/>
        </w:trPr>
        <w:tc>
          <w:tcPr>
            <w:tcW w:w="2178" w:type="dxa"/>
          </w:tcPr>
          <w:p w14:paraId="18847C6F" w14:textId="77777777" w:rsidR="003B7027" w:rsidRPr="0028514E" w:rsidRDefault="00296A74" w:rsidP="006E5F9A">
            <w:pPr>
              <w:pStyle w:val="TableParagraph"/>
            </w:pPr>
            <w:r w:rsidRPr="0028514E">
              <w:t>ANC &gt; 1</w:t>
            </w:r>
          </w:p>
        </w:tc>
        <w:tc>
          <w:tcPr>
            <w:tcW w:w="6748" w:type="dxa"/>
          </w:tcPr>
          <w:p w14:paraId="2DA65B6F" w14:textId="77777777" w:rsidR="003B7027" w:rsidRPr="0028514E" w:rsidRDefault="00296A74" w:rsidP="006E5F9A">
            <w:pPr>
              <w:pStyle w:val="TableParagraph"/>
            </w:pPr>
            <w:r w:rsidRPr="0028514E">
              <w:t>Jatka samalla annoksella.</w:t>
            </w:r>
          </w:p>
        </w:tc>
      </w:tr>
      <w:tr w:rsidR="003B7027" w:rsidRPr="00BB5A61" w14:paraId="3F7B1B06" w14:textId="77777777" w:rsidTr="00A71F3E">
        <w:trPr>
          <w:trHeight w:val="20"/>
        </w:trPr>
        <w:tc>
          <w:tcPr>
            <w:tcW w:w="2178" w:type="dxa"/>
          </w:tcPr>
          <w:p w14:paraId="62AFFF6B" w14:textId="77777777" w:rsidR="003B7027" w:rsidRPr="0028514E" w:rsidRDefault="00296A74" w:rsidP="006E5F9A">
            <w:pPr>
              <w:pStyle w:val="TableParagraph"/>
            </w:pPr>
            <w:r w:rsidRPr="0028514E">
              <w:t>ANC 0,5–1</w:t>
            </w:r>
          </w:p>
        </w:tc>
        <w:tc>
          <w:tcPr>
            <w:tcW w:w="6748" w:type="dxa"/>
          </w:tcPr>
          <w:p w14:paraId="14E6A7CE" w14:textId="3DFD3083" w:rsidR="003B7027" w:rsidRPr="0028514E" w:rsidRDefault="00296A74" w:rsidP="006E5F9A">
            <w:pPr>
              <w:pStyle w:val="TableParagraph"/>
            </w:pPr>
            <w:r w:rsidRPr="0028514E">
              <w:t xml:space="preserve">Keskeytä </w:t>
            </w:r>
            <w:r w:rsidR="0062734E">
              <w:t>Avtozma</w:t>
            </w:r>
            <w:r w:rsidRPr="0028514E">
              <w:t>-hoito.</w:t>
            </w:r>
          </w:p>
          <w:p w14:paraId="6FC04DF1" w14:textId="353AF4B9" w:rsidR="003B7027" w:rsidRPr="0028514E" w:rsidRDefault="00296A74" w:rsidP="006E5F9A">
            <w:pPr>
              <w:pStyle w:val="TableParagraph"/>
            </w:pPr>
            <w:r w:rsidRPr="0028514E">
              <w:t>Kun ANC nousee &gt; 1 x 10</w:t>
            </w:r>
            <w:r w:rsidRPr="0028514E">
              <w:rPr>
                <w:vertAlign w:val="superscript"/>
              </w:rPr>
              <w:t>9</w:t>
            </w:r>
            <w:r w:rsidRPr="0028514E">
              <w:t xml:space="preserve">/l, aloita </w:t>
            </w:r>
            <w:r w:rsidR="0062734E">
              <w:t>Avtozma</w:t>
            </w:r>
            <w:r w:rsidRPr="0028514E">
              <w:t>-hoito uudelleen kerran kahdessa viikossa annettavina injektioina kliinisen tilan mukaan.</w:t>
            </w:r>
          </w:p>
        </w:tc>
      </w:tr>
      <w:tr w:rsidR="003B7027" w:rsidRPr="00777B93" w14:paraId="466C5114" w14:textId="77777777" w:rsidTr="00A71F3E">
        <w:trPr>
          <w:trHeight w:val="20"/>
        </w:trPr>
        <w:tc>
          <w:tcPr>
            <w:tcW w:w="2178" w:type="dxa"/>
          </w:tcPr>
          <w:p w14:paraId="70C89469" w14:textId="77777777" w:rsidR="003B7027" w:rsidRPr="0028514E" w:rsidRDefault="00296A74" w:rsidP="006E5F9A">
            <w:pPr>
              <w:pStyle w:val="TableParagraph"/>
            </w:pPr>
            <w:r w:rsidRPr="0028514E">
              <w:t>ANC &lt; 0,5</w:t>
            </w:r>
          </w:p>
        </w:tc>
        <w:tc>
          <w:tcPr>
            <w:tcW w:w="6748" w:type="dxa"/>
          </w:tcPr>
          <w:p w14:paraId="59F27B2D" w14:textId="31CB1C99" w:rsidR="003B7027" w:rsidRPr="0028514E" w:rsidRDefault="00296A74" w:rsidP="006E5F9A">
            <w:pPr>
              <w:pStyle w:val="TableParagraph"/>
            </w:pPr>
            <w:r w:rsidRPr="0028514E">
              <w:t xml:space="preserve">Lopeta </w:t>
            </w:r>
            <w:r w:rsidR="0062734E">
              <w:t>Avtozma</w:t>
            </w:r>
            <w:r w:rsidRPr="0028514E">
              <w:t>-hoito.</w:t>
            </w:r>
          </w:p>
        </w:tc>
      </w:tr>
    </w:tbl>
    <w:p w14:paraId="446F3D0A" w14:textId="77777777" w:rsidR="001A2F77" w:rsidRPr="0028514E" w:rsidRDefault="001A2F77" w:rsidP="006E5F9A">
      <w:pPr>
        <w:tabs>
          <w:tab w:val="left" w:pos="1604"/>
        </w:tabs>
        <w:rPr>
          <w:rFonts w:ascii="Symbol" w:eastAsia="Symbol" w:hAnsi="Symbol" w:cs="Symbol"/>
          <w:lang w:val="fi-FI" w:eastAsia="en-US"/>
        </w:rPr>
      </w:pPr>
    </w:p>
    <w:p w14:paraId="7A857B20" w14:textId="77777777" w:rsidR="003B7027" w:rsidRPr="0028514E" w:rsidRDefault="00296A74" w:rsidP="009E78E1">
      <w:pPr>
        <w:pStyle w:val="a"/>
      </w:pPr>
      <w:r w:rsidRPr="0028514E">
        <w:t>Pieni trombosyyttien määrä</w:t>
      </w:r>
    </w:p>
    <w:p w14:paraId="6DD17A4D" w14:textId="77777777" w:rsidR="003B7027" w:rsidRPr="0028514E" w:rsidRDefault="003B7027" w:rsidP="006E5F9A">
      <w:pPr>
        <w:pStyle w:val="a4"/>
        <w:ind w:left="0"/>
        <w:rPr>
          <w:sz w:val="20"/>
        </w:rPr>
      </w:pPr>
    </w:p>
    <w:tbl>
      <w:tblPr>
        <w:tblW w:w="4804"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119"/>
        <w:gridCol w:w="6590"/>
      </w:tblGrid>
      <w:tr w:rsidR="003B7027" w:rsidRPr="00777B93" w14:paraId="38E2F031" w14:textId="77777777" w:rsidTr="00A71F3E">
        <w:trPr>
          <w:trHeight w:val="20"/>
        </w:trPr>
        <w:tc>
          <w:tcPr>
            <w:tcW w:w="2169" w:type="dxa"/>
          </w:tcPr>
          <w:p w14:paraId="184DC998" w14:textId="77777777" w:rsidR="003B7027" w:rsidRPr="0028514E" w:rsidRDefault="00296A74" w:rsidP="006E5F9A">
            <w:pPr>
              <w:pStyle w:val="TableParagraph"/>
              <w:jc w:val="center"/>
            </w:pPr>
            <w:r w:rsidRPr="0028514E">
              <w:t>Laboratorioarvo (solumäärä x 10</w:t>
            </w:r>
            <w:r w:rsidRPr="0028514E">
              <w:rPr>
                <w:vertAlign w:val="superscript"/>
              </w:rPr>
              <w:t>3</w:t>
            </w:r>
            <w:r w:rsidRPr="0028514E">
              <w:t>/μl)</w:t>
            </w:r>
          </w:p>
        </w:tc>
        <w:tc>
          <w:tcPr>
            <w:tcW w:w="6757" w:type="dxa"/>
          </w:tcPr>
          <w:p w14:paraId="7B3B9C2A" w14:textId="77777777" w:rsidR="003B7027" w:rsidRPr="0028514E" w:rsidRDefault="00296A74" w:rsidP="006E5F9A">
            <w:pPr>
              <w:pStyle w:val="TableParagraph"/>
              <w:jc w:val="center"/>
            </w:pPr>
            <w:r w:rsidRPr="0028514E">
              <w:t>Toimenpide</w:t>
            </w:r>
          </w:p>
        </w:tc>
      </w:tr>
      <w:tr w:rsidR="003B7027" w:rsidRPr="00BB5A61" w14:paraId="209D9564" w14:textId="77777777" w:rsidTr="00A71F3E">
        <w:trPr>
          <w:trHeight w:val="20"/>
        </w:trPr>
        <w:tc>
          <w:tcPr>
            <w:tcW w:w="2169" w:type="dxa"/>
          </w:tcPr>
          <w:p w14:paraId="7525683B" w14:textId="77777777" w:rsidR="003B7027" w:rsidRPr="0028514E" w:rsidRDefault="00296A74" w:rsidP="006E5F9A">
            <w:pPr>
              <w:pStyle w:val="TableParagraph"/>
            </w:pPr>
            <w:r w:rsidRPr="0028514E">
              <w:t>50–100</w:t>
            </w:r>
          </w:p>
        </w:tc>
        <w:tc>
          <w:tcPr>
            <w:tcW w:w="6757" w:type="dxa"/>
          </w:tcPr>
          <w:p w14:paraId="371C96DF" w14:textId="5814E6AF" w:rsidR="003B7027" w:rsidRPr="0028514E" w:rsidRDefault="00296A74" w:rsidP="006E5F9A">
            <w:pPr>
              <w:pStyle w:val="TableParagraph"/>
            </w:pPr>
            <w:r w:rsidRPr="0028514E">
              <w:t xml:space="preserve">Keskeytä </w:t>
            </w:r>
            <w:r w:rsidR="0062734E">
              <w:t>Avtozma</w:t>
            </w:r>
            <w:r w:rsidRPr="0028514E">
              <w:t>-hoito.</w:t>
            </w:r>
          </w:p>
          <w:p w14:paraId="5ED4B12B" w14:textId="34E29DE5" w:rsidR="003B7027" w:rsidRPr="0028514E" w:rsidRDefault="00296A74" w:rsidP="006E5F9A">
            <w:pPr>
              <w:pStyle w:val="TableParagraph"/>
            </w:pPr>
            <w:r w:rsidRPr="0028514E">
              <w:t>Kun trombosyyttien määrä nousee &gt; 100 x 10</w:t>
            </w:r>
            <w:r w:rsidRPr="0028514E">
              <w:rPr>
                <w:vertAlign w:val="superscript"/>
              </w:rPr>
              <w:t>3</w:t>
            </w:r>
            <w:r w:rsidRPr="0028514E">
              <w:t xml:space="preserve">/μl, aloita </w:t>
            </w:r>
            <w:r w:rsidR="0062734E">
              <w:t>Avtozma</w:t>
            </w:r>
            <w:r w:rsidRPr="0028514E">
              <w:t>-hoito uudelleen kerran kahdessa viikossa annettavilla injektioilla kliinisen tilan mukaan.</w:t>
            </w:r>
          </w:p>
        </w:tc>
      </w:tr>
      <w:tr w:rsidR="003B7027" w:rsidRPr="00777B93" w14:paraId="42668D97" w14:textId="77777777" w:rsidTr="00A71F3E">
        <w:trPr>
          <w:trHeight w:val="20"/>
        </w:trPr>
        <w:tc>
          <w:tcPr>
            <w:tcW w:w="2169" w:type="dxa"/>
          </w:tcPr>
          <w:p w14:paraId="5878DDD7" w14:textId="77777777" w:rsidR="003B7027" w:rsidRPr="0028514E" w:rsidRDefault="00296A74" w:rsidP="006E5F9A">
            <w:pPr>
              <w:pStyle w:val="TableParagraph"/>
            </w:pPr>
            <w:r w:rsidRPr="0028514E">
              <w:t>&lt; 50</w:t>
            </w:r>
          </w:p>
        </w:tc>
        <w:tc>
          <w:tcPr>
            <w:tcW w:w="6757" w:type="dxa"/>
          </w:tcPr>
          <w:p w14:paraId="2FE36A02" w14:textId="74D01741" w:rsidR="003B7027" w:rsidRPr="0028514E" w:rsidRDefault="00296A74" w:rsidP="006E5F9A">
            <w:pPr>
              <w:pStyle w:val="TableParagraph"/>
            </w:pPr>
            <w:r w:rsidRPr="0028514E">
              <w:t xml:space="preserve">Lopeta </w:t>
            </w:r>
            <w:r w:rsidR="0062734E">
              <w:t>Avtozma</w:t>
            </w:r>
            <w:r w:rsidRPr="0028514E">
              <w:t>-hoito.</w:t>
            </w:r>
          </w:p>
        </w:tc>
      </w:tr>
    </w:tbl>
    <w:p w14:paraId="7352C2E7" w14:textId="77777777" w:rsidR="001A2F77" w:rsidRPr="0028514E" w:rsidRDefault="001A2F77" w:rsidP="006E5F9A">
      <w:pPr>
        <w:pStyle w:val="a4"/>
        <w:ind w:left="0"/>
        <w:rPr>
          <w:u w:val="single"/>
        </w:rPr>
      </w:pPr>
    </w:p>
    <w:p w14:paraId="490C0B15" w14:textId="77777777" w:rsidR="003B7027" w:rsidRPr="0028514E" w:rsidRDefault="00296A74" w:rsidP="006E5F9A">
      <w:pPr>
        <w:pStyle w:val="a4"/>
        <w:ind w:left="0"/>
      </w:pPr>
      <w:r w:rsidRPr="0028514E">
        <w:rPr>
          <w:u w:val="single"/>
        </w:rPr>
        <w:t>Nivelreuma ja jättisoluarteriitti</w:t>
      </w:r>
    </w:p>
    <w:p w14:paraId="6E120582" w14:textId="77777777" w:rsidR="003B7027" w:rsidRPr="0028514E" w:rsidRDefault="00296A74" w:rsidP="006E5F9A">
      <w:pPr>
        <w:rPr>
          <w:i/>
        </w:rPr>
      </w:pPr>
      <w:proofErr w:type="spellStart"/>
      <w:r w:rsidRPr="0028514E">
        <w:rPr>
          <w:i/>
        </w:rPr>
        <w:t>Annoksen</w:t>
      </w:r>
      <w:proofErr w:type="spellEnd"/>
      <w:r w:rsidRPr="0028514E">
        <w:rPr>
          <w:i/>
        </w:rPr>
        <w:t xml:space="preserve"> </w:t>
      </w:r>
      <w:proofErr w:type="spellStart"/>
      <w:r w:rsidRPr="0028514E">
        <w:rPr>
          <w:i/>
        </w:rPr>
        <w:t>unohtaminen</w:t>
      </w:r>
      <w:proofErr w:type="spellEnd"/>
    </w:p>
    <w:p w14:paraId="446A471C" w14:textId="5410794A" w:rsidR="003B7027" w:rsidRPr="0028514E" w:rsidRDefault="00296A74" w:rsidP="006E5F9A">
      <w:pPr>
        <w:pStyle w:val="a4"/>
        <w:ind w:left="0"/>
      </w:pPr>
      <w:r w:rsidRPr="0028514E">
        <w:t xml:space="preserve">Jos potilas unohtaa viikoittaisen ihon alle annettavan </w:t>
      </w:r>
      <w:r w:rsidR="0062734E">
        <w:t>Avtozma</w:t>
      </w:r>
      <w:r w:rsidRPr="0028514E">
        <w:t xml:space="preserve">-annoksensa eikä aikataulun mukaisesta antoajankohdasta ole kulunut yli 7 vuorokautta, potilasta on neuvottava ottamaan unohtunut annos seuraavana hoitoaikataulun mukaisena päivänä. Jos potilas unohtaa kerran kahdessa viikossa </w:t>
      </w:r>
      <w:r w:rsidRPr="0028514E">
        <w:lastRenderedPageBreak/>
        <w:t xml:space="preserve">annettavan </w:t>
      </w:r>
      <w:r w:rsidR="0062734E">
        <w:t>Avtozma</w:t>
      </w:r>
      <w:r w:rsidRPr="0028514E">
        <w:t>-annoksensa eikä aikataulun mukaisesta antoajankohdasta ole kulunut yli 7 vuorokautta, potilasta on neuvottava ottamaan unohtunut annos heti ja seuraava annos seuraavana hoitoaikataulun mukaisena päivänä.</w:t>
      </w:r>
    </w:p>
    <w:p w14:paraId="3C36D2D1" w14:textId="77777777" w:rsidR="003B7027" w:rsidRPr="0028514E" w:rsidRDefault="003B7027" w:rsidP="006E5F9A">
      <w:pPr>
        <w:pStyle w:val="a4"/>
        <w:ind w:left="0"/>
      </w:pPr>
    </w:p>
    <w:p w14:paraId="1E426702" w14:textId="77777777" w:rsidR="003B7027" w:rsidRPr="0028514E" w:rsidRDefault="00296A74" w:rsidP="00A71F3E">
      <w:pPr>
        <w:pStyle w:val="a4"/>
        <w:keepNext/>
        <w:ind w:left="0"/>
        <w:rPr>
          <w:u w:val="single"/>
        </w:rPr>
      </w:pPr>
      <w:r w:rsidRPr="0028514E">
        <w:rPr>
          <w:u w:val="single"/>
        </w:rPr>
        <w:t>Erityisryhmät</w:t>
      </w:r>
    </w:p>
    <w:p w14:paraId="74766B59" w14:textId="77777777" w:rsidR="001A2F77" w:rsidRPr="0028514E" w:rsidRDefault="001A2F77" w:rsidP="00A71F3E">
      <w:pPr>
        <w:pStyle w:val="a4"/>
        <w:keepNext/>
        <w:ind w:left="0"/>
      </w:pPr>
    </w:p>
    <w:p w14:paraId="7E013B4D" w14:textId="77777777" w:rsidR="003B7027" w:rsidRPr="00CA43F5" w:rsidRDefault="00296A74" w:rsidP="006E5F9A">
      <w:pPr>
        <w:rPr>
          <w:i/>
          <w:lang w:val="fi-FI"/>
        </w:rPr>
      </w:pPr>
      <w:r w:rsidRPr="00CA43F5">
        <w:rPr>
          <w:i/>
          <w:lang w:val="fi-FI"/>
        </w:rPr>
        <w:t>Iäkkäät:</w:t>
      </w:r>
    </w:p>
    <w:p w14:paraId="104CF07D" w14:textId="77777777" w:rsidR="003B7027" w:rsidRPr="0028514E" w:rsidRDefault="00296A74" w:rsidP="006E5F9A">
      <w:pPr>
        <w:pStyle w:val="a4"/>
        <w:ind w:left="0"/>
      </w:pPr>
      <w:r w:rsidRPr="0028514E">
        <w:t>Annoksen muuttaminen ei ole tarpeen yli 65-vuotiaille potilaille.</w:t>
      </w:r>
    </w:p>
    <w:p w14:paraId="72B29418" w14:textId="77777777" w:rsidR="003B7027" w:rsidRPr="0028514E" w:rsidRDefault="003B7027" w:rsidP="006E5F9A">
      <w:pPr>
        <w:pStyle w:val="a4"/>
        <w:ind w:left="0"/>
      </w:pPr>
    </w:p>
    <w:p w14:paraId="47E84EC2" w14:textId="77777777" w:rsidR="003B7027" w:rsidRPr="00CA43F5" w:rsidRDefault="00296A74" w:rsidP="00A928DD">
      <w:pPr>
        <w:keepNext/>
        <w:rPr>
          <w:i/>
          <w:lang w:val="fi-FI"/>
        </w:rPr>
      </w:pPr>
      <w:r w:rsidRPr="00CA43F5">
        <w:rPr>
          <w:i/>
          <w:lang w:val="fi-FI"/>
        </w:rPr>
        <w:t>Munuaisten vajaatoiminta:</w:t>
      </w:r>
    </w:p>
    <w:p w14:paraId="36225400" w14:textId="1709F1B7" w:rsidR="003B7027" w:rsidRPr="0028514E" w:rsidRDefault="00296A74" w:rsidP="006E5F9A">
      <w:pPr>
        <w:pStyle w:val="a4"/>
        <w:ind w:left="0"/>
      </w:pPr>
      <w:r w:rsidRPr="0028514E">
        <w:t xml:space="preserve">Annoksen muuttaminen ei ole tarpeen lievää tai kohtalaista munuaisten vajaatoimintaa sairastaville potilaille. </w:t>
      </w:r>
      <w:r w:rsidR="0062734E">
        <w:t>Avtozman</w:t>
      </w:r>
      <w:r w:rsidR="0062734E" w:rsidRPr="0028514E" w:rsidDel="0062734E">
        <w:t xml:space="preserve"> </w:t>
      </w:r>
      <w:r w:rsidRPr="0028514E">
        <w:t>käyttöä ei ole tutkittu vaikeaa munuaisten vajaatoimintaa sairastavilla potilailla (ks. kohta 5.2). Munuaisten toimintaa tulisi seurata tarkasti näillä potilailla.</w:t>
      </w:r>
    </w:p>
    <w:p w14:paraId="5DFD5093" w14:textId="77777777" w:rsidR="003B7027" w:rsidRPr="0028514E" w:rsidRDefault="003B7027" w:rsidP="006E5F9A">
      <w:pPr>
        <w:pStyle w:val="a4"/>
        <w:ind w:left="0"/>
      </w:pPr>
    </w:p>
    <w:p w14:paraId="5A0909AB" w14:textId="77777777" w:rsidR="003B7027" w:rsidRPr="00CA43F5" w:rsidRDefault="00296A74" w:rsidP="006E5F9A">
      <w:pPr>
        <w:keepNext/>
        <w:keepLines/>
        <w:rPr>
          <w:i/>
          <w:lang w:val="fi-FI"/>
        </w:rPr>
      </w:pPr>
      <w:r w:rsidRPr="00CA43F5">
        <w:rPr>
          <w:i/>
          <w:lang w:val="fi-FI"/>
        </w:rPr>
        <w:t>Maksan vajaatoiminta:</w:t>
      </w:r>
    </w:p>
    <w:p w14:paraId="27C4BF09" w14:textId="738AA72F" w:rsidR="003B7027" w:rsidRPr="0028514E" w:rsidRDefault="0062734E" w:rsidP="006E5F9A">
      <w:pPr>
        <w:pStyle w:val="a4"/>
        <w:ind w:left="0"/>
      </w:pPr>
      <w:r>
        <w:t>Avtozman</w:t>
      </w:r>
      <w:r w:rsidRPr="0028514E" w:rsidDel="0062734E">
        <w:t xml:space="preserve"> </w:t>
      </w:r>
      <w:r w:rsidR="00296A74" w:rsidRPr="0028514E">
        <w:t>käyttöä ei ole tutkittu maksan vajaatoimintaa sairastavilla potilailla. Siksi annossuosituksia ei voida antaa.</w:t>
      </w:r>
    </w:p>
    <w:p w14:paraId="41E194E9" w14:textId="77777777" w:rsidR="001A2F77" w:rsidRPr="0028514E" w:rsidRDefault="001A2F77" w:rsidP="006E5F9A">
      <w:pPr>
        <w:pStyle w:val="a4"/>
        <w:ind w:left="0"/>
      </w:pPr>
    </w:p>
    <w:p w14:paraId="061A83EB" w14:textId="77777777" w:rsidR="003B7027" w:rsidRPr="00CA43F5" w:rsidRDefault="00296A74" w:rsidP="006E5F9A">
      <w:pPr>
        <w:rPr>
          <w:i/>
          <w:lang w:val="fi-FI"/>
        </w:rPr>
      </w:pPr>
      <w:r w:rsidRPr="00CA43F5">
        <w:rPr>
          <w:i/>
          <w:lang w:val="fi-FI"/>
        </w:rPr>
        <w:t>Pediatriset potilaat</w:t>
      </w:r>
    </w:p>
    <w:p w14:paraId="4243769C" w14:textId="293CAEA3" w:rsidR="003B7027" w:rsidRPr="0028514E" w:rsidRDefault="0062734E" w:rsidP="006E5F9A">
      <w:pPr>
        <w:pStyle w:val="a4"/>
        <w:ind w:left="0"/>
      </w:pPr>
      <w:r>
        <w:t>Avtozman</w:t>
      </w:r>
      <w:r w:rsidRPr="0028514E" w:rsidDel="0062734E">
        <w:t xml:space="preserve"> </w:t>
      </w:r>
      <w:r w:rsidR="00296A74" w:rsidRPr="0028514E">
        <w:t>ihon alle annettavan lääkemuodon turvallisuutta ja tehoa lasten hoidossa, jotka ovat iältään vastasyntyneistä alle 1 vuoden ikäisiin, ei ole varmistettu. Tietoja ei ole saatavilla.</w:t>
      </w:r>
    </w:p>
    <w:p w14:paraId="312A06E7" w14:textId="77777777" w:rsidR="001A2F77" w:rsidRPr="0028514E" w:rsidRDefault="001A2F77" w:rsidP="006E5F9A">
      <w:pPr>
        <w:pStyle w:val="a4"/>
        <w:ind w:left="0"/>
      </w:pPr>
    </w:p>
    <w:p w14:paraId="3457A9A8" w14:textId="77777777" w:rsidR="003B7027" w:rsidRPr="0028514E" w:rsidRDefault="00296A74" w:rsidP="006E5F9A">
      <w:pPr>
        <w:pStyle w:val="a4"/>
        <w:ind w:left="0"/>
      </w:pPr>
      <w:r w:rsidRPr="0028514E">
        <w:t>Annosmuutosten pitää perustua vain potilaan painossa ajan mittaan tapahtuvaan pysyvään muutokseen.</w:t>
      </w:r>
    </w:p>
    <w:p w14:paraId="22144E6D" w14:textId="180460BC" w:rsidR="003B7027" w:rsidRPr="0028514E" w:rsidRDefault="00F203AD" w:rsidP="006E5F9A">
      <w:pPr>
        <w:pStyle w:val="a4"/>
        <w:ind w:left="0"/>
      </w:pPr>
      <w:r>
        <w:t>Avtozmaa</w:t>
      </w:r>
      <w:r w:rsidRPr="0028514E" w:rsidDel="00F203AD">
        <w:t xml:space="preserve"> </w:t>
      </w:r>
      <w:r w:rsidR="00296A74" w:rsidRPr="0028514E">
        <w:t>voidaan käyttää yksinään tai yhdistelmänä metotreksaatin kanssa.</w:t>
      </w:r>
    </w:p>
    <w:p w14:paraId="00116E83" w14:textId="77777777" w:rsidR="003B7027" w:rsidRPr="0028514E" w:rsidRDefault="003B7027" w:rsidP="006E5F9A">
      <w:pPr>
        <w:pStyle w:val="a4"/>
        <w:ind w:left="0"/>
      </w:pPr>
    </w:p>
    <w:p w14:paraId="37C952EF" w14:textId="77777777" w:rsidR="003B7027" w:rsidRPr="00CA43F5" w:rsidRDefault="00296A74" w:rsidP="006E5F9A">
      <w:pPr>
        <w:rPr>
          <w:i/>
          <w:lang w:val="fi-FI"/>
        </w:rPr>
      </w:pPr>
      <w:r w:rsidRPr="00CA43F5">
        <w:rPr>
          <w:i/>
          <w:lang w:val="fi-FI"/>
        </w:rPr>
        <w:t>Yleisoireista lastenreumaa sairastavat potilaat</w:t>
      </w:r>
    </w:p>
    <w:p w14:paraId="417F6F45" w14:textId="7AFFC4A4" w:rsidR="003B7027" w:rsidRPr="0028514E" w:rsidRDefault="00296A74" w:rsidP="006E5F9A">
      <w:pPr>
        <w:pStyle w:val="a4"/>
        <w:ind w:left="0"/>
      </w:pPr>
      <w:r w:rsidRPr="0028514E">
        <w:t>Yli 1-vuotiaille potilaille suositeltu annostus on 162 mg ihon alle kerran viikossa, jos potilas painaa vähintään 30 kg, tai 162 mg ihon alle kerran kahdessa viikossa, jos potilas painaa alle 30 kg.</w:t>
      </w:r>
      <w:r w:rsidR="008A3DEA" w:rsidRPr="0028514E">
        <w:t xml:space="preserve"> </w:t>
      </w:r>
      <w:r w:rsidRPr="0028514E">
        <w:t xml:space="preserve">Lapsipotilaiden painon on oltava vähintään 10 kg, jotta heille voidaan antaa </w:t>
      </w:r>
      <w:r w:rsidR="00F203AD">
        <w:t>Avtozma</w:t>
      </w:r>
      <w:r w:rsidRPr="0028514E">
        <w:t>-hoitoa.</w:t>
      </w:r>
    </w:p>
    <w:p w14:paraId="50DC8661" w14:textId="77777777" w:rsidR="003B7027" w:rsidRPr="0028514E" w:rsidRDefault="003B7027" w:rsidP="006E5F9A">
      <w:pPr>
        <w:pStyle w:val="a4"/>
        <w:ind w:left="0"/>
      </w:pPr>
    </w:p>
    <w:p w14:paraId="371C08B0" w14:textId="77777777" w:rsidR="003B7027" w:rsidRPr="00CA43F5" w:rsidRDefault="00296A74" w:rsidP="006E5F9A">
      <w:pPr>
        <w:rPr>
          <w:i/>
          <w:lang w:val="fi-FI"/>
        </w:rPr>
      </w:pPr>
      <w:r w:rsidRPr="00CA43F5">
        <w:rPr>
          <w:i/>
          <w:lang w:val="fi-FI"/>
        </w:rPr>
        <w:t>Lasten polyartriittia sairastavat potilaat:</w:t>
      </w:r>
    </w:p>
    <w:p w14:paraId="49860C6C" w14:textId="77777777" w:rsidR="003B7027" w:rsidRPr="0028514E" w:rsidRDefault="00296A74" w:rsidP="006E5F9A">
      <w:pPr>
        <w:pStyle w:val="a4"/>
        <w:ind w:left="0"/>
      </w:pPr>
      <w:r w:rsidRPr="0028514E">
        <w:t>Yli 2-vuotiaille potilaille suositeltu annostus on 162 mg ihon alle kerran kahdessa viikossa, jos potilas painaa vähintään 30 kg, tai 162 mg ihon alle kerran kolmessa viikossa, jos potilas painaa alle 30 kg.</w:t>
      </w:r>
    </w:p>
    <w:p w14:paraId="369765D3" w14:textId="77777777" w:rsidR="001A2F77" w:rsidRPr="0028514E" w:rsidRDefault="001A2F77" w:rsidP="006E5F9A">
      <w:pPr>
        <w:pStyle w:val="a4"/>
        <w:ind w:left="0"/>
        <w:rPr>
          <w:u w:val="single"/>
        </w:rPr>
      </w:pPr>
    </w:p>
    <w:p w14:paraId="692A1A47" w14:textId="77777777" w:rsidR="003B7027" w:rsidRPr="0028514E" w:rsidRDefault="00296A74" w:rsidP="006E5F9A">
      <w:pPr>
        <w:pStyle w:val="a4"/>
        <w:ind w:left="0"/>
      </w:pPr>
      <w:r w:rsidRPr="0028514E">
        <w:rPr>
          <w:u w:val="single"/>
        </w:rPr>
        <w:t>Annosmuutokset laboratoriotulosten poikkeavuuksien vuoksi (yleisoireinen lastenreuma ja lasten</w:t>
      </w:r>
      <w:r w:rsidRPr="0028514E">
        <w:t xml:space="preserve"> </w:t>
      </w:r>
      <w:r w:rsidRPr="0028514E">
        <w:rPr>
          <w:u w:val="single"/>
        </w:rPr>
        <w:t>polyartriitti)</w:t>
      </w:r>
    </w:p>
    <w:p w14:paraId="0F3F12B4" w14:textId="77777777" w:rsidR="003B7027" w:rsidRPr="0028514E" w:rsidRDefault="003B7027" w:rsidP="006E5F9A">
      <w:pPr>
        <w:pStyle w:val="a4"/>
        <w:ind w:left="0"/>
      </w:pPr>
    </w:p>
    <w:p w14:paraId="01BD2F01" w14:textId="77777777" w:rsidR="003B7027" w:rsidRPr="0028514E" w:rsidRDefault="00296A74" w:rsidP="006E5F9A">
      <w:pPr>
        <w:pStyle w:val="a4"/>
        <w:ind w:left="0"/>
      </w:pPr>
      <w:r w:rsidRPr="0028514E">
        <w:t>Samanaikaisesti annetun MTX:n ja/tai muiden lääkkeiden annoksia on tarvittaessa muutettava tai annostus on lopetettava ja tosilitsumabin antaminen on keskeytettävä, kunnes potilaan kliininen tila on selvitetty. Koska monet samanaikaiset sairaudet voivat vaikuttaa yleisoireista lastenreumaa tai polyartriittia sairastavien potilaiden laboratorioarvoihin, päätöksen tosilitsumabihoidon lopettamisesta poikkeavien laboratorioarvojen vuoksi on perustuttava yksittäisen potilaan lääketieteelliseen arviointiin.</w:t>
      </w:r>
    </w:p>
    <w:p w14:paraId="51C0E1E6" w14:textId="77777777" w:rsidR="003B7027" w:rsidRPr="009E78E1" w:rsidRDefault="003B7027" w:rsidP="006E5F9A">
      <w:pPr>
        <w:pStyle w:val="a4"/>
        <w:ind w:left="0"/>
      </w:pPr>
    </w:p>
    <w:p w14:paraId="6FA718A9" w14:textId="77777777" w:rsidR="003B7027" w:rsidRPr="009E78E1" w:rsidRDefault="00296A74" w:rsidP="009E78E1">
      <w:pPr>
        <w:pStyle w:val="a"/>
      </w:pPr>
      <w:r w:rsidRPr="009E78E1">
        <w:t>Poikkeavat maksaentsyymit</w:t>
      </w:r>
    </w:p>
    <w:p w14:paraId="7869EFA5" w14:textId="77777777" w:rsidR="003B7027" w:rsidRPr="0028514E" w:rsidRDefault="003B7027" w:rsidP="006E5F9A">
      <w:pPr>
        <w:pStyle w:val="a4"/>
        <w:ind w:left="0"/>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44"/>
        <w:gridCol w:w="7056"/>
      </w:tblGrid>
      <w:tr w:rsidR="003B7027" w:rsidRPr="00777B93" w14:paraId="52C8D59C" w14:textId="77777777" w:rsidTr="00A71F3E">
        <w:trPr>
          <w:cantSplit/>
          <w:trHeight w:val="20"/>
          <w:tblHeader/>
        </w:trPr>
        <w:tc>
          <w:tcPr>
            <w:tcW w:w="1944" w:type="dxa"/>
          </w:tcPr>
          <w:p w14:paraId="131B8EA5" w14:textId="77777777" w:rsidR="003B7027" w:rsidRPr="005F554F" w:rsidRDefault="00296A74" w:rsidP="006E5F9A">
            <w:pPr>
              <w:pStyle w:val="TableParagraph"/>
              <w:jc w:val="center"/>
              <w:rPr>
                <w:bCs/>
              </w:rPr>
            </w:pPr>
            <w:r w:rsidRPr="005F554F">
              <w:rPr>
                <w:bCs/>
              </w:rPr>
              <w:t>Laboratorioarvo</w:t>
            </w:r>
          </w:p>
        </w:tc>
        <w:tc>
          <w:tcPr>
            <w:tcW w:w="7056" w:type="dxa"/>
          </w:tcPr>
          <w:p w14:paraId="233C139B" w14:textId="77777777" w:rsidR="003B7027" w:rsidRPr="005F554F" w:rsidRDefault="00296A74" w:rsidP="006E5F9A">
            <w:pPr>
              <w:pStyle w:val="TableParagraph"/>
              <w:jc w:val="center"/>
              <w:rPr>
                <w:bCs/>
              </w:rPr>
            </w:pPr>
            <w:r w:rsidRPr="005F554F">
              <w:rPr>
                <w:bCs/>
              </w:rPr>
              <w:t>Toimenpide</w:t>
            </w:r>
          </w:p>
        </w:tc>
      </w:tr>
      <w:tr w:rsidR="003B7027" w:rsidRPr="00ED6BAC" w14:paraId="70A46192" w14:textId="77777777" w:rsidTr="00DE1F8E">
        <w:trPr>
          <w:trHeight w:val="20"/>
        </w:trPr>
        <w:tc>
          <w:tcPr>
            <w:tcW w:w="1944" w:type="dxa"/>
          </w:tcPr>
          <w:p w14:paraId="7DB79344" w14:textId="77777777" w:rsidR="003B7027" w:rsidRPr="0028514E" w:rsidRDefault="00296A74" w:rsidP="006E5F9A">
            <w:pPr>
              <w:pStyle w:val="TableParagraph"/>
            </w:pPr>
            <w:r w:rsidRPr="0028514E">
              <w:t>&gt; 1–3 x viitevälin yläraja</w:t>
            </w:r>
          </w:p>
          <w:p w14:paraId="0699907E" w14:textId="77777777" w:rsidR="003B7027" w:rsidRPr="00CA43F5" w:rsidRDefault="00296A74" w:rsidP="006E5F9A">
            <w:pPr>
              <w:pStyle w:val="TableParagraph"/>
              <w:tabs>
                <w:tab w:val="left" w:pos="1564"/>
              </w:tabs>
              <w:rPr>
                <w:lang w:val="en-US"/>
              </w:rPr>
            </w:pPr>
            <w:r w:rsidRPr="00CA43F5">
              <w:rPr>
                <w:lang w:val="en-US"/>
              </w:rPr>
              <w:t>(Upper Limit of Normal</w:t>
            </w:r>
            <w:r w:rsidR="001A2F77" w:rsidRPr="00CA43F5">
              <w:rPr>
                <w:lang w:val="en-US"/>
              </w:rPr>
              <w:t xml:space="preserve"> </w:t>
            </w:r>
            <w:r w:rsidRPr="00CA43F5">
              <w:rPr>
                <w:lang w:val="en-US"/>
              </w:rPr>
              <w:t xml:space="preserve">= </w:t>
            </w:r>
            <w:proofErr w:type="spellStart"/>
            <w:r w:rsidRPr="00CA43F5">
              <w:rPr>
                <w:lang w:val="en-US"/>
              </w:rPr>
              <w:t>viitevälin</w:t>
            </w:r>
            <w:proofErr w:type="spellEnd"/>
            <w:r w:rsidRPr="00CA43F5">
              <w:rPr>
                <w:lang w:val="en-US"/>
              </w:rPr>
              <w:t xml:space="preserve"> </w:t>
            </w:r>
            <w:proofErr w:type="spellStart"/>
            <w:r w:rsidRPr="00CA43F5">
              <w:rPr>
                <w:lang w:val="en-US"/>
              </w:rPr>
              <w:t>yläraja</w:t>
            </w:r>
            <w:proofErr w:type="spellEnd"/>
            <w:r w:rsidRPr="00CA43F5">
              <w:rPr>
                <w:lang w:val="en-US"/>
              </w:rPr>
              <w:t>)</w:t>
            </w:r>
          </w:p>
        </w:tc>
        <w:tc>
          <w:tcPr>
            <w:tcW w:w="7056" w:type="dxa"/>
          </w:tcPr>
          <w:p w14:paraId="4C48DDC2" w14:textId="77777777" w:rsidR="003B7027" w:rsidRPr="0028514E" w:rsidRDefault="00296A74" w:rsidP="006E5F9A">
            <w:pPr>
              <w:pStyle w:val="TableParagraph"/>
            </w:pPr>
            <w:r w:rsidRPr="0028514E">
              <w:t>Muuta samanaikaisesti annettu MTX-annos, jos tarkoituksenmukaista.</w:t>
            </w:r>
          </w:p>
          <w:p w14:paraId="227026DB" w14:textId="77777777" w:rsidR="001A2F77" w:rsidRPr="0028514E" w:rsidRDefault="001A2F77" w:rsidP="006E5F9A">
            <w:pPr>
              <w:pStyle w:val="TableParagraph"/>
            </w:pPr>
          </w:p>
          <w:p w14:paraId="438F6F0F" w14:textId="4127B832" w:rsidR="003B7027" w:rsidRPr="0028514E" w:rsidRDefault="00296A74" w:rsidP="006E5F9A">
            <w:pPr>
              <w:pStyle w:val="TableParagraph"/>
            </w:pPr>
            <w:r w:rsidRPr="0028514E">
              <w:t xml:space="preserve">Jos arvon nousu on pitkäaikaista, keskeytä </w:t>
            </w:r>
            <w:r w:rsidR="00F203AD">
              <w:t>Avtozma</w:t>
            </w:r>
            <w:r w:rsidRPr="0028514E">
              <w:t>-hoito, kunnes ALAT- (alaniiniaminotransferaasi) ja ASAT (aspartaattiaminotransferaasi)-arvot ovat normalisoituneet.</w:t>
            </w:r>
          </w:p>
        </w:tc>
      </w:tr>
      <w:tr w:rsidR="003B7027" w:rsidRPr="00BB5A61" w14:paraId="49D9E7FC" w14:textId="77777777" w:rsidTr="00DE1F8E">
        <w:trPr>
          <w:trHeight w:val="20"/>
        </w:trPr>
        <w:tc>
          <w:tcPr>
            <w:tcW w:w="1944" w:type="dxa"/>
          </w:tcPr>
          <w:p w14:paraId="6D40170C" w14:textId="77777777" w:rsidR="003B7027" w:rsidRPr="0028514E" w:rsidRDefault="00296A74" w:rsidP="006E5F9A">
            <w:pPr>
              <w:pStyle w:val="TableParagraph"/>
            </w:pPr>
            <w:r w:rsidRPr="0028514E">
              <w:t>&gt; 3 x viitevälin yläraja –</w:t>
            </w:r>
            <w:r w:rsidR="001A2F77" w:rsidRPr="0028514E">
              <w:t xml:space="preserve"> </w:t>
            </w:r>
            <w:r w:rsidRPr="0028514E">
              <w:t>5 x viitevälin yläraja</w:t>
            </w:r>
          </w:p>
        </w:tc>
        <w:tc>
          <w:tcPr>
            <w:tcW w:w="7056" w:type="dxa"/>
          </w:tcPr>
          <w:p w14:paraId="4EC10EAF" w14:textId="77777777" w:rsidR="003B7027" w:rsidRPr="0028514E" w:rsidRDefault="00296A74" w:rsidP="006E5F9A">
            <w:pPr>
              <w:pStyle w:val="TableParagraph"/>
            </w:pPr>
            <w:r w:rsidRPr="0028514E">
              <w:t>Muuta samanaikaisesti annettu MTX-annos, jos tarkoituksenmukaista.</w:t>
            </w:r>
          </w:p>
          <w:p w14:paraId="5F5D3BFE" w14:textId="77777777" w:rsidR="001A2F77" w:rsidRPr="0028514E" w:rsidRDefault="001A2F77" w:rsidP="006E5F9A">
            <w:pPr>
              <w:pStyle w:val="TableParagraph"/>
            </w:pPr>
          </w:p>
          <w:p w14:paraId="16D3791C" w14:textId="2BD2304E" w:rsidR="003B7027" w:rsidRPr="0028514E" w:rsidRDefault="00296A74" w:rsidP="006E5F9A">
            <w:pPr>
              <w:pStyle w:val="TableParagraph"/>
            </w:pPr>
            <w:r w:rsidRPr="0028514E">
              <w:lastRenderedPageBreak/>
              <w:t xml:space="preserve">Keskeytä </w:t>
            </w:r>
            <w:r w:rsidR="00F203AD">
              <w:t>Avtozma</w:t>
            </w:r>
            <w:r w:rsidRPr="0028514E">
              <w:t>-hoito, kunnes arvo on &lt; 3 x viitevälin yläraja ja noudata yllä annettuja suosituksia arvolle &gt; 1– 3 x viitevälin yläraja.</w:t>
            </w:r>
          </w:p>
        </w:tc>
      </w:tr>
      <w:tr w:rsidR="003B7027" w:rsidRPr="00BB5A61" w14:paraId="528BCE08" w14:textId="77777777" w:rsidTr="00A71F3E">
        <w:trPr>
          <w:cantSplit/>
          <w:trHeight w:val="20"/>
        </w:trPr>
        <w:tc>
          <w:tcPr>
            <w:tcW w:w="1944" w:type="dxa"/>
          </w:tcPr>
          <w:p w14:paraId="47A58CF5" w14:textId="77777777" w:rsidR="003B7027" w:rsidRPr="0028514E" w:rsidRDefault="00296A74" w:rsidP="006E5F9A">
            <w:pPr>
              <w:pStyle w:val="TableParagraph"/>
            </w:pPr>
            <w:r w:rsidRPr="0028514E">
              <w:lastRenderedPageBreak/>
              <w:t>&gt; 5 x viitevälin yläraja</w:t>
            </w:r>
          </w:p>
        </w:tc>
        <w:tc>
          <w:tcPr>
            <w:tcW w:w="7056" w:type="dxa"/>
          </w:tcPr>
          <w:p w14:paraId="351D67C0" w14:textId="3993E785" w:rsidR="003B7027" w:rsidRPr="0028514E" w:rsidRDefault="00296A74" w:rsidP="006E5F9A">
            <w:pPr>
              <w:pStyle w:val="TableParagraph"/>
            </w:pPr>
            <w:r w:rsidRPr="0028514E">
              <w:t xml:space="preserve">Lopeta </w:t>
            </w:r>
            <w:r w:rsidR="00F203AD">
              <w:t>Avtozma</w:t>
            </w:r>
            <w:r w:rsidRPr="0028514E">
              <w:t>-hoito.</w:t>
            </w:r>
          </w:p>
          <w:p w14:paraId="4421F4EF" w14:textId="77777777" w:rsidR="001A2F77" w:rsidRPr="0028514E" w:rsidRDefault="001A2F77" w:rsidP="006E5F9A">
            <w:pPr>
              <w:pStyle w:val="TableParagraph"/>
            </w:pPr>
          </w:p>
          <w:p w14:paraId="65BE59E7" w14:textId="7A25A238" w:rsidR="003B7027" w:rsidRPr="0028514E" w:rsidRDefault="00296A74" w:rsidP="006E5F9A">
            <w:pPr>
              <w:pStyle w:val="TableParagraph"/>
            </w:pPr>
            <w:r w:rsidRPr="0028514E">
              <w:t xml:space="preserve">Päätöksen </w:t>
            </w:r>
            <w:r w:rsidR="00F203AD">
              <w:t>Avtozma</w:t>
            </w:r>
            <w:r w:rsidRPr="0028514E">
              <w:t>-hoidon lopettamisesta yleisoireista lastenreumaa tai polyartriittia sairastavilla potilailla poikkeavien laboratorioarvojen vuoksi on perustuttava yksittäisen potilaan lääketieteelliseen arviointiin.</w:t>
            </w:r>
          </w:p>
        </w:tc>
      </w:tr>
    </w:tbl>
    <w:p w14:paraId="586BDDF3" w14:textId="44E6BBA1" w:rsidR="001A2F77" w:rsidRPr="0028514E" w:rsidRDefault="001A2F77" w:rsidP="006E5F9A">
      <w:pPr>
        <w:tabs>
          <w:tab w:val="left" w:pos="1751"/>
        </w:tabs>
        <w:rPr>
          <w:rFonts w:ascii="Symbol" w:eastAsia="Symbol" w:hAnsi="Symbol" w:cs="Symbol"/>
          <w:lang w:val="fi-FI" w:eastAsia="ko-KR"/>
        </w:rPr>
      </w:pPr>
    </w:p>
    <w:p w14:paraId="3D2E9356" w14:textId="77777777" w:rsidR="003B7027" w:rsidRPr="0028514E" w:rsidRDefault="00296A74" w:rsidP="009E78E1">
      <w:pPr>
        <w:pStyle w:val="a"/>
      </w:pPr>
      <w:r w:rsidRPr="0028514E">
        <w:t>Matala absoluuttinen neutrofiilien määrä (ANC)</w:t>
      </w:r>
    </w:p>
    <w:p w14:paraId="3ED71ED6" w14:textId="77777777" w:rsidR="003B7027" w:rsidRPr="0028514E" w:rsidRDefault="003B7027" w:rsidP="006E5F9A">
      <w:pPr>
        <w:pStyle w:val="a4"/>
        <w:ind w:left="0"/>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070"/>
        <w:gridCol w:w="6930"/>
      </w:tblGrid>
      <w:tr w:rsidR="003B7027" w:rsidRPr="00777B93" w14:paraId="770269D0" w14:textId="77777777" w:rsidTr="00DE1F8E">
        <w:trPr>
          <w:trHeight w:val="20"/>
          <w:tblHeader/>
        </w:trPr>
        <w:tc>
          <w:tcPr>
            <w:tcW w:w="2070" w:type="dxa"/>
          </w:tcPr>
          <w:p w14:paraId="5DC6D45A" w14:textId="77777777" w:rsidR="003B7027" w:rsidRPr="005F554F" w:rsidRDefault="00296A74" w:rsidP="006E5F9A">
            <w:pPr>
              <w:pStyle w:val="TableParagraph"/>
              <w:jc w:val="center"/>
              <w:rPr>
                <w:bCs/>
              </w:rPr>
            </w:pPr>
            <w:r w:rsidRPr="005F554F">
              <w:rPr>
                <w:bCs/>
              </w:rPr>
              <w:t>Laboratorioarvo (solumäärä</w:t>
            </w:r>
            <w:r w:rsidR="001A2F77" w:rsidRPr="005F554F">
              <w:rPr>
                <w:bCs/>
              </w:rPr>
              <w:t xml:space="preserve"> </w:t>
            </w:r>
            <w:r w:rsidRPr="005F554F">
              <w:rPr>
                <w:bCs/>
              </w:rPr>
              <w:t>x 10</w:t>
            </w:r>
            <w:r w:rsidRPr="005F554F">
              <w:rPr>
                <w:bCs/>
                <w:vertAlign w:val="superscript"/>
              </w:rPr>
              <w:t>9</w:t>
            </w:r>
            <w:r w:rsidRPr="005F554F">
              <w:rPr>
                <w:bCs/>
              </w:rPr>
              <w:t>/l )</w:t>
            </w:r>
          </w:p>
        </w:tc>
        <w:tc>
          <w:tcPr>
            <w:tcW w:w="6930" w:type="dxa"/>
          </w:tcPr>
          <w:p w14:paraId="2FCD6E04" w14:textId="77777777" w:rsidR="003B7027" w:rsidRPr="005F554F" w:rsidRDefault="00296A74" w:rsidP="006E5F9A">
            <w:pPr>
              <w:pStyle w:val="TableParagraph"/>
              <w:jc w:val="center"/>
              <w:rPr>
                <w:bCs/>
              </w:rPr>
            </w:pPr>
            <w:r w:rsidRPr="005F554F">
              <w:rPr>
                <w:bCs/>
              </w:rPr>
              <w:t>Toimenpide</w:t>
            </w:r>
          </w:p>
        </w:tc>
      </w:tr>
      <w:tr w:rsidR="003B7027" w:rsidRPr="00777B93" w14:paraId="6F65F35A" w14:textId="77777777" w:rsidTr="00DE1F8E">
        <w:trPr>
          <w:trHeight w:val="20"/>
        </w:trPr>
        <w:tc>
          <w:tcPr>
            <w:tcW w:w="2070" w:type="dxa"/>
          </w:tcPr>
          <w:p w14:paraId="32A25304" w14:textId="77777777" w:rsidR="003B7027" w:rsidRPr="0028514E" w:rsidRDefault="00296A74" w:rsidP="006E5F9A">
            <w:pPr>
              <w:pStyle w:val="TableParagraph"/>
            </w:pPr>
            <w:r w:rsidRPr="0028514E">
              <w:t>ANC &gt; 1</w:t>
            </w:r>
          </w:p>
        </w:tc>
        <w:tc>
          <w:tcPr>
            <w:tcW w:w="6930" w:type="dxa"/>
          </w:tcPr>
          <w:p w14:paraId="18577D13" w14:textId="77777777" w:rsidR="003B7027" w:rsidRPr="0028514E" w:rsidRDefault="00296A74" w:rsidP="006E5F9A">
            <w:pPr>
              <w:pStyle w:val="TableParagraph"/>
            </w:pPr>
            <w:r w:rsidRPr="0028514E">
              <w:t>Jatka samalla annoksella.</w:t>
            </w:r>
          </w:p>
        </w:tc>
      </w:tr>
      <w:tr w:rsidR="003B7027" w:rsidRPr="00ED6BAC" w14:paraId="483B5CD1" w14:textId="77777777" w:rsidTr="00DE1F8E">
        <w:trPr>
          <w:trHeight w:val="20"/>
        </w:trPr>
        <w:tc>
          <w:tcPr>
            <w:tcW w:w="2070" w:type="dxa"/>
          </w:tcPr>
          <w:p w14:paraId="3535BF67" w14:textId="77777777" w:rsidR="003B7027" w:rsidRPr="0028514E" w:rsidRDefault="00296A74" w:rsidP="006E5F9A">
            <w:pPr>
              <w:pStyle w:val="TableParagraph"/>
              <w:keepNext/>
            </w:pPr>
            <w:r w:rsidRPr="0028514E">
              <w:t>ANC 0,5–1</w:t>
            </w:r>
          </w:p>
        </w:tc>
        <w:tc>
          <w:tcPr>
            <w:tcW w:w="6930" w:type="dxa"/>
          </w:tcPr>
          <w:p w14:paraId="69FCA80F" w14:textId="10CD346F" w:rsidR="003B7027" w:rsidRPr="0028514E" w:rsidRDefault="00296A74" w:rsidP="006E5F9A">
            <w:pPr>
              <w:pStyle w:val="TableParagraph"/>
              <w:keepNext/>
            </w:pPr>
            <w:r w:rsidRPr="0028514E">
              <w:t xml:space="preserve">Keskeytä </w:t>
            </w:r>
            <w:r w:rsidR="00F203AD">
              <w:t>Avtozma</w:t>
            </w:r>
            <w:r w:rsidRPr="0028514E">
              <w:t>-hoito.</w:t>
            </w:r>
          </w:p>
          <w:p w14:paraId="1CC838E5" w14:textId="2B6143FE" w:rsidR="003B7027" w:rsidRPr="0028514E" w:rsidRDefault="00296A74" w:rsidP="006E5F9A">
            <w:pPr>
              <w:pStyle w:val="TableParagraph"/>
              <w:keepNext/>
            </w:pPr>
            <w:r w:rsidRPr="0028514E">
              <w:t>Kun ANC nousee &gt; 1 x 10</w:t>
            </w:r>
            <w:r w:rsidRPr="0028514E">
              <w:rPr>
                <w:vertAlign w:val="superscript"/>
              </w:rPr>
              <w:t>9</w:t>
            </w:r>
            <w:r w:rsidRPr="0028514E">
              <w:t xml:space="preserve">/l, aloita </w:t>
            </w:r>
            <w:r w:rsidR="00F203AD">
              <w:t>Avtozma</w:t>
            </w:r>
            <w:r w:rsidRPr="0028514E">
              <w:t>-hoito uudelleen.</w:t>
            </w:r>
          </w:p>
        </w:tc>
      </w:tr>
      <w:tr w:rsidR="003B7027" w:rsidRPr="00BB5A61" w14:paraId="7B35720A" w14:textId="77777777" w:rsidTr="00DE1F8E">
        <w:trPr>
          <w:trHeight w:val="20"/>
        </w:trPr>
        <w:tc>
          <w:tcPr>
            <w:tcW w:w="2070" w:type="dxa"/>
          </w:tcPr>
          <w:p w14:paraId="28649D89" w14:textId="77777777" w:rsidR="003B7027" w:rsidRPr="0028514E" w:rsidRDefault="00296A74" w:rsidP="006E5F9A">
            <w:pPr>
              <w:pStyle w:val="TableParagraph"/>
            </w:pPr>
            <w:r w:rsidRPr="0028514E">
              <w:t>ANC &lt; 0,5</w:t>
            </w:r>
          </w:p>
        </w:tc>
        <w:tc>
          <w:tcPr>
            <w:tcW w:w="6930" w:type="dxa"/>
          </w:tcPr>
          <w:p w14:paraId="36FC61EB" w14:textId="4D7A2D8E" w:rsidR="003B7027" w:rsidRPr="0028514E" w:rsidRDefault="00296A74" w:rsidP="006E5F9A">
            <w:pPr>
              <w:pStyle w:val="TableParagraph"/>
            </w:pPr>
            <w:r w:rsidRPr="0028514E">
              <w:t xml:space="preserve">Lopeta </w:t>
            </w:r>
            <w:r w:rsidR="00F203AD">
              <w:t>Avtozma</w:t>
            </w:r>
            <w:r w:rsidRPr="0028514E">
              <w:t>-hoito.</w:t>
            </w:r>
          </w:p>
          <w:p w14:paraId="0B454359" w14:textId="633288F6" w:rsidR="003B7027" w:rsidRPr="0028514E" w:rsidRDefault="00296A74" w:rsidP="006E5F9A">
            <w:pPr>
              <w:pStyle w:val="TableParagraph"/>
            </w:pPr>
            <w:r w:rsidRPr="0028514E">
              <w:t xml:space="preserve">Päätöksen </w:t>
            </w:r>
            <w:r w:rsidR="00F203AD">
              <w:t>Avtozma</w:t>
            </w:r>
            <w:r w:rsidRPr="0028514E">
              <w:t>-hoidon lopettamisesta yleisoireista lastenreumaa tai polyartriittia sairastavilla potilailla poikkeavien laboratorioarvojen vuoksi on perustuttava yksittäisen potilaan lääketieteelliseen arviointiin.</w:t>
            </w:r>
          </w:p>
        </w:tc>
      </w:tr>
    </w:tbl>
    <w:p w14:paraId="4C64D920" w14:textId="77777777" w:rsidR="001A2F77" w:rsidRPr="0028514E" w:rsidRDefault="001A2F77" w:rsidP="006E5F9A">
      <w:pPr>
        <w:tabs>
          <w:tab w:val="left" w:pos="1751"/>
        </w:tabs>
        <w:rPr>
          <w:rFonts w:ascii="Symbol" w:eastAsia="Symbol" w:hAnsi="Symbol" w:cs="Symbol"/>
          <w:lang w:val="fi-FI" w:eastAsia="en-US"/>
        </w:rPr>
      </w:pPr>
    </w:p>
    <w:p w14:paraId="53EA8541" w14:textId="77777777" w:rsidR="003B7027" w:rsidRPr="0028514E" w:rsidRDefault="00296A74" w:rsidP="009E78E1">
      <w:pPr>
        <w:pStyle w:val="a"/>
      </w:pPr>
      <w:r w:rsidRPr="0028514E">
        <w:t>Pieni trombosyyttien määrä</w:t>
      </w:r>
    </w:p>
    <w:p w14:paraId="6706E647" w14:textId="77777777" w:rsidR="003B7027" w:rsidRPr="0028514E" w:rsidRDefault="003B7027" w:rsidP="006E5F9A">
      <w:pPr>
        <w:pStyle w:val="a4"/>
        <w:ind w:left="0"/>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112"/>
        <w:gridCol w:w="6819"/>
      </w:tblGrid>
      <w:tr w:rsidR="003B7027" w:rsidRPr="00777B93" w14:paraId="66E14FFC" w14:textId="77777777" w:rsidTr="00DE1F8E">
        <w:trPr>
          <w:trHeight w:val="20"/>
        </w:trPr>
        <w:tc>
          <w:tcPr>
            <w:tcW w:w="2112" w:type="dxa"/>
          </w:tcPr>
          <w:p w14:paraId="0EBD1F91" w14:textId="77777777" w:rsidR="003B7027" w:rsidRPr="005F554F" w:rsidRDefault="00296A74" w:rsidP="006E5F9A">
            <w:pPr>
              <w:pStyle w:val="TableParagraph"/>
              <w:jc w:val="center"/>
              <w:rPr>
                <w:bCs/>
              </w:rPr>
            </w:pPr>
            <w:r w:rsidRPr="005F554F">
              <w:rPr>
                <w:bCs/>
              </w:rPr>
              <w:t>Laboratorioarvo (solumäärä x 10</w:t>
            </w:r>
            <w:r w:rsidRPr="005F554F">
              <w:rPr>
                <w:bCs/>
                <w:vertAlign w:val="superscript"/>
              </w:rPr>
              <w:t>3</w:t>
            </w:r>
            <w:r w:rsidRPr="005F554F">
              <w:rPr>
                <w:bCs/>
              </w:rPr>
              <w:t>/</w:t>
            </w:r>
            <w:r w:rsidR="005F554F" w:rsidRPr="00047089">
              <w:t>µ</w:t>
            </w:r>
            <w:r w:rsidRPr="005F554F">
              <w:rPr>
                <w:bCs/>
              </w:rPr>
              <w:t>l)</w:t>
            </w:r>
          </w:p>
        </w:tc>
        <w:tc>
          <w:tcPr>
            <w:tcW w:w="6819" w:type="dxa"/>
          </w:tcPr>
          <w:p w14:paraId="0870B520" w14:textId="77777777" w:rsidR="003B7027" w:rsidRPr="005F554F" w:rsidRDefault="00296A74" w:rsidP="006E5F9A">
            <w:pPr>
              <w:pStyle w:val="TableParagraph"/>
              <w:jc w:val="center"/>
              <w:rPr>
                <w:bCs/>
              </w:rPr>
            </w:pPr>
            <w:r w:rsidRPr="005F554F">
              <w:rPr>
                <w:bCs/>
              </w:rPr>
              <w:t>Toimenpide</w:t>
            </w:r>
          </w:p>
        </w:tc>
      </w:tr>
      <w:tr w:rsidR="003B7027" w:rsidRPr="00777B93" w14:paraId="31E4DBBC" w14:textId="77777777" w:rsidTr="00DE1F8E">
        <w:trPr>
          <w:trHeight w:val="20"/>
        </w:trPr>
        <w:tc>
          <w:tcPr>
            <w:tcW w:w="2112" w:type="dxa"/>
          </w:tcPr>
          <w:p w14:paraId="6CC65BB3" w14:textId="77777777" w:rsidR="003B7027" w:rsidRPr="0028514E" w:rsidRDefault="00296A74" w:rsidP="006E5F9A">
            <w:pPr>
              <w:pStyle w:val="TableParagraph"/>
            </w:pPr>
            <w:r w:rsidRPr="0028514E">
              <w:t>50–100</w:t>
            </w:r>
          </w:p>
        </w:tc>
        <w:tc>
          <w:tcPr>
            <w:tcW w:w="6819" w:type="dxa"/>
          </w:tcPr>
          <w:p w14:paraId="10B8C41D" w14:textId="77777777" w:rsidR="003B7027" w:rsidRPr="0028514E" w:rsidRDefault="00296A74" w:rsidP="006E5F9A">
            <w:pPr>
              <w:pStyle w:val="TableParagraph"/>
            </w:pPr>
            <w:r w:rsidRPr="0028514E">
              <w:t>Muuta samanaikaisesti annettu MTX-annos, jos tarkoituksenmukaista.</w:t>
            </w:r>
          </w:p>
          <w:p w14:paraId="1B48372C" w14:textId="24BD202F" w:rsidR="003B7027" w:rsidRPr="0028514E" w:rsidRDefault="00296A74" w:rsidP="006E5F9A">
            <w:pPr>
              <w:pStyle w:val="TableParagraph"/>
            </w:pPr>
            <w:r w:rsidRPr="0028514E">
              <w:t xml:space="preserve">Keskeytä </w:t>
            </w:r>
            <w:r w:rsidR="00F203AD">
              <w:t>Avtozma</w:t>
            </w:r>
            <w:r w:rsidRPr="0028514E">
              <w:t>-hoito.</w:t>
            </w:r>
          </w:p>
          <w:p w14:paraId="3C795406" w14:textId="77777777" w:rsidR="003B7027" w:rsidRPr="0028514E" w:rsidRDefault="00296A74" w:rsidP="006E5F9A">
            <w:pPr>
              <w:pStyle w:val="TableParagraph"/>
            </w:pPr>
            <w:r w:rsidRPr="0028514E">
              <w:t>Kun trombosyyttien määrä nousee &gt; 100 x 10</w:t>
            </w:r>
            <w:r w:rsidRPr="0028514E">
              <w:rPr>
                <w:vertAlign w:val="superscript"/>
              </w:rPr>
              <w:t>3</w:t>
            </w:r>
            <w:r w:rsidRPr="0028514E">
              <w:t>/μl, aloita</w:t>
            </w:r>
          </w:p>
          <w:p w14:paraId="15993722" w14:textId="06886440" w:rsidR="003B7027" w:rsidRPr="0028514E" w:rsidRDefault="00F203AD" w:rsidP="006E5F9A">
            <w:pPr>
              <w:pStyle w:val="TableParagraph"/>
            </w:pPr>
            <w:r>
              <w:t>Avtozma</w:t>
            </w:r>
            <w:r w:rsidR="00296A74" w:rsidRPr="0028514E">
              <w:t>-hoito uudelleen</w:t>
            </w:r>
          </w:p>
        </w:tc>
      </w:tr>
      <w:tr w:rsidR="003B7027" w:rsidRPr="00BB5A61" w14:paraId="45E4A5BA" w14:textId="77777777" w:rsidTr="00DE1F8E">
        <w:trPr>
          <w:trHeight w:val="20"/>
        </w:trPr>
        <w:tc>
          <w:tcPr>
            <w:tcW w:w="2112" w:type="dxa"/>
          </w:tcPr>
          <w:p w14:paraId="33CE809B" w14:textId="77777777" w:rsidR="003B7027" w:rsidRPr="0028514E" w:rsidRDefault="00296A74" w:rsidP="006E5F9A">
            <w:pPr>
              <w:pStyle w:val="TableParagraph"/>
            </w:pPr>
            <w:r w:rsidRPr="0028514E">
              <w:t>&lt; 50</w:t>
            </w:r>
          </w:p>
        </w:tc>
        <w:tc>
          <w:tcPr>
            <w:tcW w:w="6819" w:type="dxa"/>
          </w:tcPr>
          <w:p w14:paraId="142894D3" w14:textId="397A8F11" w:rsidR="003B7027" w:rsidRPr="0028514E" w:rsidRDefault="00296A74" w:rsidP="006E5F9A">
            <w:pPr>
              <w:pStyle w:val="TableParagraph"/>
            </w:pPr>
            <w:r w:rsidRPr="0028514E">
              <w:t xml:space="preserve">Lopeta </w:t>
            </w:r>
            <w:r w:rsidR="00F203AD">
              <w:t>Avtozma</w:t>
            </w:r>
            <w:r w:rsidRPr="0028514E">
              <w:t>-hoito.</w:t>
            </w:r>
          </w:p>
          <w:p w14:paraId="73E2264F" w14:textId="2DCF5246" w:rsidR="003B7027" w:rsidRPr="0028514E" w:rsidRDefault="00296A74" w:rsidP="006E5F9A">
            <w:pPr>
              <w:pStyle w:val="TableParagraph"/>
            </w:pPr>
            <w:r w:rsidRPr="0028514E">
              <w:t xml:space="preserve">Päätöksen </w:t>
            </w:r>
            <w:r w:rsidR="00F203AD">
              <w:t>Avtozma</w:t>
            </w:r>
            <w:r w:rsidRPr="0028514E">
              <w:t>-hoidon lopettamisesta yleisoireista lastenreumaa tai polyartriittia sairastavilla potilailla poikkeavien laboratorioarvojen vuoksi on perustuttava yksittäisen potilaan lääketieteelliseen arviointiin.</w:t>
            </w:r>
          </w:p>
        </w:tc>
      </w:tr>
    </w:tbl>
    <w:p w14:paraId="6FB6A251" w14:textId="77777777" w:rsidR="001A2F77" w:rsidRPr="0028514E" w:rsidRDefault="001A2F77" w:rsidP="006E5F9A">
      <w:pPr>
        <w:pStyle w:val="a4"/>
        <w:ind w:left="0"/>
      </w:pPr>
    </w:p>
    <w:p w14:paraId="4C7DDDC8" w14:textId="77777777" w:rsidR="003B7027" w:rsidRPr="0028514E" w:rsidRDefault="00296A74" w:rsidP="006E5F9A">
      <w:pPr>
        <w:pStyle w:val="a4"/>
        <w:ind w:left="0"/>
      </w:pPr>
      <w:r w:rsidRPr="0028514E">
        <w:t>Tosilitsumabin antotiheyden harventamista poikkeavien laboratorioarvojen vuoksi ei ole tutkittu yleisoireista lastenreumaa tai polyartriittia sairastavilla potilailla.</w:t>
      </w:r>
    </w:p>
    <w:p w14:paraId="13B23247" w14:textId="77777777" w:rsidR="003B7027" w:rsidRPr="0028514E" w:rsidRDefault="003B7027" w:rsidP="006E5F9A">
      <w:pPr>
        <w:pStyle w:val="a4"/>
        <w:ind w:left="0"/>
      </w:pPr>
    </w:p>
    <w:p w14:paraId="363F817F" w14:textId="05940BC5" w:rsidR="003B7027" w:rsidRPr="0028514E" w:rsidRDefault="00F203AD" w:rsidP="006E5F9A">
      <w:pPr>
        <w:pStyle w:val="a4"/>
        <w:ind w:left="0"/>
      </w:pPr>
      <w:r>
        <w:t>Avtozman</w:t>
      </w:r>
      <w:r w:rsidRPr="0028514E" w:rsidDel="00F203AD">
        <w:t xml:space="preserve"> </w:t>
      </w:r>
      <w:r w:rsidR="00296A74" w:rsidRPr="0028514E">
        <w:t>ihon alle annettavan lääkemuodon turvallisuutta ja tehoa lapsille, jotka sairastavat jotakin muuta sairautta kuin yleisoireista lastenreumaa tai polyartriittia, ei ole tutkittu.</w:t>
      </w:r>
    </w:p>
    <w:p w14:paraId="3D57A55A" w14:textId="77777777" w:rsidR="001A2F77" w:rsidRPr="0028514E" w:rsidRDefault="001A2F77" w:rsidP="006E5F9A">
      <w:pPr>
        <w:pStyle w:val="a4"/>
        <w:ind w:left="0"/>
      </w:pPr>
    </w:p>
    <w:p w14:paraId="666F3AB8" w14:textId="373E3A18" w:rsidR="003B7027" w:rsidRPr="0028514E" w:rsidRDefault="00296A74" w:rsidP="006E5F9A">
      <w:pPr>
        <w:pStyle w:val="a4"/>
        <w:ind w:left="0"/>
      </w:pPr>
      <w:r w:rsidRPr="0028514E">
        <w:t xml:space="preserve">Laskimoon annettavasta lääkemuodosta saatavissa olevat tiedot viittaavat siihen, että kliinistä paranemista voidaan havaita 12 viikon kuluessa </w:t>
      </w:r>
      <w:r w:rsidR="002E6368">
        <w:t>Avtozma</w:t>
      </w:r>
      <w:r w:rsidR="00B36686" w:rsidRPr="0028514E">
        <w:t>i</w:t>
      </w:r>
      <w:r w:rsidRPr="0028514E">
        <w:t>hoidon aloittamisesta. Jos tämän ajanjakson kuluessa ei havaita tilan paranemista, hoidon jatkamista pitää harkita tarkoin uudelleen.</w:t>
      </w:r>
    </w:p>
    <w:p w14:paraId="542C9A8E" w14:textId="77777777" w:rsidR="001A2F77" w:rsidRPr="0028514E" w:rsidRDefault="001A2F77" w:rsidP="006E5F9A">
      <w:pPr>
        <w:pStyle w:val="a4"/>
        <w:ind w:left="0"/>
      </w:pPr>
    </w:p>
    <w:p w14:paraId="4E322123" w14:textId="77777777" w:rsidR="003B7027" w:rsidRPr="0028514E" w:rsidRDefault="00296A74" w:rsidP="006E5F9A">
      <w:pPr>
        <w:pStyle w:val="a4"/>
        <w:ind w:left="0"/>
      </w:pPr>
      <w:r w:rsidRPr="0028514E">
        <w:rPr>
          <w:u w:val="single"/>
        </w:rPr>
        <w:t>Annoksen unohtaminen</w:t>
      </w:r>
    </w:p>
    <w:p w14:paraId="742E169A" w14:textId="2160DFC2" w:rsidR="003B7027" w:rsidRPr="0028514E" w:rsidRDefault="00296A74" w:rsidP="006E5F9A">
      <w:pPr>
        <w:pStyle w:val="a4"/>
        <w:ind w:left="0"/>
      </w:pPr>
      <w:r w:rsidRPr="0028514E">
        <w:t xml:space="preserve">Jos yleisoireista lastenreumaa sairastavan potilaan ihon alle viikoittain annettava </w:t>
      </w:r>
      <w:r w:rsidR="00F203AD">
        <w:t>Avtozma</w:t>
      </w:r>
      <w:r w:rsidRPr="0028514E">
        <w:t xml:space="preserve">-pistos unohtuu eikä hoito-ohjelman mukaisesta antoajankohdasta ole kulunut yli 7 vuorokautta, potilasta pitää ohjeistaa ottamaan unohtunut annos tavanomaisen hoito-ohjelman seuraavana lääkkeenottoajankohtana. Jos potilas unohtaa ihon alle kerran kahdessa viikossa annettavan </w:t>
      </w:r>
      <w:r w:rsidR="00F203AD">
        <w:t>Avtozma</w:t>
      </w:r>
      <w:r w:rsidRPr="0028514E">
        <w:t>-pistoksen eikä hoito-ohjelman mukaisesta antoajankohdasta ole kulunut yli 7 vuorokautta, potilasta pitää ohjeistaa ottamaan unohtunut annos heti, kun sen unohtuminen huomataan, ja seuraava annos tavanomaisen hoito-ohjelman seuraavana lääkkeenottoajankohtana.</w:t>
      </w:r>
    </w:p>
    <w:p w14:paraId="2725F873" w14:textId="77777777" w:rsidR="001A2F77" w:rsidRPr="0028514E" w:rsidRDefault="001A2F77" w:rsidP="006E5F9A">
      <w:pPr>
        <w:pStyle w:val="a4"/>
        <w:ind w:left="0"/>
      </w:pPr>
    </w:p>
    <w:p w14:paraId="76B919D5" w14:textId="0E485624" w:rsidR="003B7027" w:rsidRPr="0028514E" w:rsidRDefault="00296A74" w:rsidP="006E5F9A">
      <w:pPr>
        <w:pStyle w:val="a4"/>
        <w:ind w:left="0"/>
      </w:pPr>
      <w:r w:rsidRPr="0028514E">
        <w:lastRenderedPageBreak/>
        <w:t xml:space="preserve">Jos lasten aktiivista polyartriittia sairastavan potilaan ihon alle annettava </w:t>
      </w:r>
      <w:r w:rsidR="00F203AD">
        <w:t>Avtozma</w:t>
      </w:r>
      <w:r w:rsidRPr="0028514E">
        <w:t xml:space="preserve">-pistos unohtuu eikä hoito-ohjelman mukaisesta antoajankohdasta ole kulunut yli 7 vuorokautta, potilaan on otettava unohtunut annos heti, kun sen unohtuminen huomataan, ja ottaa seuraava annos tavanomaisen hoito- ohjelman seuraavana lääkkeenottoajankohtana. Jos potilas unohtaa ihon alle annettavan </w:t>
      </w:r>
      <w:r w:rsidR="00F203AD">
        <w:t>Avtozma</w:t>
      </w:r>
      <w:r w:rsidRPr="0028514E">
        <w:t xml:space="preserve">-injektion ja aikataulun mukaisesta antoajankohdasta on kulunut yli 7 vuorokautta tai jos potilas on epävarma siitä, milloin </w:t>
      </w:r>
      <w:r w:rsidR="00F203AD">
        <w:t>Avtozma</w:t>
      </w:r>
      <w:r w:rsidRPr="0028514E">
        <w:t>-pistos pitää ottaa, hänen on otettava yhteyttä lääkäriin tai apteekkihenkilökuntaan.</w:t>
      </w:r>
    </w:p>
    <w:p w14:paraId="3620FA37" w14:textId="77777777" w:rsidR="003B7027" w:rsidRPr="0028514E" w:rsidRDefault="003B7027" w:rsidP="006E5F9A">
      <w:pPr>
        <w:pStyle w:val="a4"/>
        <w:ind w:left="0"/>
      </w:pPr>
    </w:p>
    <w:p w14:paraId="2A2BD0F2" w14:textId="77777777" w:rsidR="003B7027" w:rsidRPr="0028514E" w:rsidRDefault="00296A74" w:rsidP="006E5F9A">
      <w:pPr>
        <w:pStyle w:val="a4"/>
        <w:ind w:left="0"/>
      </w:pPr>
      <w:r w:rsidRPr="0028514E">
        <w:rPr>
          <w:u w:val="single"/>
        </w:rPr>
        <w:t>Antotapa</w:t>
      </w:r>
    </w:p>
    <w:p w14:paraId="6DFB99E5" w14:textId="081D48D9" w:rsidR="003B7027" w:rsidRPr="0028514E" w:rsidRDefault="00F203AD" w:rsidP="006E5F9A">
      <w:pPr>
        <w:pStyle w:val="a4"/>
        <w:ind w:left="0"/>
      </w:pPr>
      <w:r>
        <w:t>Avtozma</w:t>
      </w:r>
      <w:r w:rsidRPr="0028514E" w:rsidDel="00F203AD">
        <w:t xml:space="preserve"> </w:t>
      </w:r>
      <w:r w:rsidR="00296A74" w:rsidRPr="0028514E">
        <w:t>on tarkoitettu annettavaksi ihon alle.</w:t>
      </w:r>
    </w:p>
    <w:p w14:paraId="684BD90E" w14:textId="66804EEC" w:rsidR="003B7027" w:rsidRPr="0028514E" w:rsidRDefault="00296A74" w:rsidP="006E5F9A">
      <w:pPr>
        <w:pStyle w:val="a4"/>
        <w:ind w:left="0"/>
      </w:pPr>
      <w:r w:rsidRPr="0028514E">
        <w:t xml:space="preserve">Kun potilaalle on annettu riittävä opastus pistostekniikasta, potilas voi pistää </w:t>
      </w:r>
      <w:r w:rsidR="00F203AD">
        <w:t>Avtozman</w:t>
      </w:r>
      <w:r w:rsidR="00F203AD" w:rsidRPr="0028514E" w:rsidDel="00F203AD">
        <w:t xml:space="preserve"> </w:t>
      </w:r>
      <w:r w:rsidRPr="0028514E">
        <w:t>itse, jos lääkäri katsoo sen asianmukaiseksi. Esitäytetyn ruiskun koko sisältö (0,9 ml) pitää antaa injektiona ihon alle. Suositeltuja injektiokohtia (vatsa, reisi ja olkavarsi) pitää vaihdella eikä injektiota saa koskaan pistää luomiin, arpiin eikä ihoalueelle, jolla on aristusta, mustelmia, punoitusta, kovettuma tai iho ei ole ehjä.</w:t>
      </w:r>
    </w:p>
    <w:p w14:paraId="40D2D975" w14:textId="77777777" w:rsidR="001A2F77" w:rsidRPr="0028514E" w:rsidRDefault="001A2F77" w:rsidP="006E5F9A">
      <w:pPr>
        <w:pStyle w:val="a4"/>
        <w:ind w:left="0"/>
      </w:pPr>
    </w:p>
    <w:p w14:paraId="73ED4281" w14:textId="77777777" w:rsidR="003B7027" w:rsidRPr="0028514E" w:rsidRDefault="00296A74" w:rsidP="006E5F9A">
      <w:pPr>
        <w:pStyle w:val="a4"/>
        <w:ind w:left="0"/>
      </w:pPr>
      <w:r w:rsidRPr="0028514E">
        <w:t>Esitäytettyä ruiskua ei saa ravistaa.</w:t>
      </w:r>
    </w:p>
    <w:p w14:paraId="701D495E" w14:textId="77777777" w:rsidR="003B7027" w:rsidRPr="0028514E" w:rsidRDefault="003B7027" w:rsidP="006E5F9A">
      <w:pPr>
        <w:pStyle w:val="a4"/>
        <w:ind w:left="0"/>
      </w:pPr>
    </w:p>
    <w:p w14:paraId="2E949AC1" w14:textId="6360A65F" w:rsidR="003B7027" w:rsidRPr="0028514E" w:rsidRDefault="00296A74" w:rsidP="006E5F9A">
      <w:pPr>
        <w:pStyle w:val="a4"/>
        <w:ind w:left="0"/>
      </w:pPr>
      <w:r w:rsidRPr="0028514E">
        <w:t xml:space="preserve">Tarkemmat ohjeet </w:t>
      </w:r>
      <w:r w:rsidR="00F203AD">
        <w:t>Avtozman</w:t>
      </w:r>
      <w:r w:rsidR="00F203AD" w:rsidRPr="0028514E" w:rsidDel="00F203AD">
        <w:t xml:space="preserve"> </w:t>
      </w:r>
      <w:r w:rsidRPr="0028514E">
        <w:t>esitäytetyn ruiskun käyttöön on esitetty pakkausselosteessa. Ks. ohjeet kohdasta 6.6.</w:t>
      </w:r>
    </w:p>
    <w:p w14:paraId="16019E7B" w14:textId="77777777" w:rsidR="003B7027" w:rsidRPr="0028514E" w:rsidRDefault="003B7027" w:rsidP="006E5F9A">
      <w:pPr>
        <w:pStyle w:val="a4"/>
        <w:ind w:left="0"/>
      </w:pPr>
    </w:p>
    <w:p w14:paraId="57298948" w14:textId="77777777" w:rsidR="003B7027" w:rsidRPr="0028514E" w:rsidRDefault="00296A74" w:rsidP="006E5F9A">
      <w:pPr>
        <w:pStyle w:val="2"/>
      </w:pPr>
      <w:r w:rsidRPr="0028514E">
        <w:t>4.3</w:t>
      </w:r>
      <w:r w:rsidRPr="0028514E">
        <w:tab/>
        <w:t>Vasta-aiheet</w:t>
      </w:r>
    </w:p>
    <w:p w14:paraId="6F847CA0" w14:textId="77777777" w:rsidR="001A2F77" w:rsidRPr="0028514E" w:rsidRDefault="001A2F77" w:rsidP="001C1F69"/>
    <w:p w14:paraId="48ADEE6D" w14:textId="77777777" w:rsidR="001A2F77" w:rsidRPr="0028514E" w:rsidRDefault="00296A74" w:rsidP="006E5F9A">
      <w:pPr>
        <w:pStyle w:val="a4"/>
        <w:ind w:left="0"/>
      </w:pPr>
      <w:r w:rsidRPr="0028514E">
        <w:t>Yliherkkyys vaikuttavalle aineelle tai kohdassa 6.1 mainituille apuaineille.</w:t>
      </w:r>
    </w:p>
    <w:p w14:paraId="53A09F71" w14:textId="77777777" w:rsidR="001A2F77" w:rsidRPr="0028514E" w:rsidRDefault="001A2F77" w:rsidP="006E5F9A">
      <w:pPr>
        <w:pStyle w:val="a4"/>
        <w:ind w:left="0"/>
      </w:pPr>
    </w:p>
    <w:p w14:paraId="541195B4" w14:textId="77777777" w:rsidR="003B7027" w:rsidRPr="0028514E" w:rsidRDefault="00296A74" w:rsidP="006E5F9A">
      <w:pPr>
        <w:pStyle w:val="a4"/>
        <w:ind w:left="0"/>
      </w:pPr>
      <w:r w:rsidRPr="0028514E">
        <w:t>Aktiiviset vaikeat infektiot (ks. kohta 4.4).</w:t>
      </w:r>
    </w:p>
    <w:p w14:paraId="41A90A8F" w14:textId="77777777" w:rsidR="001A2F77" w:rsidRPr="0028514E" w:rsidRDefault="001A2F77" w:rsidP="006E5F9A">
      <w:pPr>
        <w:pStyle w:val="a4"/>
        <w:ind w:left="0"/>
      </w:pPr>
    </w:p>
    <w:p w14:paraId="0D06E692" w14:textId="77777777" w:rsidR="003B7027" w:rsidRPr="0028514E" w:rsidRDefault="00296A74" w:rsidP="006E5F9A">
      <w:pPr>
        <w:pStyle w:val="2"/>
      </w:pPr>
      <w:r w:rsidRPr="0028514E">
        <w:t>4.4</w:t>
      </w:r>
      <w:r w:rsidRPr="0028514E">
        <w:tab/>
        <w:t>Varoitukset ja käyttöön liittyvät varotoimet</w:t>
      </w:r>
    </w:p>
    <w:p w14:paraId="5CC8219D" w14:textId="77777777" w:rsidR="001A2F77" w:rsidRPr="009A3CB5" w:rsidRDefault="001A2F77" w:rsidP="001C1F69">
      <w:pPr>
        <w:rPr>
          <w:lang w:val="fi-FI"/>
        </w:rPr>
      </w:pPr>
    </w:p>
    <w:p w14:paraId="04BE752E" w14:textId="0DDB8745" w:rsidR="003B7027" w:rsidRPr="0028514E" w:rsidRDefault="00F203AD" w:rsidP="006E5F9A">
      <w:pPr>
        <w:pStyle w:val="a4"/>
        <w:ind w:left="0"/>
      </w:pPr>
      <w:r>
        <w:t>Avtozman</w:t>
      </w:r>
      <w:r w:rsidRPr="0028514E" w:rsidDel="00F203AD">
        <w:t xml:space="preserve"> </w:t>
      </w:r>
      <w:r w:rsidR="00296A74" w:rsidRPr="0028514E">
        <w:t>ihon alle annettava lääkemuoto ei ole tarkoitettu annettavaksi laskimoon.</w:t>
      </w:r>
    </w:p>
    <w:p w14:paraId="19A223D4" w14:textId="77777777" w:rsidR="003B7027" w:rsidRPr="0028514E" w:rsidRDefault="003B7027" w:rsidP="006E5F9A">
      <w:pPr>
        <w:pStyle w:val="a4"/>
        <w:ind w:left="0"/>
      </w:pPr>
    </w:p>
    <w:p w14:paraId="7C4545BE" w14:textId="39E1261A" w:rsidR="003B7027" w:rsidRPr="0028514E" w:rsidRDefault="00F203AD" w:rsidP="006E5F9A">
      <w:pPr>
        <w:pStyle w:val="a4"/>
        <w:ind w:left="0"/>
      </w:pPr>
      <w:r>
        <w:t>Avtozman</w:t>
      </w:r>
      <w:r w:rsidRPr="0028514E" w:rsidDel="00F203AD">
        <w:t xml:space="preserve"> </w:t>
      </w:r>
      <w:r w:rsidR="00296A74" w:rsidRPr="0028514E">
        <w:t>ihon alle annettava lääkemuoto ei ole tarkoitettu alle 10 kg painaville yleisoireista lastenreumaa sairastaville lapsille.</w:t>
      </w:r>
    </w:p>
    <w:p w14:paraId="0891800A" w14:textId="77777777" w:rsidR="003B7027" w:rsidRPr="0028514E" w:rsidRDefault="003B7027" w:rsidP="006E5F9A">
      <w:pPr>
        <w:pStyle w:val="a4"/>
        <w:ind w:left="0"/>
      </w:pPr>
    </w:p>
    <w:p w14:paraId="50E9B668" w14:textId="77777777" w:rsidR="003B7027" w:rsidRPr="00CA43F5" w:rsidRDefault="00296A74" w:rsidP="006E5F9A">
      <w:pPr>
        <w:rPr>
          <w:i/>
          <w:lang w:val="fi-FI"/>
        </w:rPr>
      </w:pPr>
      <w:r w:rsidRPr="00CA43F5">
        <w:rPr>
          <w:i/>
          <w:lang w:val="fi-FI"/>
        </w:rPr>
        <w:t>Jäljitettävyys</w:t>
      </w:r>
    </w:p>
    <w:p w14:paraId="31078528" w14:textId="77777777" w:rsidR="003B7027" w:rsidRPr="0028514E" w:rsidRDefault="00296A74" w:rsidP="006E5F9A">
      <w:pPr>
        <w:pStyle w:val="a4"/>
        <w:ind w:left="0"/>
      </w:pPr>
      <w:r w:rsidRPr="0028514E">
        <w:t>Biologisten lääkevalmisteiden jäljitettävyyden parantamiseksi on annetun valmisteen nimi ja eränumero dokumentoitava selkeästi.</w:t>
      </w:r>
    </w:p>
    <w:p w14:paraId="088C0D0D" w14:textId="77777777" w:rsidR="001A2F77" w:rsidRPr="0028514E" w:rsidRDefault="001A2F77" w:rsidP="006E5F9A">
      <w:pPr>
        <w:pStyle w:val="a4"/>
        <w:ind w:left="0"/>
      </w:pPr>
    </w:p>
    <w:p w14:paraId="7FDD6411" w14:textId="77777777" w:rsidR="003B7027" w:rsidRPr="00CA43F5" w:rsidRDefault="00296A74" w:rsidP="006E5F9A">
      <w:pPr>
        <w:rPr>
          <w:i/>
          <w:lang w:val="fi-FI"/>
        </w:rPr>
      </w:pPr>
      <w:r w:rsidRPr="00CA43F5">
        <w:rPr>
          <w:i/>
          <w:lang w:val="fi-FI"/>
        </w:rPr>
        <w:t>Infektiot</w:t>
      </w:r>
    </w:p>
    <w:p w14:paraId="6B54D0CA" w14:textId="287BBECE" w:rsidR="003B7027" w:rsidRPr="0028514E" w:rsidRDefault="00296A74" w:rsidP="006E5F9A">
      <w:pPr>
        <w:pStyle w:val="a4"/>
        <w:ind w:left="0"/>
      </w:pPr>
      <w:r w:rsidRPr="0028514E">
        <w:t xml:space="preserve">Vakavia ja joskus kuolemaan johtaneita infektioita on raportoitu potilailla, jotka ovat saaneet immunosuppressiivisia lääkkeitä mukaan lukien </w:t>
      </w:r>
      <w:r w:rsidR="00C17B7F">
        <w:t>tosilitsumabia</w:t>
      </w:r>
      <w:r w:rsidR="00C17B7F" w:rsidRPr="0028514E">
        <w:t xml:space="preserve"> </w:t>
      </w:r>
      <w:r w:rsidRPr="0028514E">
        <w:t xml:space="preserve">(ks. kohta 4.8). </w:t>
      </w:r>
      <w:r w:rsidR="00C17B7F">
        <w:t>Avtozma</w:t>
      </w:r>
      <w:r w:rsidRPr="0028514E">
        <w:t xml:space="preserve">-hoitoa ei saa aloittaa, jos potilaalla on aktiivinen infektio (ks. kohta 4.3). Jos potilaalle kehittyy vakava infektio, </w:t>
      </w:r>
      <w:r w:rsidR="00C17B7F">
        <w:t>tosilitsumabi</w:t>
      </w:r>
      <w:r w:rsidRPr="0028514E">
        <w:t xml:space="preserve">hoito on keskeytettävä, kunnes infektio on saatu hallintaan (ks. kohta 4.8). </w:t>
      </w:r>
      <w:r w:rsidR="00C17B7F">
        <w:t>Avtozma-v</w:t>
      </w:r>
      <w:r w:rsidRPr="0028514E">
        <w:t>almisteen käyttöä harkitessaan lääkärin on noudatettava varovaisuutta, jos potilaalla on aikaisemmin esiintynyt uusiutuvia tai kroonisia infektioita tai jos hänellä on infektioalttiutta lisäävä perussairaus (esim. divertikuliitti, diabetes ja interstitiaalinen keuhkosairaus).</w:t>
      </w:r>
    </w:p>
    <w:p w14:paraId="2FDAD5E3" w14:textId="77777777" w:rsidR="001A2F77" w:rsidRPr="0028514E" w:rsidRDefault="001A2F77" w:rsidP="006E5F9A">
      <w:pPr>
        <w:pStyle w:val="a4"/>
        <w:ind w:left="0"/>
      </w:pPr>
    </w:p>
    <w:p w14:paraId="794C2CB8" w14:textId="2E539CF5" w:rsidR="003B7027" w:rsidRPr="0028514E" w:rsidRDefault="00296A74" w:rsidP="006E5F9A">
      <w:pPr>
        <w:pStyle w:val="a4"/>
        <w:ind w:left="0"/>
      </w:pPr>
      <w:r w:rsidRPr="0028514E">
        <w:t xml:space="preserve">Käytettäessä immunosuppressiivisia lääkkeitä, kuten </w:t>
      </w:r>
      <w:r w:rsidR="00C17B7F">
        <w:t>Avtozmaa</w:t>
      </w:r>
      <w:r w:rsidRPr="0028514E">
        <w:t>, potilaiden tilaa on seurattava tarkoin, jotta mahdolliset vakavat infektiot havaitaan ajoissa, sillä akuutin vaiheen reaktion estyminen voi heikentää akuutin tulehduksen oireita. Potilaan mahdollista infektiota arvioitaessa tulisi huomioida tosilitsumabin vaikutukset C-reaktiiviseen proteiiniin (CRP), neutrofiileihin ja infektion oireisiin.</w:t>
      </w:r>
      <w:r w:rsidR="001A2F77" w:rsidRPr="0028514E">
        <w:t xml:space="preserve"> </w:t>
      </w:r>
      <w:r w:rsidRPr="0028514E">
        <w:t>Potilaita (jotka voivat olla yleisoireista lastenreumaa tai polyartriittia sairastavia pikkulapsia, jotka eivät välttämättä osaa kertoa oireistaan) ja yleisoireista lastenreumaa tai polyartriittia sairastavien potilaiden vanhempia/huoltajia pitää ohjeistaa ottamaan heti yhteyttä terveydenhoitohenkilöstöön, jos he havaitsevat mitä tahansa infektioon viittaavia oireita, jotta tutkimukset ja hoito voidaan aloittaa mahdollisimman nopeasti.</w:t>
      </w:r>
    </w:p>
    <w:p w14:paraId="7A5C8514" w14:textId="77777777" w:rsidR="001A2F77" w:rsidRPr="0028514E" w:rsidRDefault="001A2F77" w:rsidP="006E5F9A">
      <w:pPr>
        <w:pStyle w:val="a4"/>
        <w:ind w:left="0"/>
      </w:pPr>
    </w:p>
    <w:p w14:paraId="4A6A4262" w14:textId="77777777" w:rsidR="003B7027" w:rsidRPr="00CA43F5" w:rsidRDefault="00296A74" w:rsidP="006E5F9A">
      <w:pPr>
        <w:rPr>
          <w:i/>
          <w:lang w:val="fi-FI"/>
        </w:rPr>
      </w:pPr>
      <w:r w:rsidRPr="00CA43F5">
        <w:rPr>
          <w:i/>
          <w:lang w:val="fi-FI"/>
        </w:rPr>
        <w:lastRenderedPageBreak/>
        <w:t>Tuberkuloosi</w:t>
      </w:r>
    </w:p>
    <w:p w14:paraId="698175A7" w14:textId="55A7D8E8" w:rsidR="003B7027" w:rsidRPr="0028514E" w:rsidRDefault="00296A74" w:rsidP="006E5F9A">
      <w:pPr>
        <w:pStyle w:val="a4"/>
        <w:ind w:left="0"/>
      </w:pPr>
      <w:r w:rsidRPr="0028514E">
        <w:t xml:space="preserve">Kuten muitakin biologisia lääkkeitä käytettäessä latentin tuberkuloosin poissulkemista seulontatutkimusten avulla suositellaan kaikilla potilailla ennen </w:t>
      </w:r>
      <w:r w:rsidR="00C17B7F">
        <w:t>Avtozma</w:t>
      </w:r>
      <w:r w:rsidRPr="0028514E">
        <w:t xml:space="preserve">-hoidon aloittamista. Jos latentti tuberkuloosi todetaan, se on hoidettava tavanomaisilla mykobakteerilääkkeillä ennen kuin </w:t>
      </w:r>
      <w:r w:rsidR="00C17B7F">
        <w:t>Avtozma</w:t>
      </w:r>
      <w:r w:rsidRPr="0028514E">
        <w:t>-hoito aloitetaan. Lääkettä määrääviä lääkäreitä muistutetaan tuberkuliinikokeen ja verinäytteestä määritettävän IGRA-testin väärän negatiivisen tuloksen riskistä, varsinkin vaikeasti sairailla tai immuunipuutteisilla potilailla.</w:t>
      </w:r>
    </w:p>
    <w:p w14:paraId="268B6F85" w14:textId="77777777" w:rsidR="001A2F77" w:rsidRPr="0028514E" w:rsidRDefault="001A2F77" w:rsidP="006E5F9A">
      <w:pPr>
        <w:pStyle w:val="a4"/>
        <w:ind w:left="0"/>
      </w:pPr>
    </w:p>
    <w:p w14:paraId="4E4211B7" w14:textId="233921BC" w:rsidR="003B7027" w:rsidRPr="0028514E" w:rsidRDefault="00296A74" w:rsidP="006E5F9A">
      <w:pPr>
        <w:pStyle w:val="a4"/>
        <w:ind w:left="0"/>
      </w:pPr>
      <w:r w:rsidRPr="0028514E">
        <w:t xml:space="preserve">Potilaita sekä lasten aktiivista yleisoireista lastenreumaa tai lasten aktiivista polyartriittia sairastavien potilaiden vanhempia/huoltajia tulisi kehottaa ottamaan yhteyttä lääkäriin, jos </w:t>
      </w:r>
      <w:r w:rsidR="00C17B7F">
        <w:t>Avtozma</w:t>
      </w:r>
      <w:r w:rsidRPr="0028514E">
        <w:t>-hoidon aikana tai sen jälkeen ilmenee tuberkuloosi-infektioon viittaavia merkkejä tai oireita (esim. itsepintainen yskä, kuihtuminen/painon lasku, lievä lämmönnousu).</w:t>
      </w:r>
    </w:p>
    <w:p w14:paraId="57AE6F7F" w14:textId="77777777" w:rsidR="001A2F77" w:rsidRPr="0028514E" w:rsidRDefault="001A2F77" w:rsidP="006E5F9A">
      <w:pPr>
        <w:pStyle w:val="a4"/>
        <w:ind w:left="0"/>
      </w:pPr>
    </w:p>
    <w:p w14:paraId="59F8490E" w14:textId="77777777" w:rsidR="003B7027" w:rsidRPr="00CA43F5" w:rsidRDefault="00296A74" w:rsidP="006E5F9A">
      <w:pPr>
        <w:rPr>
          <w:i/>
          <w:lang w:val="fi-FI"/>
        </w:rPr>
      </w:pPr>
      <w:r w:rsidRPr="00CA43F5">
        <w:rPr>
          <w:i/>
          <w:lang w:val="fi-FI"/>
        </w:rPr>
        <w:t>Virustautien uudelleen aktivoituminen</w:t>
      </w:r>
    </w:p>
    <w:p w14:paraId="251789D6" w14:textId="61D000E3" w:rsidR="003B7027" w:rsidRPr="0028514E" w:rsidRDefault="00296A74" w:rsidP="006E5F9A">
      <w:pPr>
        <w:pStyle w:val="a4"/>
        <w:ind w:left="0"/>
      </w:pPr>
      <w:r w:rsidRPr="0028514E">
        <w:t xml:space="preserve">Virusten uudelleen aktivoitumista (esim. hepatiitti B -virus) on raportoitu biologisilla nivelreumalääkkeillä hoidetuilla potilailla. </w:t>
      </w:r>
      <w:r w:rsidR="00C17B7F">
        <w:t>Tosilitsumabin</w:t>
      </w:r>
      <w:r w:rsidR="00C17B7F" w:rsidRPr="0028514E">
        <w:t xml:space="preserve"> </w:t>
      </w:r>
      <w:r w:rsidRPr="0028514E">
        <w:t>kliinisiin tutkimuksiin ei ole hyväksytty hepatiittipositiivisia potilaita.</w:t>
      </w:r>
    </w:p>
    <w:p w14:paraId="130F91DD" w14:textId="77777777" w:rsidR="003B7027" w:rsidRPr="0028514E" w:rsidRDefault="003B7027" w:rsidP="006E5F9A">
      <w:pPr>
        <w:pStyle w:val="a4"/>
        <w:ind w:left="0"/>
      </w:pPr>
    </w:p>
    <w:p w14:paraId="575B8AD3" w14:textId="77777777" w:rsidR="003B7027" w:rsidRPr="00CA43F5" w:rsidRDefault="00296A74" w:rsidP="006E5F9A">
      <w:pPr>
        <w:rPr>
          <w:i/>
          <w:lang w:val="fi-FI"/>
        </w:rPr>
      </w:pPr>
      <w:r w:rsidRPr="00CA43F5">
        <w:rPr>
          <w:i/>
          <w:lang w:val="fi-FI"/>
        </w:rPr>
        <w:t>Divertikuliitin komplikaatiot</w:t>
      </w:r>
    </w:p>
    <w:p w14:paraId="6DE99BB0" w14:textId="4E5471A2" w:rsidR="003B7027" w:rsidRPr="0028514E" w:rsidRDefault="00296A74" w:rsidP="006E5F9A">
      <w:pPr>
        <w:pStyle w:val="a4"/>
        <w:ind w:left="0"/>
      </w:pPr>
      <w:r w:rsidRPr="0028514E">
        <w:t xml:space="preserve">Melko harvinaisena divertikuliitin komplikaationa on raportoitu divertikkelien perforaatioita </w:t>
      </w:r>
      <w:r w:rsidR="00C17B7F">
        <w:t>tosilitsumabi</w:t>
      </w:r>
      <w:r w:rsidRPr="0028514E">
        <w:t xml:space="preserve">hoitoa saaneilla potilailla (ks. kohta 4.8). </w:t>
      </w:r>
      <w:r w:rsidR="00C17B7F">
        <w:t>Avtozmaa</w:t>
      </w:r>
      <w:r w:rsidR="00C17B7F" w:rsidRPr="0028514E" w:rsidDel="00C17B7F">
        <w:t xml:space="preserve"> </w:t>
      </w:r>
      <w:r w:rsidRPr="0028514E">
        <w:t>tulisi antaa varoen potilaille, joilla on aikaisemmin esiintynyt suoliston haavaumia tai divertikuliittia. Jos potilaalle ilmaantuu komplisoituneeseen divertikuliittiin viittaavia oireita, kuten vatsakipua, verenvuotoa ja/tai selittämättömiä muutoksia suolen toiminnassa ja kuumetta, potilas on tutkittava heti, jotta divertikuliitti ja siihen mahdollisesti liittyvä suolen puhkeaminen havaitaan mahdollisimman varhaisessa vaiheessa.</w:t>
      </w:r>
    </w:p>
    <w:p w14:paraId="3606A361" w14:textId="77777777" w:rsidR="001A2F77" w:rsidRPr="0028514E" w:rsidRDefault="001A2F77" w:rsidP="006E5F9A">
      <w:pPr>
        <w:pStyle w:val="a4"/>
        <w:ind w:left="0"/>
      </w:pPr>
    </w:p>
    <w:p w14:paraId="37B67E34" w14:textId="77777777" w:rsidR="003B7027" w:rsidRPr="00CA43F5" w:rsidRDefault="00296A74" w:rsidP="006E5F9A">
      <w:pPr>
        <w:rPr>
          <w:i/>
          <w:lang w:val="fi-FI"/>
        </w:rPr>
      </w:pPr>
      <w:r w:rsidRPr="00CA43F5">
        <w:rPr>
          <w:i/>
          <w:lang w:val="fi-FI"/>
        </w:rPr>
        <w:t>Yliherkkyysreaktiot</w:t>
      </w:r>
    </w:p>
    <w:p w14:paraId="6F14730B" w14:textId="54704207" w:rsidR="003B7027" w:rsidRPr="0028514E" w:rsidRDefault="00296A74" w:rsidP="006E5F9A">
      <w:pPr>
        <w:pStyle w:val="a4"/>
        <w:ind w:left="0"/>
      </w:pPr>
      <w:r w:rsidRPr="0028514E">
        <w:t xml:space="preserve">Vakavia yliherkkyysreaktioita, anafylaksiaa mukaan lukien, on raportoitu </w:t>
      </w:r>
      <w:r w:rsidR="00C17B7F">
        <w:t>tosilitsumabin</w:t>
      </w:r>
      <w:r w:rsidR="00C17B7F" w:rsidRPr="0028514E">
        <w:t xml:space="preserve"> </w:t>
      </w:r>
      <w:r w:rsidRPr="0028514E">
        <w:t xml:space="preserve">käytön yhteydessä (ks. kohta 4.8). Reaktiot voivat olla vaikeampia ja mahdollisesti fataaleja niillä potilailla, jotka ovat kokeneet yliherkkyysreaktioita aikaisemman </w:t>
      </w:r>
      <w:r w:rsidR="00C17B7F">
        <w:t>Avtozma</w:t>
      </w:r>
      <w:r w:rsidRPr="0028514E">
        <w:t xml:space="preserve">-hoidon yhteydessä, vaikka heille annetaan esilääkityksenä steroideja ja antihistamiineja. Anafylaktisen tai muun vakavan yliherkkyysreaktion ilmaantuessa, </w:t>
      </w:r>
      <w:r w:rsidR="00C17B7F">
        <w:t>Avtozman</w:t>
      </w:r>
      <w:r w:rsidR="00C17B7F" w:rsidRPr="0028514E" w:rsidDel="00C17B7F">
        <w:t xml:space="preserve"> </w:t>
      </w:r>
      <w:r w:rsidRPr="0028514E">
        <w:t xml:space="preserve">anto on heti keskeytettävä, asianmukainen hoito on aloitettava ja </w:t>
      </w:r>
      <w:r w:rsidR="00C17B7F">
        <w:t>Avtozma-</w:t>
      </w:r>
      <w:r w:rsidRPr="0028514E">
        <w:t>hoito on lopetettava pysyvästi.</w:t>
      </w:r>
    </w:p>
    <w:p w14:paraId="7E8E6B3F" w14:textId="77777777" w:rsidR="001A2F77" w:rsidRPr="0028514E" w:rsidRDefault="001A2F77" w:rsidP="006E5F9A">
      <w:pPr>
        <w:pStyle w:val="a4"/>
        <w:ind w:left="0"/>
      </w:pPr>
    </w:p>
    <w:p w14:paraId="38B552A3" w14:textId="77777777" w:rsidR="003B7027" w:rsidRPr="00CA43F5" w:rsidRDefault="00296A74" w:rsidP="006E5F9A">
      <w:pPr>
        <w:rPr>
          <w:i/>
          <w:lang w:val="fi-FI"/>
        </w:rPr>
      </w:pPr>
      <w:r w:rsidRPr="00CA43F5">
        <w:rPr>
          <w:i/>
          <w:lang w:val="fi-FI"/>
        </w:rPr>
        <w:t>Aktiivinen maksasairaus ja maksan vajaatoiminta</w:t>
      </w:r>
    </w:p>
    <w:p w14:paraId="1F300FB5" w14:textId="6DCA5780" w:rsidR="003B7027" w:rsidRPr="0028514E" w:rsidRDefault="00C17B7F" w:rsidP="006E5F9A">
      <w:pPr>
        <w:pStyle w:val="a4"/>
        <w:ind w:left="0"/>
      </w:pPr>
      <w:r>
        <w:t>Tosilitsumabi</w:t>
      </w:r>
      <w:r w:rsidR="00296A74" w:rsidRPr="0028514E">
        <w:t xml:space="preserve">hoitoon voi liittyä kohonneita aminotransferaasiarvoja, varsinkin jos sitä annetaan yhdessä MTX:n kanssa. Siksi on noudatettava varovaisuutta, jos harkitaan </w:t>
      </w:r>
      <w:r w:rsidR="006443E2">
        <w:t>tosilitsumabi</w:t>
      </w:r>
      <w:r w:rsidR="00296A74" w:rsidRPr="0028514E">
        <w:t>hoidon aloittamista potilaille, joilla on aktiivinen maksasairaus tai maksan vajaatoiminta (ks. kohdat 4.2 ja 4.8).</w:t>
      </w:r>
    </w:p>
    <w:p w14:paraId="11D75A17" w14:textId="77777777" w:rsidR="003B7027" w:rsidRPr="0028514E" w:rsidRDefault="003B7027" w:rsidP="006E5F9A">
      <w:pPr>
        <w:pStyle w:val="a4"/>
        <w:ind w:left="0"/>
      </w:pPr>
    </w:p>
    <w:p w14:paraId="0DA7D4D6" w14:textId="77777777" w:rsidR="003B7027" w:rsidRPr="00CA43F5" w:rsidRDefault="00296A74" w:rsidP="006E5F9A">
      <w:pPr>
        <w:rPr>
          <w:i/>
          <w:lang w:val="fi-FI"/>
        </w:rPr>
      </w:pPr>
      <w:r w:rsidRPr="00CA43F5">
        <w:rPr>
          <w:i/>
          <w:lang w:val="fi-FI"/>
        </w:rPr>
        <w:t>Maksatoksisuus</w:t>
      </w:r>
    </w:p>
    <w:p w14:paraId="7A9CDD38" w14:textId="37B53EF4" w:rsidR="003B7027" w:rsidRPr="0028514E" w:rsidRDefault="00296A74" w:rsidP="006E5F9A">
      <w:pPr>
        <w:pStyle w:val="a4"/>
        <w:ind w:left="0"/>
      </w:pPr>
      <w:r w:rsidRPr="0028514E">
        <w:t xml:space="preserve">Ohimenevää tai jaksottaista lievää tai kohtalaista maksan aminotransferaasiarvojen nousua on raportoitu yleisesti </w:t>
      </w:r>
      <w:r w:rsidR="00C17B7F">
        <w:t>tosilitsumabi</w:t>
      </w:r>
      <w:r w:rsidRPr="0028514E">
        <w:t xml:space="preserve">hoidon yhteydessä (ks. kohta 4.8). Kohonneita arvoja havaittiin enemmän, kun </w:t>
      </w:r>
      <w:r w:rsidR="00C17B7F">
        <w:t>tosilitsumabi</w:t>
      </w:r>
      <w:r w:rsidRPr="0028514E">
        <w:t>hoitoon yhdistettiin jokin mahdollisesti maksatoksinen lääke (esim. MTX). Muita maksantoimintakokeissa ilmenevien yhdisteiden määritystä, kuten bilirubiini, on harkittava kliinisen tarpeen mukaan.</w:t>
      </w:r>
    </w:p>
    <w:p w14:paraId="6EDFB87C" w14:textId="77777777" w:rsidR="001A2F77" w:rsidRPr="0028514E" w:rsidRDefault="001A2F77" w:rsidP="006E5F9A">
      <w:pPr>
        <w:pStyle w:val="a4"/>
        <w:ind w:left="0"/>
      </w:pPr>
    </w:p>
    <w:p w14:paraId="17B552BA" w14:textId="2035CC9B" w:rsidR="003B7027" w:rsidRPr="0028514E" w:rsidRDefault="00C17B7F" w:rsidP="006E5F9A">
      <w:pPr>
        <w:pStyle w:val="a4"/>
        <w:ind w:left="0"/>
      </w:pPr>
      <w:r>
        <w:t>Tosilitsumabi</w:t>
      </w:r>
      <w:r w:rsidR="00296A74" w:rsidRPr="0028514E">
        <w:t xml:space="preserve">hoitoa saaneilla potilailla on havaittu vakavia lääkkeestä aiheutuneita maksavaurioita, mukaan lukien akuutti maksan vajaatoiminta, hepatiitti ja ikterus (ks. kohta 4.8). Vakava maksavaurio ilmeni kahdesta viikosta yli viiteen vuoteen </w:t>
      </w:r>
      <w:r>
        <w:t>tosilitsumabin</w:t>
      </w:r>
      <w:r w:rsidRPr="0028514E">
        <w:t xml:space="preserve"> </w:t>
      </w:r>
      <w:r w:rsidR="00296A74" w:rsidRPr="0028514E">
        <w:t>käytön aloittamisesta. Maksansiirron vaativia maksan vajaatoimintatapauksia on raportoitu. Potilaita tulee neuvoa ottamaan yhteyttä lääkäriin heti, jos maksavaurion oireita ilmaantuu.</w:t>
      </w:r>
    </w:p>
    <w:p w14:paraId="22336FC8" w14:textId="77777777" w:rsidR="003B7027" w:rsidRPr="0028514E" w:rsidRDefault="003B7027" w:rsidP="006E5F9A">
      <w:pPr>
        <w:pStyle w:val="a4"/>
        <w:ind w:left="0"/>
      </w:pPr>
    </w:p>
    <w:p w14:paraId="2A5406B4" w14:textId="4AF72B47" w:rsidR="003B7027" w:rsidRPr="0028514E" w:rsidRDefault="00296A74" w:rsidP="006E5F9A">
      <w:pPr>
        <w:pStyle w:val="a4"/>
        <w:ind w:left="0"/>
      </w:pPr>
      <w:r w:rsidRPr="0028514E">
        <w:t xml:space="preserve">Varovaisuutta on noudatettava harkittaessa </w:t>
      </w:r>
      <w:r w:rsidR="00C17B7F">
        <w:t>Avtozma</w:t>
      </w:r>
      <w:r w:rsidRPr="0028514E">
        <w:t>-hoidon aloittamista potilaille, joiden kohonneet ALAT- tai ASAT-arvot ovat &gt; 1,5 x viitevälin yläraja. Hoitoa ei suositella potilaille, joiden ALAT- tai ASAT-arvot hoidon alussa ovat &gt; 5 x viitevälin yläraja.</w:t>
      </w:r>
    </w:p>
    <w:p w14:paraId="7491DFF5" w14:textId="77777777" w:rsidR="001A2F77" w:rsidRPr="0028514E" w:rsidRDefault="001A2F77" w:rsidP="009E78E1">
      <w:pPr>
        <w:pStyle w:val="a4"/>
        <w:ind w:left="0"/>
      </w:pPr>
    </w:p>
    <w:p w14:paraId="1B49BF87" w14:textId="5AEE85D1" w:rsidR="003B7027" w:rsidRPr="0028514E" w:rsidRDefault="00296A74" w:rsidP="009E78E1">
      <w:pPr>
        <w:pStyle w:val="a4"/>
        <w:ind w:left="0"/>
      </w:pPr>
      <w:r w:rsidRPr="0028514E">
        <w:t xml:space="preserve">Nivelreuma- ja jättisoluarteriittipotilaiden sekä yleisoireista lastenreumaa ja polyartriittia sairastavien potilaiden ALAT- ja ASAT-arvoja on seurattava joka 4.–8. viikko hoidon kuuden ensimmäisen kuukauden aikana ja sen jälkeen joka 12. viikko. Suositukset annoksen muuttamisesta aminotransferaasiarvojen perusteella, mukaan lukien </w:t>
      </w:r>
      <w:r w:rsidR="00C17B7F">
        <w:t>Avtozma</w:t>
      </w:r>
      <w:r w:rsidRPr="0028514E">
        <w:t xml:space="preserve">-hoidon lopettamista, ks. kohta 4.2. Jos ASAT- tai ALAT-arvojen nousu on &gt; 3–5 x viitevälin yläraja, </w:t>
      </w:r>
      <w:r w:rsidR="00C17B7F">
        <w:t>Avtozma</w:t>
      </w:r>
      <w:r w:rsidRPr="0028514E">
        <w:t>-hoito on keskeytettävä.</w:t>
      </w:r>
    </w:p>
    <w:p w14:paraId="77456BE4" w14:textId="77777777" w:rsidR="003B7027" w:rsidRPr="0028514E" w:rsidRDefault="003B7027" w:rsidP="009E78E1">
      <w:pPr>
        <w:pStyle w:val="a4"/>
        <w:ind w:left="0"/>
      </w:pPr>
    </w:p>
    <w:p w14:paraId="3D48FF77" w14:textId="77777777" w:rsidR="003B7027" w:rsidRPr="00CA43F5" w:rsidRDefault="00296A74" w:rsidP="009E78E1">
      <w:pPr>
        <w:rPr>
          <w:i/>
          <w:lang w:val="fi-FI"/>
        </w:rPr>
      </w:pPr>
      <w:r w:rsidRPr="00CA43F5">
        <w:rPr>
          <w:i/>
          <w:lang w:val="fi-FI"/>
        </w:rPr>
        <w:t>Hematologiset poikkeamat</w:t>
      </w:r>
    </w:p>
    <w:p w14:paraId="347D58F7" w14:textId="0B907F2B" w:rsidR="003B7027" w:rsidRPr="0028514E" w:rsidRDefault="00296A74" w:rsidP="009E78E1">
      <w:pPr>
        <w:pStyle w:val="a4"/>
        <w:ind w:left="0"/>
      </w:pPr>
      <w:r w:rsidRPr="0028514E">
        <w:t xml:space="preserve">Neutrofiili- ja trombosyyttiarvon laskua on esiintynyt, kun </w:t>
      </w:r>
      <w:r w:rsidR="00E67930">
        <w:t>tosilitsumabia</w:t>
      </w:r>
      <w:r w:rsidR="006443E2" w:rsidRPr="0028514E">
        <w:t xml:space="preserve"> </w:t>
      </w:r>
      <w:r w:rsidRPr="0028514E">
        <w:t>on annettu 8 mg/kg yhdessä MTX:n kanssa (ks. kohta 4.8). Neutropenian riski voi olla suurentunut, jos potilasta on aikaisemmin hoidettu TNF-estäjällä.</w:t>
      </w:r>
    </w:p>
    <w:p w14:paraId="47CAC250" w14:textId="77777777" w:rsidR="001A2F77" w:rsidRPr="0028514E" w:rsidRDefault="001A2F77" w:rsidP="009E78E1">
      <w:pPr>
        <w:pStyle w:val="a4"/>
        <w:ind w:left="0"/>
      </w:pPr>
    </w:p>
    <w:p w14:paraId="488D54F3" w14:textId="496C7344" w:rsidR="003B7027" w:rsidRPr="0028514E" w:rsidRDefault="00296A74" w:rsidP="009E78E1">
      <w:pPr>
        <w:pStyle w:val="a4"/>
        <w:ind w:left="0"/>
      </w:pPr>
      <w:r w:rsidRPr="0028514E">
        <w:t xml:space="preserve">Aiemmin </w:t>
      </w:r>
      <w:r w:rsidR="00C17B7F">
        <w:t>tosilitsumabilla</w:t>
      </w:r>
      <w:r w:rsidR="00C17B7F" w:rsidRPr="0028514E">
        <w:t xml:space="preserve"> </w:t>
      </w:r>
      <w:r w:rsidRPr="0028514E">
        <w:t>hoitamattomille potilaille ei suositella hoidon aloitusta, jos ANC (absoluuttinen neutrofiilien määrä) on &lt; 2 x 10</w:t>
      </w:r>
      <w:r w:rsidRPr="0028514E">
        <w:rPr>
          <w:vertAlign w:val="superscript"/>
        </w:rPr>
        <w:t>9</w:t>
      </w:r>
      <w:r w:rsidRPr="0028514E">
        <w:t xml:space="preserve">/l. Varovaisuutta on noudatettava harkittaessa </w:t>
      </w:r>
      <w:r w:rsidR="00C17B7F">
        <w:t>Avtozma</w:t>
      </w:r>
      <w:r w:rsidRPr="0028514E">
        <w:t>-hoidon aloittamista potilaille, joiden trombosyyttiarvo on alentunut (trombosyyttiarvo alle 100 x 10</w:t>
      </w:r>
      <w:r w:rsidRPr="0028514E">
        <w:rPr>
          <w:vertAlign w:val="superscript"/>
        </w:rPr>
        <w:t>3</w:t>
      </w:r>
      <w:r w:rsidRPr="0028514E">
        <w:t>/μl). Hoidon jatkamista ei suositella, jos potilaan ANC on &lt; 0,5 x 10</w:t>
      </w:r>
      <w:r w:rsidRPr="0028514E">
        <w:rPr>
          <w:vertAlign w:val="superscript"/>
        </w:rPr>
        <w:t>9</w:t>
      </w:r>
      <w:r w:rsidRPr="0028514E">
        <w:t>/l tai trombosyyttiarvo</w:t>
      </w:r>
      <w:r w:rsidR="001A2F77" w:rsidRPr="0028514E">
        <w:t xml:space="preserve"> </w:t>
      </w:r>
      <w:r w:rsidRPr="0028514E">
        <w:t>&lt; 50 x 10</w:t>
      </w:r>
      <w:r w:rsidRPr="0028514E">
        <w:rPr>
          <w:vertAlign w:val="superscript"/>
        </w:rPr>
        <w:t>3</w:t>
      </w:r>
      <w:r w:rsidRPr="0028514E">
        <w:t>/μl.</w:t>
      </w:r>
    </w:p>
    <w:p w14:paraId="7100B89B" w14:textId="77777777" w:rsidR="003B7027" w:rsidRPr="0028514E" w:rsidRDefault="003B7027" w:rsidP="006E5F9A">
      <w:pPr>
        <w:pStyle w:val="a4"/>
        <w:ind w:left="0"/>
      </w:pPr>
    </w:p>
    <w:p w14:paraId="43B6F357" w14:textId="608ED1EA" w:rsidR="003B7027" w:rsidRPr="0028514E" w:rsidRDefault="00296A74" w:rsidP="006E5F9A">
      <w:pPr>
        <w:pStyle w:val="a4"/>
        <w:ind w:left="0"/>
      </w:pPr>
      <w:r w:rsidRPr="0028514E">
        <w:t xml:space="preserve">Vaikeaan neutropeniaan voi liittyä vakavien infektioiden kohonnut riski. </w:t>
      </w:r>
      <w:r w:rsidR="00C17B7F">
        <w:t>Tosilitsumabin</w:t>
      </w:r>
      <w:r w:rsidR="00C17B7F" w:rsidRPr="0028514E">
        <w:t xml:space="preserve"> </w:t>
      </w:r>
      <w:r w:rsidRPr="0028514E">
        <w:t>kliinisissä tutkimuksissa ei ole tähän mennessä ilmennyt selvää yhteyttä alentuneiden neutrofiiliarvojen ja vakavien infektiotapausten välillä.</w:t>
      </w:r>
    </w:p>
    <w:p w14:paraId="5CA23322" w14:textId="77777777" w:rsidR="003B7027" w:rsidRPr="0028514E" w:rsidRDefault="003B7027" w:rsidP="006E5F9A">
      <w:pPr>
        <w:pStyle w:val="a4"/>
        <w:ind w:left="0"/>
      </w:pPr>
    </w:p>
    <w:p w14:paraId="55909A15" w14:textId="77777777" w:rsidR="003B7027" w:rsidRPr="0028514E" w:rsidRDefault="00296A74" w:rsidP="006E5F9A">
      <w:pPr>
        <w:pStyle w:val="a4"/>
        <w:ind w:left="0"/>
      </w:pPr>
      <w:r w:rsidRPr="0028514E">
        <w:t>Nivelreuma- ja jättisoluarteriittipotilailla neutrofiili- ja trombosyyttiarvoja on seurattava 4–8 viikon ajan hoidon alkamisesta ja myöhemmin normaalin kliinisen käytännön mukaan. Suositukset annoksen muuttamisesta ANC- ja trombosyyttiarvojen mukaan, ks. kohta 4.2.</w:t>
      </w:r>
    </w:p>
    <w:p w14:paraId="277405B3" w14:textId="77777777" w:rsidR="001A2F77" w:rsidRPr="0028514E" w:rsidRDefault="001A2F77" w:rsidP="006E5F9A">
      <w:pPr>
        <w:pStyle w:val="a4"/>
        <w:ind w:left="0"/>
      </w:pPr>
    </w:p>
    <w:p w14:paraId="37EE6A93" w14:textId="6209E0C8" w:rsidR="003B7027" w:rsidRPr="0028514E" w:rsidRDefault="00296A74" w:rsidP="00D57B3C">
      <w:pPr>
        <w:pStyle w:val="a4"/>
        <w:ind w:left="0"/>
      </w:pPr>
      <w:r w:rsidRPr="0028514E">
        <w:t>Yleisoireista lastenreumaa ja polyartriittia sairastavilla lapsipotilailla neutrofiili- ja trombosyyttiarvoja on seurattava toisen antokerran yhteydessä ja sen jälkeen hyvän hoitokäytännön mukaan (ks.</w:t>
      </w:r>
      <w:r w:rsidR="00D57B3C">
        <w:t xml:space="preserve"> </w:t>
      </w:r>
      <w:r w:rsidRPr="0028514E">
        <w:t>kohta 4.2).</w:t>
      </w:r>
    </w:p>
    <w:p w14:paraId="507B49B1" w14:textId="77777777" w:rsidR="003B7027" w:rsidRPr="0028514E" w:rsidRDefault="003B7027" w:rsidP="006E5F9A">
      <w:pPr>
        <w:pStyle w:val="a4"/>
        <w:ind w:left="0"/>
      </w:pPr>
    </w:p>
    <w:p w14:paraId="24C6DF4C" w14:textId="77777777" w:rsidR="003B7027" w:rsidRPr="00CA43F5" w:rsidRDefault="00296A74" w:rsidP="006E5F9A">
      <w:pPr>
        <w:rPr>
          <w:i/>
          <w:lang w:val="fi-FI"/>
        </w:rPr>
      </w:pPr>
      <w:r w:rsidRPr="00CA43F5">
        <w:rPr>
          <w:i/>
          <w:lang w:val="fi-FI"/>
        </w:rPr>
        <w:t>Veren rasva-arvot</w:t>
      </w:r>
    </w:p>
    <w:p w14:paraId="7C7131D6" w14:textId="6217F285" w:rsidR="003B7027" w:rsidRPr="0028514E" w:rsidRDefault="00296A74" w:rsidP="006E5F9A">
      <w:pPr>
        <w:pStyle w:val="a4"/>
        <w:ind w:left="0"/>
      </w:pPr>
      <w:r w:rsidRPr="0028514E">
        <w:t xml:space="preserve">Veren rasva-arvojen, kuten kokonaiskolesterolin, LDL- ja HDL-kolesterolin sekä triglyseridien, nousua havaittiin </w:t>
      </w:r>
      <w:r w:rsidR="00C17B7F">
        <w:t>tosilitsumabilla</w:t>
      </w:r>
      <w:r w:rsidR="00C17B7F" w:rsidRPr="0028514E">
        <w:t xml:space="preserve"> </w:t>
      </w:r>
      <w:r w:rsidRPr="0028514E">
        <w:t>hoidetuilla potilailla (ks. kohta 4.8). Suurimmalla osalla potilaista ei havaittu aterogeenisen vaikutuksen lisääntymistä. Kohonneet kokonaiskolesteroliarvot saatiin yleensä hallintaan kolesterolia alentavilla lääkkeillä.</w:t>
      </w:r>
    </w:p>
    <w:p w14:paraId="1D91C6AC" w14:textId="77777777" w:rsidR="005F554F" w:rsidRDefault="005F554F" w:rsidP="006E5F9A">
      <w:pPr>
        <w:pStyle w:val="a4"/>
        <w:ind w:left="0"/>
      </w:pPr>
    </w:p>
    <w:p w14:paraId="7C7F658F" w14:textId="4BBFC377" w:rsidR="003B7027" w:rsidRPr="0028514E" w:rsidRDefault="00296A74" w:rsidP="006E5F9A">
      <w:pPr>
        <w:pStyle w:val="a4"/>
        <w:ind w:left="0"/>
      </w:pPr>
      <w:r w:rsidRPr="0028514E">
        <w:t xml:space="preserve">Rasva-arvot on määritettävä kaikilla potilailla 4–8 viikon kuluttua </w:t>
      </w:r>
      <w:r w:rsidR="00C17B7F">
        <w:t>Avtozma</w:t>
      </w:r>
      <w:r w:rsidRPr="0028514E">
        <w:t>-hoidon aloittamisesta. Potilaita tulisi hoitaa hyperlipidemian paikallisten hoitosuositusten mukaisesti.</w:t>
      </w:r>
    </w:p>
    <w:p w14:paraId="3E681E2E" w14:textId="77777777" w:rsidR="003B7027" w:rsidRPr="0028514E" w:rsidRDefault="003B7027" w:rsidP="006E5F9A">
      <w:pPr>
        <w:pStyle w:val="a4"/>
        <w:ind w:left="0"/>
      </w:pPr>
    </w:p>
    <w:p w14:paraId="3B5A8EAC" w14:textId="77777777" w:rsidR="003B7027" w:rsidRPr="00CA43F5" w:rsidRDefault="00296A74" w:rsidP="006E5F9A">
      <w:pPr>
        <w:rPr>
          <w:i/>
          <w:lang w:val="fi-FI"/>
        </w:rPr>
      </w:pPr>
      <w:r w:rsidRPr="00CA43F5">
        <w:rPr>
          <w:i/>
          <w:lang w:val="fi-FI"/>
        </w:rPr>
        <w:t>Neurologiset häiriöt</w:t>
      </w:r>
    </w:p>
    <w:p w14:paraId="1C202CA9" w14:textId="16BA7C55" w:rsidR="003B7027" w:rsidRPr="0028514E" w:rsidRDefault="00296A74" w:rsidP="006E5F9A">
      <w:pPr>
        <w:pStyle w:val="a4"/>
        <w:ind w:left="0"/>
      </w:pPr>
      <w:r w:rsidRPr="0028514E">
        <w:t xml:space="preserve">Lääkäreiden tulisi kiinnittää erityistä huomiota oireisiin, jotka voivat viitata keskushermoston myeliinikadon puhkeamiseen. Toistaiseksi ei tiedetä, liittyykö </w:t>
      </w:r>
      <w:r w:rsidR="00C17B7F">
        <w:t>Avtozma</w:t>
      </w:r>
      <w:r w:rsidRPr="0028514E">
        <w:t>-hoitoon keskushermoston myeliinikatoa.</w:t>
      </w:r>
    </w:p>
    <w:p w14:paraId="195E1083" w14:textId="77777777" w:rsidR="003B7027" w:rsidRPr="0028514E" w:rsidRDefault="003B7027" w:rsidP="006E5F9A">
      <w:pPr>
        <w:pStyle w:val="a4"/>
        <w:ind w:left="0"/>
      </w:pPr>
    </w:p>
    <w:p w14:paraId="48AC1F25" w14:textId="77777777" w:rsidR="003B7027" w:rsidRPr="00CA43F5" w:rsidRDefault="00296A74" w:rsidP="009E78E1">
      <w:pPr>
        <w:rPr>
          <w:i/>
          <w:lang w:val="fi-FI"/>
        </w:rPr>
      </w:pPr>
      <w:r w:rsidRPr="00CA43F5">
        <w:rPr>
          <w:i/>
          <w:lang w:val="fi-FI"/>
        </w:rPr>
        <w:t>Maligniteetti</w:t>
      </w:r>
    </w:p>
    <w:p w14:paraId="0E33B911" w14:textId="77777777" w:rsidR="003B7027" w:rsidRPr="0028514E" w:rsidRDefault="00296A74" w:rsidP="009E78E1">
      <w:pPr>
        <w:pStyle w:val="a4"/>
        <w:ind w:left="0"/>
      </w:pPr>
      <w:r w:rsidRPr="0028514E">
        <w:t>Nivelreumapotilailla on lisääntynyt pahanlaatuisten kasvainten riski. Immunomodulatoriset lääkkeet voivat suurentaa tätä riskiä.</w:t>
      </w:r>
    </w:p>
    <w:p w14:paraId="714F86DB" w14:textId="77777777" w:rsidR="001A2F77" w:rsidRPr="0028514E" w:rsidRDefault="001A2F77" w:rsidP="009E78E1">
      <w:pPr>
        <w:pStyle w:val="a4"/>
        <w:ind w:left="0"/>
      </w:pPr>
    </w:p>
    <w:p w14:paraId="12F57CEB" w14:textId="77777777" w:rsidR="003B7027" w:rsidRPr="00CA43F5" w:rsidRDefault="00296A74" w:rsidP="009E78E1">
      <w:pPr>
        <w:rPr>
          <w:i/>
          <w:lang w:val="fi-FI"/>
        </w:rPr>
      </w:pPr>
      <w:r w:rsidRPr="00CA43F5">
        <w:rPr>
          <w:i/>
          <w:lang w:val="fi-FI"/>
        </w:rPr>
        <w:t>Rokotukset</w:t>
      </w:r>
    </w:p>
    <w:p w14:paraId="6EC5F280" w14:textId="581FA36C" w:rsidR="003B7027" w:rsidRPr="0028514E" w:rsidRDefault="00296A74" w:rsidP="009E78E1">
      <w:pPr>
        <w:pStyle w:val="a4"/>
        <w:ind w:left="0"/>
      </w:pPr>
      <w:r w:rsidRPr="0028514E">
        <w:t xml:space="preserve">Eläviä tai eläviä heikennettyjä taudinaiheuttajia sisältäviä rokotteita ei tulisi antaa </w:t>
      </w:r>
      <w:r w:rsidR="004C5491">
        <w:t>Avtozma</w:t>
      </w:r>
      <w:r w:rsidRPr="0028514E">
        <w:t xml:space="preserve">-hoidon aikana, sillä niiden kliinistä turvallisuutta ei ole osoitettu. Avoimessa satunnaistetussa tutkimuksessa </w:t>
      </w:r>
      <w:r w:rsidR="004C5491">
        <w:t>Tosilitsumabin</w:t>
      </w:r>
      <w:r w:rsidR="004C5491" w:rsidRPr="0028514E">
        <w:t xml:space="preserve"> </w:t>
      </w:r>
      <w:r w:rsidRPr="0028514E">
        <w:t xml:space="preserve">ja MTX:n yhdistelmällä hoidetut aikuiset nivelreumapotilaat saavuttivat tehokkaan vasteen sekä 23-valenttiselle pneumokokkipolysakkaridi- että jäykkäkouristusrokotteelle. Vaste oli verrattavissa pelkkää MTX-hoitoa saaneiden potilaiden vasteeseen. Kaikille potilaille, etenkin lapsille tai iäkkäille, suositellaan kaikkien ajantasaisten rokotusten antamista voimassa olevien rokotussuositusten mukaisesti ennen </w:t>
      </w:r>
      <w:r w:rsidR="004C5491">
        <w:t>Avtozma</w:t>
      </w:r>
      <w:r w:rsidRPr="0028514E">
        <w:t xml:space="preserve">-hoidon aloittamista. Eläviä taudinaiheuttajia sisältävien </w:t>
      </w:r>
      <w:r w:rsidRPr="0028514E">
        <w:lastRenderedPageBreak/>
        <w:t xml:space="preserve">rokotteiden antamisen ja </w:t>
      </w:r>
      <w:r w:rsidR="004C5491">
        <w:t>Avtozma</w:t>
      </w:r>
      <w:r w:rsidRPr="0028514E">
        <w:t>-hoidon aloittamisen välillä on pidettävä tauko, jonka kesto on nykyisten immunosuppressantteja koskevien rokotussuositusten mukainen.</w:t>
      </w:r>
    </w:p>
    <w:p w14:paraId="3AF4FC01" w14:textId="77777777" w:rsidR="001A2F77" w:rsidRPr="0028514E" w:rsidRDefault="001A2F77" w:rsidP="009E78E1">
      <w:pPr>
        <w:pStyle w:val="a4"/>
        <w:ind w:left="0"/>
      </w:pPr>
    </w:p>
    <w:p w14:paraId="63749498" w14:textId="77777777" w:rsidR="003B7027" w:rsidRPr="00CA43F5" w:rsidRDefault="00296A74" w:rsidP="00A71F3E">
      <w:pPr>
        <w:keepNext/>
        <w:rPr>
          <w:i/>
          <w:lang w:val="fi-FI"/>
        </w:rPr>
      </w:pPr>
      <w:r w:rsidRPr="00CA43F5">
        <w:rPr>
          <w:i/>
          <w:lang w:val="fi-FI"/>
        </w:rPr>
        <w:t>Sydän- ja verisuonitautiriski</w:t>
      </w:r>
    </w:p>
    <w:p w14:paraId="0A756A15" w14:textId="77777777" w:rsidR="003B7027" w:rsidRPr="0028514E" w:rsidRDefault="00296A74" w:rsidP="009E78E1">
      <w:pPr>
        <w:pStyle w:val="a4"/>
        <w:ind w:left="0"/>
      </w:pPr>
      <w:r w:rsidRPr="0028514E">
        <w:t>Nivelreumapotilailla on suurentunut sydän- ja verisuonisairauksien riski, ja riskitekijöiden (esim. hypertensio, hyperlipidemia) hallinnan tulisi olla osa näiden potilaiden tavanomaista perushoitoa.</w:t>
      </w:r>
    </w:p>
    <w:p w14:paraId="55735975" w14:textId="77777777" w:rsidR="001A2F77" w:rsidRPr="0028514E" w:rsidRDefault="001A2F77" w:rsidP="009E78E1">
      <w:pPr>
        <w:pStyle w:val="a4"/>
        <w:ind w:left="0"/>
      </w:pPr>
    </w:p>
    <w:p w14:paraId="453BAF53" w14:textId="77777777" w:rsidR="003B7027" w:rsidRPr="00CA43F5" w:rsidRDefault="00296A74" w:rsidP="009E78E1">
      <w:pPr>
        <w:rPr>
          <w:i/>
          <w:lang w:val="fi-FI"/>
        </w:rPr>
      </w:pPr>
      <w:r w:rsidRPr="00CA43F5">
        <w:rPr>
          <w:i/>
          <w:lang w:val="fi-FI"/>
        </w:rPr>
        <w:t>Yhteiskäyttö TNF-estäjien kanssa</w:t>
      </w:r>
    </w:p>
    <w:p w14:paraId="1DC1EA7B" w14:textId="6FC92BEC" w:rsidR="003B7027" w:rsidRPr="0028514E" w:rsidRDefault="004C5491" w:rsidP="009E78E1">
      <w:pPr>
        <w:pStyle w:val="a4"/>
        <w:ind w:left="0"/>
      </w:pPr>
      <w:r>
        <w:t>Avtozman</w:t>
      </w:r>
      <w:r w:rsidRPr="0028514E" w:rsidDel="004C5491">
        <w:t xml:space="preserve"> </w:t>
      </w:r>
      <w:r w:rsidR="00296A74" w:rsidRPr="0028514E">
        <w:t xml:space="preserve">käytöstä yhdessä TNF-estäjien tai muiden biologisten reumalääkkeiden kanssa ei ole kokemuksia nivelreumaa sairastavilla potilailla. </w:t>
      </w:r>
      <w:r>
        <w:t>Avtozman</w:t>
      </w:r>
      <w:r w:rsidRPr="0028514E" w:rsidDel="004C5491">
        <w:t xml:space="preserve"> </w:t>
      </w:r>
      <w:r w:rsidR="00296A74" w:rsidRPr="0028514E">
        <w:t>käyttöä yhdessä muiden biologisten reumalääkkeiden kanssa ei suositella.</w:t>
      </w:r>
    </w:p>
    <w:p w14:paraId="334D36AB" w14:textId="77777777" w:rsidR="001A2F77" w:rsidRPr="0028514E" w:rsidRDefault="001A2F77" w:rsidP="009E78E1">
      <w:pPr>
        <w:pStyle w:val="a4"/>
        <w:ind w:left="0"/>
      </w:pPr>
    </w:p>
    <w:p w14:paraId="34370AA0" w14:textId="77777777" w:rsidR="003B7027" w:rsidRPr="00CA43F5" w:rsidRDefault="00296A74" w:rsidP="006E5F9A">
      <w:pPr>
        <w:rPr>
          <w:i/>
          <w:lang w:val="fi-FI"/>
        </w:rPr>
      </w:pPr>
      <w:r w:rsidRPr="00CA43F5">
        <w:rPr>
          <w:i/>
          <w:lang w:val="fi-FI"/>
        </w:rPr>
        <w:t>Jättisoluarteriitti</w:t>
      </w:r>
    </w:p>
    <w:p w14:paraId="3E9F610F" w14:textId="13A6EAE2" w:rsidR="003B7027" w:rsidRPr="0028514E" w:rsidRDefault="004C5491" w:rsidP="006E5F9A">
      <w:pPr>
        <w:pStyle w:val="a4"/>
        <w:ind w:left="0"/>
      </w:pPr>
      <w:r>
        <w:t>Avtozma</w:t>
      </w:r>
      <w:r w:rsidR="00296A74" w:rsidRPr="0028514E">
        <w:t>-monoterapiaa ei saa käyttää akuuttien relapsien hoitoon, koska sen tehoa niiden hoitoon ei ole varmistettu. Potilaalle pitää antaa glukokortikoideja lääkärin harkinnan ja hoitokäytännön mukaan.</w:t>
      </w:r>
    </w:p>
    <w:p w14:paraId="035B5A7D" w14:textId="77777777" w:rsidR="001A2F77" w:rsidRPr="0028514E" w:rsidRDefault="001A2F77" w:rsidP="006E5F9A">
      <w:pPr>
        <w:pStyle w:val="a4"/>
        <w:ind w:left="0"/>
      </w:pPr>
    </w:p>
    <w:p w14:paraId="62AB1F50" w14:textId="77777777" w:rsidR="003B7027" w:rsidRPr="00CA43F5" w:rsidRDefault="00296A74" w:rsidP="006E5F9A">
      <w:pPr>
        <w:rPr>
          <w:i/>
          <w:lang w:val="fi-FI"/>
        </w:rPr>
      </w:pPr>
      <w:r w:rsidRPr="00CA43F5">
        <w:rPr>
          <w:i/>
          <w:lang w:val="fi-FI"/>
        </w:rPr>
        <w:t>Yleisoireista lastenreumaa sairastavat potilaat</w:t>
      </w:r>
    </w:p>
    <w:p w14:paraId="59DD18DA" w14:textId="058D942E" w:rsidR="003B7027" w:rsidRPr="0028514E" w:rsidRDefault="00296A74" w:rsidP="006E5F9A">
      <w:pPr>
        <w:pStyle w:val="a4"/>
        <w:ind w:left="0"/>
      </w:pPr>
      <w:r w:rsidRPr="0028514E">
        <w:t xml:space="preserve">Makrofagiaktivaatio-oireyhtymä (MAS) on vakava henkeä uhkaava tila, joka voi kehittyä yleisoireista lastenreumaa sairastaville potilaille. Kliinisissä tutkimuksissa </w:t>
      </w:r>
      <w:r w:rsidR="004C5491">
        <w:t>tosilitsumabia</w:t>
      </w:r>
      <w:r w:rsidR="004C5491" w:rsidRPr="0028514E">
        <w:t xml:space="preserve"> </w:t>
      </w:r>
      <w:r w:rsidRPr="0028514E">
        <w:t>ei ole tutkittu aktiivisen makrofagiaktivaatio-oireyhtymän oireita saaneilla potilailla.</w:t>
      </w:r>
    </w:p>
    <w:p w14:paraId="120F4667" w14:textId="77777777" w:rsidR="003B7027" w:rsidRDefault="003B7027" w:rsidP="006E5F9A">
      <w:pPr>
        <w:pStyle w:val="a4"/>
        <w:ind w:left="0"/>
      </w:pPr>
    </w:p>
    <w:p w14:paraId="69520046" w14:textId="77777777" w:rsidR="004C5491" w:rsidRDefault="004C5491" w:rsidP="004C5491">
      <w:pPr>
        <w:pStyle w:val="a4"/>
        <w:ind w:left="0"/>
      </w:pPr>
      <w:r>
        <w:rPr>
          <w:u w:val="single"/>
        </w:rPr>
        <w:t>Apuaineet, joiden vaikutus tunnetaan</w:t>
      </w:r>
    </w:p>
    <w:p w14:paraId="315C0CE6" w14:textId="77777777" w:rsidR="004C5491" w:rsidRDefault="004C5491" w:rsidP="004C5491">
      <w:pPr>
        <w:pStyle w:val="a4"/>
        <w:ind w:left="0"/>
        <w:rPr>
          <w:i/>
          <w:iCs/>
        </w:rPr>
      </w:pPr>
    </w:p>
    <w:p w14:paraId="09E17DDC" w14:textId="06F64906" w:rsidR="004C5491" w:rsidRDefault="004C5491" w:rsidP="004C5491">
      <w:pPr>
        <w:pStyle w:val="a4"/>
        <w:ind w:left="0"/>
      </w:pPr>
      <w:r>
        <w:rPr>
          <w:i/>
          <w:iCs/>
        </w:rPr>
        <w:t>Polysorbaatti</w:t>
      </w:r>
    </w:p>
    <w:p w14:paraId="6026305F" w14:textId="5C8374E7" w:rsidR="004C5491" w:rsidRDefault="004C5491" w:rsidP="004C5491">
      <w:pPr>
        <w:pStyle w:val="a4"/>
        <w:ind w:left="0"/>
      </w:pPr>
      <w:r>
        <w:t>Yksi 162 mg:n esitäytetty ruisku sisältää 0,2 mg polysorbaatti</w:t>
      </w:r>
      <w:r w:rsidR="00484863">
        <w:rPr>
          <w:rFonts w:eastAsia="맑은 고딕" w:hint="eastAsia"/>
          <w:lang w:eastAsia="ko-KR"/>
        </w:rPr>
        <w:t xml:space="preserve"> 80</w:t>
      </w:r>
      <w:r w:rsidR="0042468E">
        <w:rPr>
          <w:rFonts w:eastAsia="맑은 고딕"/>
          <w:lang w:eastAsia="ko-KR"/>
        </w:rPr>
        <w:t>:tä</w:t>
      </w:r>
      <w:r>
        <w:t>.</w:t>
      </w:r>
    </w:p>
    <w:p w14:paraId="7AA22750" w14:textId="341A9410" w:rsidR="004C5491" w:rsidRDefault="004C5491" w:rsidP="004C5491">
      <w:pPr>
        <w:pStyle w:val="a4"/>
        <w:ind w:left="0"/>
      </w:pPr>
      <w:r>
        <w:t>Polysorbaatit saattavat aiheuttaa allergisia reaktioita. Potilaiden, joilla on polysorbaattiallergia, ei pidä ottaa tätä lääkettä.</w:t>
      </w:r>
    </w:p>
    <w:p w14:paraId="7C6C7C22" w14:textId="77777777" w:rsidR="004C5491" w:rsidRPr="0028514E" w:rsidRDefault="004C5491" w:rsidP="006E5F9A">
      <w:pPr>
        <w:pStyle w:val="a4"/>
        <w:ind w:left="0"/>
      </w:pPr>
    </w:p>
    <w:p w14:paraId="6F0CA3C6" w14:textId="77777777" w:rsidR="003B7027" w:rsidRPr="0028514E" w:rsidRDefault="00296A74" w:rsidP="006E5F9A">
      <w:pPr>
        <w:pStyle w:val="2"/>
      </w:pPr>
      <w:r w:rsidRPr="0028514E">
        <w:t>4.5</w:t>
      </w:r>
      <w:r w:rsidRPr="0028514E">
        <w:tab/>
        <w:t>Yhteisvaikutukset muiden lääkevalmisteiden kanssa sekä muut yhteisvaikutukset</w:t>
      </w:r>
    </w:p>
    <w:p w14:paraId="52F3D246" w14:textId="77777777" w:rsidR="001A2F77" w:rsidRPr="009A3CB5" w:rsidRDefault="001A2F77" w:rsidP="001C1F69">
      <w:pPr>
        <w:rPr>
          <w:lang w:val="fi-FI"/>
        </w:rPr>
      </w:pPr>
    </w:p>
    <w:p w14:paraId="6ED69E45" w14:textId="77777777" w:rsidR="003B7027" w:rsidRPr="0028514E" w:rsidRDefault="00296A74" w:rsidP="006E5F9A">
      <w:pPr>
        <w:pStyle w:val="a4"/>
        <w:ind w:left="0"/>
      </w:pPr>
      <w:r w:rsidRPr="0028514E">
        <w:t>Yhteisvaikutuksia on tutkittu vain aikuisille tehdyissä tutkimuksissa.</w:t>
      </w:r>
    </w:p>
    <w:p w14:paraId="3A82AAE9" w14:textId="77777777" w:rsidR="003B7027" w:rsidRPr="0028514E" w:rsidRDefault="003B7027" w:rsidP="006E5F9A">
      <w:pPr>
        <w:pStyle w:val="a4"/>
        <w:ind w:left="0"/>
      </w:pPr>
    </w:p>
    <w:p w14:paraId="41E39193" w14:textId="237A6568" w:rsidR="003B7027" w:rsidRPr="0028514E" w:rsidRDefault="008B242C" w:rsidP="006E5F9A">
      <w:pPr>
        <w:pStyle w:val="a4"/>
        <w:ind w:left="0"/>
      </w:pPr>
      <w:r>
        <w:t>Avtozma</w:t>
      </w:r>
      <w:r w:rsidRPr="0028514E">
        <w:t xml:space="preserve"> </w:t>
      </w:r>
      <w:r w:rsidR="00296A74" w:rsidRPr="0028514E">
        <w:t>10 mg/kg kerta-annoksena annettuna ei vaikuttanut kliinisesti merkitsevästi MTX- altistukseen MTX-hoidon (10–25 mg kerran viikossa) aikana.</w:t>
      </w:r>
    </w:p>
    <w:p w14:paraId="52548194" w14:textId="77777777" w:rsidR="003B7027" w:rsidRPr="009E78E1" w:rsidRDefault="003B7027" w:rsidP="006E5F9A">
      <w:pPr>
        <w:pStyle w:val="a4"/>
        <w:ind w:left="0"/>
      </w:pPr>
    </w:p>
    <w:p w14:paraId="0EFBE80E" w14:textId="3A9B3F1D" w:rsidR="003B7027" w:rsidRPr="009E78E1" w:rsidRDefault="00296A74" w:rsidP="006E5F9A">
      <w:pPr>
        <w:pStyle w:val="a4"/>
        <w:ind w:left="0"/>
      </w:pPr>
      <w:r w:rsidRPr="009E78E1">
        <w:t xml:space="preserve">Populaatiofarmakokineettisessä analyysissä havaittiin, etteivät MTX, steroideihin kuulumattomat tulehduskipulääkkeet (NSAID-lääkkeet) eivätkä kortikosteroidit vaikuttaneet nivelreumapotilailla </w:t>
      </w:r>
      <w:r w:rsidR="008B242C">
        <w:t>tosilitsumabin</w:t>
      </w:r>
      <w:r w:rsidR="008B242C" w:rsidRPr="009E78E1">
        <w:t xml:space="preserve"> </w:t>
      </w:r>
      <w:r w:rsidRPr="009E78E1">
        <w:t xml:space="preserve">puhdistumaan. Jättisoluarteriittipotilailla kumulatiivisten kortikosteroidiannosten ei havaittu vaikuttaneen </w:t>
      </w:r>
      <w:r w:rsidR="008B242C">
        <w:t>tosilitsumabi</w:t>
      </w:r>
      <w:r w:rsidRPr="009E78E1">
        <w:t>altistukseen.</w:t>
      </w:r>
    </w:p>
    <w:p w14:paraId="71021A07" w14:textId="77777777" w:rsidR="001A2F77" w:rsidRPr="009E78E1" w:rsidRDefault="001A2F77" w:rsidP="006E5F9A">
      <w:pPr>
        <w:pStyle w:val="a4"/>
        <w:ind w:left="0"/>
      </w:pPr>
    </w:p>
    <w:p w14:paraId="78AD808A" w14:textId="70D1117A" w:rsidR="003B7027" w:rsidRPr="009E78E1" w:rsidRDefault="00296A74" w:rsidP="006E5F9A">
      <w:pPr>
        <w:pStyle w:val="a4"/>
        <w:ind w:left="0"/>
      </w:pPr>
      <w:r w:rsidRPr="009E78E1">
        <w:t xml:space="preserve">Kroonista tulehdusta vahvistavat sytokiinit, kuten IL-6, estävät maksan CYP450-entsyymien ilmentymistä. CYP450-entsyymien ilmentyminen voi siis palautua, kun aloitetaan voimakas sytokiinia estävä lääkitys, esimerkiksi </w:t>
      </w:r>
      <w:r w:rsidR="008B242C">
        <w:t>Avtozma</w:t>
      </w:r>
      <w:r w:rsidRPr="009E78E1">
        <w:t>.</w:t>
      </w:r>
    </w:p>
    <w:p w14:paraId="33293408" w14:textId="77777777" w:rsidR="003B7027" w:rsidRPr="009E78E1" w:rsidRDefault="003B7027" w:rsidP="006E5F9A">
      <w:pPr>
        <w:pStyle w:val="a4"/>
        <w:ind w:left="0"/>
      </w:pPr>
    </w:p>
    <w:p w14:paraId="4EBDE129" w14:textId="1F985C46" w:rsidR="003B7027" w:rsidRPr="009E78E1" w:rsidRDefault="00296A74" w:rsidP="006E5F9A">
      <w:pPr>
        <w:pStyle w:val="a4"/>
        <w:ind w:left="0"/>
      </w:pPr>
      <w:r w:rsidRPr="009E78E1">
        <w:rPr>
          <w:i/>
        </w:rPr>
        <w:t xml:space="preserve">In vitro </w:t>
      </w:r>
      <w:r w:rsidRPr="009E78E1">
        <w:t>-tutkimukset viljellyillä ihmisen maksasoluilla osoittivat, että IL-6 pienensi CYP1A2-</w:t>
      </w:r>
      <w:r w:rsidRPr="009E78E1">
        <w:rPr>
          <w:i/>
        </w:rPr>
        <w:t xml:space="preserve">, </w:t>
      </w:r>
      <w:r w:rsidRPr="009E78E1">
        <w:t xml:space="preserve">CYP2C9-, CYP2C19- ja CYP3A4-entsyymien ilmentymää. </w:t>
      </w:r>
      <w:r w:rsidR="008B242C">
        <w:t>Tosilitsumabi</w:t>
      </w:r>
      <w:r w:rsidR="008B242C" w:rsidRPr="009E78E1">
        <w:t xml:space="preserve"> </w:t>
      </w:r>
      <w:r w:rsidRPr="009E78E1">
        <w:t>normalisoi näiden entsyymien ilmentymää.</w:t>
      </w:r>
    </w:p>
    <w:p w14:paraId="6573BBF5" w14:textId="77777777" w:rsidR="001A2F77" w:rsidRPr="009E78E1" w:rsidRDefault="001A2F77" w:rsidP="006E5F9A">
      <w:pPr>
        <w:pStyle w:val="a4"/>
        <w:ind w:left="0"/>
      </w:pPr>
    </w:p>
    <w:p w14:paraId="23FE8C95" w14:textId="77777777" w:rsidR="003B7027" w:rsidRPr="009E78E1" w:rsidRDefault="00296A74" w:rsidP="006E5F9A">
      <w:pPr>
        <w:pStyle w:val="a4"/>
        <w:ind w:left="0"/>
      </w:pPr>
      <w:r w:rsidRPr="009E78E1">
        <w:t>Kliinisessä tutkimuksessa nivelreumapotilailla simvastatiinipitoisuudet (CYP3A4) olivat laskeneet 57 % viikon kuluttua tosilitsumabin kerta-annoksen antamisesta ja olivat vastaavat tai hieman korkeammat kuin terveillä koehenkilöillä mitatut pitoisuudet.</w:t>
      </w:r>
    </w:p>
    <w:p w14:paraId="7763FD27" w14:textId="77777777" w:rsidR="003B7027" w:rsidRPr="009E78E1" w:rsidRDefault="003B7027" w:rsidP="006E5F9A">
      <w:pPr>
        <w:pStyle w:val="a4"/>
        <w:ind w:left="0"/>
      </w:pPr>
    </w:p>
    <w:p w14:paraId="51F3B6E1" w14:textId="77777777" w:rsidR="003B7027" w:rsidRPr="009E78E1" w:rsidRDefault="00296A74" w:rsidP="006E5F9A">
      <w:pPr>
        <w:pStyle w:val="a4"/>
        <w:ind w:left="0"/>
      </w:pPr>
      <w:r w:rsidRPr="009E78E1">
        <w:t>Potilaita on seurattava tarkoin tosilitsumabihoitoa aloitettaessa tai lopetettaessa, jos he saavat CYP450-entsyymien 3A4, 1A2 tai 2C9 välityksellä metaboloituvia lääkkeitä (esim. metyyliprednisoloni, deksametasoni [oraalisen glukokortikoidihoidon lopettamisoireiden mahdollisuus], atorvastatiini, kalsiuminestäjät, teofylliini, varfariini, fenprokumoni, fenytoiini,</w:t>
      </w:r>
      <w:r w:rsidR="001A2F77" w:rsidRPr="009E78E1">
        <w:t xml:space="preserve"> </w:t>
      </w:r>
      <w:r w:rsidRPr="009E78E1">
        <w:t xml:space="preserve">siklosporiini tai bentsodiatsepiinit). Näiden lääkkeiden annokset määritellään yksilöllisesti ja annosten </w:t>
      </w:r>
      <w:r w:rsidRPr="009E78E1">
        <w:lastRenderedPageBreak/>
        <w:t>suurentaminen saattaa olla tarpeen hoitotehon säilyttämiseksi. Eliminaation pitkän puoliintumisajan (t</w:t>
      </w:r>
      <w:r w:rsidRPr="009E78E1">
        <w:rPr>
          <w:vertAlign w:val="subscript"/>
        </w:rPr>
        <w:t>1/2</w:t>
      </w:r>
      <w:r w:rsidRPr="009E78E1">
        <w:t>) takia tosilitsumabin vaikutus CYP450-entsyymin toimintaan saattaa jatkua vielä useita viikkoja hoidon päättymisen jälkeen.</w:t>
      </w:r>
    </w:p>
    <w:p w14:paraId="0DBBBD5E" w14:textId="77777777" w:rsidR="003B7027" w:rsidRPr="009E78E1" w:rsidRDefault="003B7027" w:rsidP="006E5F9A">
      <w:pPr>
        <w:pStyle w:val="a4"/>
        <w:ind w:left="0"/>
      </w:pPr>
    </w:p>
    <w:p w14:paraId="765C7AA3" w14:textId="77777777" w:rsidR="003B7027" w:rsidRPr="0028514E" w:rsidRDefault="00296A74" w:rsidP="006E5F9A">
      <w:pPr>
        <w:pStyle w:val="2"/>
      </w:pPr>
      <w:r w:rsidRPr="0028514E">
        <w:t>4.6</w:t>
      </w:r>
      <w:r w:rsidRPr="0028514E">
        <w:tab/>
        <w:t>Hedelmällisyys, raskaus ja imetys</w:t>
      </w:r>
    </w:p>
    <w:p w14:paraId="54D9C7F5" w14:textId="77777777" w:rsidR="001A2F77" w:rsidRPr="0028514E" w:rsidRDefault="001A2F77" w:rsidP="001C1F69"/>
    <w:p w14:paraId="41D8EEE0" w14:textId="77777777" w:rsidR="003B7027" w:rsidRPr="0028514E" w:rsidRDefault="00296A74" w:rsidP="006E5F9A">
      <w:pPr>
        <w:pStyle w:val="a4"/>
        <w:ind w:left="0"/>
      </w:pPr>
      <w:r w:rsidRPr="0028514E">
        <w:rPr>
          <w:u w:val="single"/>
        </w:rPr>
        <w:t>Naiset, jotka voivat tulla raskaaksi</w:t>
      </w:r>
    </w:p>
    <w:p w14:paraId="3A50DE4B" w14:textId="77777777" w:rsidR="003B7027" w:rsidRPr="0028514E" w:rsidRDefault="003B7027" w:rsidP="006E5F9A">
      <w:pPr>
        <w:pStyle w:val="a4"/>
        <w:ind w:left="0"/>
      </w:pPr>
    </w:p>
    <w:p w14:paraId="4B6CB1B2" w14:textId="77777777" w:rsidR="003B7027" w:rsidRPr="0028514E" w:rsidRDefault="00296A74" w:rsidP="006E5F9A">
      <w:pPr>
        <w:pStyle w:val="a4"/>
        <w:ind w:left="0"/>
      </w:pPr>
      <w:r w:rsidRPr="0028514E">
        <w:t>Naisten, jotka voivat tulla raskaaksi, on käytettävä luotettavaa ehkäisyä hoidon aikana ja vähintään kolmen kuukauden ajan hoidon päättymisen jälkeen.</w:t>
      </w:r>
    </w:p>
    <w:p w14:paraId="23E9DA53" w14:textId="77777777" w:rsidR="003B7027" w:rsidRPr="0028514E" w:rsidRDefault="003B7027" w:rsidP="006E5F9A">
      <w:pPr>
        <w:pStyle w:val="a4"/>
        <w:ind w:left="0"/>
      </w:pPr>
    </w:p>
    <w:p w14:paraId="5D6961C4" w14:textId="77777777" w:rsidR="003B7027" w:rsidRPr="0028514E" w:rsidRDefault="00296A74" w:rsidP="006E5F9A">
      <w:pPr>
        <w:pStyle w:val="a4"/>
        <w:ind w:left="0"/>
      </w:pPr>
      <w:r w:rsidRPr="0028514E">
        <w:rPr>
          <w:u w:val="single"/>
        </w:rPr>
        <w:t>Raskaus</w:t>
      </w:r>
    </w:p>
    <w:p w14:paraId="2ED87E36" w14:textId="77777777" w:rsidR="003B7027" w:rsidRPr="0028514E" w:rsidRDefault="003B7027" w:rsidP="006E5F9A">
      <w:pPr>
        <w:pStyle w:val="a4"/>
        <w:ind w:left="0"/>
      </w:pPr>
    </w:p>
    <w:p w14:paraId="426EA792" w14:textId="3318B316" w:rsidR="003B7027" w:rsidRPr="0028514E" w:rsidRDefault="00296A74" w:rsidP="006E5F9A">
      <w:pPr>
        <w:pStyle w:val="a4"/>
        <w:ind w:left="0"/>
      </w:pPr>
      <w:r w:rsidRPr="0028514E">
        <w:t xml:space="preserve">Ei ole riittävästi tietoja </w:t>
      </w:r>
      <w:r w:rsidR="008B242C">
        <w:t>Avtozman</w:t>
      </w:r>
      <w:r w:rsidR="008B242C" w:rsidRPr="0028514E" w:rsidDel="008B242C">
        <w:t xml:space="preserve"> </w:t>
      </w:r>
      <w:r w:rsidRPr="0028514E">
        <w:t>käytöstä raskaana oleville naisille. Eläinkokeissa on havaittu spontaanien keskenmenojen / alkio- ja sikiökuolemien lisääntymistä suuria annoksia annettaessa (ks. kohta 5.3). Mahdollista riskiä ihmisille ei tunneta.</w:t>
      </w:r>
    </w:p>
    <w:p w14:paraId="2A1F7098" w14:textId="77777777" w:rsidR="001A2F77" w:rsidRPr="0028514E" w:rsidRDefault="001A2F77" w:rsidP="006E5F9A">
      <w:pPr>
        <w:pStyle w:val="a4"/>
        <w:ind w:left="0"/>
      </w:pPr>
    </w:p>
    <w:p w14:paraId="132F47EB" w14:textId="559B1BAC" w:rsidR="001A2F77" w:rsidRPr="0028514E" w:rsidRDefault="008B242C" w:rsidP="006E5F9A">
      <w:pPr>
        <w:pStyle w:val="a4"/>
        <w:ind w:left="0"/>
      </w:pPr>
      <w:r>
        <w:t>Avtozmaa</w:t>
      </w:r>
      <w:r w:rsidRPr="0028514E" w:rsidDel="008B242C">
        <w:t xml:space="preserve"> </w:t>
      </w:r>
      <w:r w:rsidR="00296A74" w:rsidRPr="0028514E">
        <w:t>ei pidä käyttää raskauden aikana, ellei se ole ehdottoman välttämätöntä.</w:t>
      </w:r>
    </w:p>
    <w:p w14:paraId="17E6CDE7" w14:textId="77777777" w:rsidR="001A2F77" w:rsidRPr="0028514E" w:rsidRDefault="001A2F77" w:rsidP="006E5F9A">
      <w:pPr>
        <w:pStyle w:val="a4"/>
        <w:ind w:left="0"/>
      </w:pPr>
    </w:p>
    <w:p w14:paraId="0C75CDFE" w14:textId="77777777" w:rsidR="003B7027" w:rsidRPr="0028514E" w:rsidRDefault="00296A74" w:rsidP="006E5F9A">
      <w:pPr>
        <w:pStyle w:val="a4"/>
        <w:keepNext/>
        <w:ind w:left="0"/>
        <w:rPr>
          <w:u w:val="single"/>
        </w:rPr>
      </w:pPr>
      <w:r w:rsidRPr="0028514E">
        <w:rPr>
          <w:u w:val="single"/>
        </w:rPr>
        <w:t>Imetys</w:t>
      </w:r>
    </w:p>
    <w:p w14:paraId="1E6C5028" w14:textId="77777777" w:rsidR="001A2F77" w:rsidRPr="0028514E" w:rsidRDefault="001A2F77" w:rsidP="006E5F9A">
      <w:pPr>
        <w:pStyle w:val="a4"/>
        <w:keepNext/>
        <w:ind w:left="0"/>
      </w:pPr>
    </w:p>
    <w:p w14:paraId="3C4BE1ED" w14:textId="3986C554" w:rsidR="003B7027" w:rsidRPr="0028514E" w:rsidRDefault="00296A74" w:rsidP="006E5F9A">
      <w:pPr>
        <w:pStyle w:val="a4"/>
        <w:ind w:left="0"/>
      </w:pPr>
      <w:r w:rsidRPr="0028514E">
        <w:t xml:space="preserve">Ei tiedetä, erittyykö tosilitsumabi äidinmaitoon ihmisillä. </w:t>
      </w:r>
      <w:r w:rsidR="008B242C">
        <w:t>Avtozman</w:t>
      </w:r>
      <w:r w:rsidR="008B242C" w:rsidRPr="0028514E" w:rsidDel="008B242C">
        <w:t xml:space="preserve"> </w:t>
      </w:r>
      <w:r w:rsidRPr="0028514E">
        <w:t xml:space="preserve">erittymistä äidinmaitoon ei ole tutkittu eläimillä. Harkittaessa imettämisen jatkamista tai keskeyttämistä tai </w:t>
      </w:r>
      <w:r w:rsidR="008B242C">
        <w:t>Avtozma</w:t>
      </w:r>
      <w:r w:rsidRPr="0028514E">
        <w:t xml:space="preserve">-hoidon jatkamista tai keskeyttämistä on otettava huomioon sekä imettämisestä koituva hyöty lapselle että </w:t>
      </w:r>
      <w:r w:rsidR="008B242C">
        <w:t>Avtozma</w:t>
      </w:r>
      <w:r w:rsidRPr="0028514E">
        <w:t>-hoidosta koituva hyöty äidille.</w:t>
      </w:r>
    </w:p>
    <w:p w14:paraId="4627214E" w14:textId="77777777" w:rsidR="003B7027" w:rsidRPr="0028514E" w:rsidRDefault="003B7027" w:rsidP="006E5F9A">
      <w:pPr>
        <w:pStyle w:val="a4"/>
        <w:ind w:left="0"/>
      </w:pPr>
    </w:p>
    <w:p w14:paraId="66358FDD" w14:textId="77777777" w:rsidR="003B7027" w:rsidRPr="0028514E" w:rsidRDefault="00296A74" w:rsidP="006E5F9A">
      <w:pPr>
        <w:pStyle w:val="a4"/>
        <w:keepNext/>
        <w:keepLines/>
        <w:ind w:left="0"/>
      </w:pPr>
      <w:r w:rsidRPr="0028514E">
        <w:rPr>
          <w:u w:val="single"/>
        </w:rPr>
        <w:t>Hedelmällisyys</w:t>
      </w:r>
    </w:p>
    <w:p w14:paraId="2FDD0C05" w14:textId="77777777" w:rsidR="003B7027" w:rsidRPr="0028514E" w:rsidRDefault="003B7027" w:rsidP="006E5F9A">
      <w:pPr>
        <w:pStyle w:val="a4"/>
        <w:ind w:left="0"/>
      </w:pPr>
    </w:p>
    <w:p w14:paraId="4E22E386" w14:textId="024CF419" w:rsidR="003B7027" w:rsidRPr="0028514E" w:rsidRDefault="00296A74" w:rsidP="006E5F9A">
      <w:pPr>
        <w:pStyle w:val="a4"/>
        <w:ind w:left="0"/>
      </w:pPr>
      <w:r w:rsidRPr="0028514E">
        <w:t xml:space="preserve">Käytettävissä olevat ei-kliiniset tiedot eivät viittaa </w:t>
      </w:r>
      <w:r w:rsidR="008B242C">
        <w:t>Avtozma</w:t>
      </w:r>
      <w:r w:rsidRPr="0028514E">
        <w:t>-hoidon vaikuttavan hedelmällisyyteen.</w:t>
      </w:r>
    </w:p>
    <w:p w14:paraId="2B7F5F00" w14:textId="77777777" w:rsidR="003B7027" w:rsidRPr="0028514E" w:rsidRDefault="003B7027" w:rsidP="006E5F9A">
      <w:pPr>
        <w:pStyle w:val="a4"/>
        <w:ind w:left="0"/>
      </w:pPr>
    </w:p>
    <w:p w14:paraId="506C5C3D" w14:textId="77777777" w:rsidR="003B7027" w:rsidRPr="0028514E" w:rsidRDefault="00296A74" w:rsidP="006E5F9A">
      <w:pPr>
        <w:pStyle w:val="2"/>
      </w:pPr>
      <w:r w:rsidRPr="0028514E">
        <w:t>4.7</w:t>
      </w:r>
      <w:r w:rsidRPr="0028514E">
        <w:tab/>
        <w:t>Vaikutus ajokykyyn ja koneidenkäyttökykyyn</w:t>
      </w:r>
    </w:p>
    <w:p w14:paraId="681B76CF" w14:textId="77777777" w:rsidR="001A2F77" w:rsidRPr="009A3CB5" w:rsidRDefault="001A2F77" w:rsidP="001C1F69">
      <w:pPr>
        <w:rPr>
          <w:lang w:val="fi-FI"/>
        </w:rPr>
      </w:pPr>
    </w:p>
    <w:p w14:paraId="00A9DD90" w14:textId="5D3D089F" w:rsidR="003B7027" w:rsidRPr="0028514E" w:rsidRDefault="008B242C" w:rsidP="006E5F9A">
      <w:pPr>
        <w:pStyle w:val="a4"/>
        <w:ind w:left="0"/>
      </w:pPr>
      <w:r>
        <w:t>Tosilitsumabilla</w:t>
      </w:r>
      <w:r w:rsidRPr="0028514E">
        <w:t xml:space="preserve"> </w:t>
      </w:r>
      <w:r w:rsidR="00296A74" w:rsidRPr="0028514E">
        <w:t>on vähäinen vaikutus ajokykyyn ja koneidenkäyttökykyyn (ks. kohta 4.8, huimaus).</w:t>
      </w:r>
    </w:p>
    <w:p w14:paraId="0FA5822E" w14:textId="77777777" w:rsidR="003B7027" w:rsidRPr="0028514E" w:rsidRDefault="003B7027" w:rsidP="006E5F9A">
      <w:pPr>
        <w:pStyle w:val="a4"/>
        <w:ind w:left="0"/>
      </w:pPr>
    </w:p>
    <w:p w14:paraId="5B7FE046" w14:textId="77777777" w:rsidR="003B7027" w:rsidRPr="0028514E" w:rsidRDefault="00296A74" w:rsidP="006E5F9A">
      <w:pPr>
        <w:pStyle w:val="2"/>
      </w:pPr>
      <w:r w:rsidRPr="0028514E">
        <w:t>4.8</w:t>
      </w:r>
      <w:r w:rsidRPr="0028514E">
        <w:tab/>
        <w:t>Haittavaikutukset</w:t>
      </w:r>
    </w:p>
    <w:p w14:paraId="53CBC04C" w14:textId="77777777" w:rsidR="001A2F77" w:rsidRPr="009A3CB5" w:rsidRDefault="001A2F77" w:rsidP="001C1F69">
      <w:pPr>
        <w:rPr>
          <w:lang w:val="fi-FI"/>
        </w:rPr>
      </w:pPr>
    </w:p>
    <w:p w14:paraId="4A9D041E" w14:textId="77777777" w:rsidR="003B7027" w:rsidRPr="0028514E" w:rsidRDefault="00296A74" w:rsidP="006E5F9A">
      <w:pPr>
        <w:pStyle w:val="a4"/>
        <w:ind w:left="0"/>
      </w:pPr>
      <w:r w:rsidRPr="0028514E">
        <w:rPr>
          <w:u w:val="single"/>
        </w:rPr>
        <w:t>Turvallisuusprofiilin yhteenveto</w:t>
      </w:r>
    </w:p>
    <w:p w14:paraId="04B3CAF1" w14:textId="77777777" w:rsidR="003B7027" w:rsidRPr="0028514E" w:rsidRDefault="003B7027" w:rsidP="006E5F9A">
      <w:pPr>
        <w:pStyle w:val="a4"/>
        <w:ind w:left="0"/>
      </w:pPr>
    </w:p>
    <w:p w14:paraId="007D4371" w14:textId="20DD5BC7" w:rsidR="003B7027" w:rsidRPr="0028514E" w:rsidRDefault="00296A74" w:rsidP="006E5F9A">
      <w:pPr>
        <w:pStyle w:val="a4"/>
        <w:ind w:left="0"/>
      </w:pPr>
      <w:r w:rsidRPr="0028514E">
        <w:t>Turvallisuusprofiili perustuu 4</w:t>
      </w:r>
      <w:r w:rsidR="00305766">
        <w:t> </w:t>
      </w:r>
      <w:r w:rsidRPr="0028514E">
        <w:t xml:space="preserve">510 potilaan altistumiseen </w:t>
      </w:r>
      <w:r w:rsidR="008B242C">
        <w:t>tosilitsumabille</w:t>
      </w:r>
      <w:r w:rsidRPr="0028514E">
        <w:t xml:space="preserve"> kliinisissä tutkimuksissa. Valtaosa näistä potilaista osallistui aikuisten nivelreumaa (n = 4</w:t>
      </w:r>
      <w:r w:rsidR="00305766">
        <w:t> </w:t>
      </w:r>
      <w:r w:rsidRPr="0028514E">
        <w:t xml:space="preserve">009) koskeneisiin tutkimuksiin, ja muu kokemus on saatu jättisoluarteriittia (n = 149), polyartriittia (n = 240) ja yleisoireista lastenreumaa (n = 112) koskeneista tutkimuksista. </w:t>
      </w:r>
      <w:r w:rsidR="008B242C">
        <w:t>Tosilitsumabin</w:t>
      </w:r>
      <w:r w:rsidR="008B242C" w:rsidRPr="0028514E">
        <w:t xml:space="preserve"> </w:t>
      </w:r>
      <w:r w:rsidRPr="0028514E">
        <w:t>turvallisuusprofiili on näissä käyttöaiheissa samankaltainen eikä siinä ole havaittavissa eroja.</w:t>
      </w:r>
    </w:p>
    <w:p w14:paraId="6090E8E4" w14:textId="77777777" w:rsidR="003B7027" w:rsidRPr="0028514E" w:rsidRDefault="003B7027" w:rsidP="006E5F9A">
      <w:pPr>
        <w:pStyle w:val="a4"/>
        <w:ind w:left="0"/>
      </w:pPr>
    </w:p>
    <w:p w14:paraId="32435E6D" w14:textId="77777777" w:rsidR="003B7027" w:rsidRPr="0028514E" w:rsidRDefault="00296A74" w:rsidP="006E5F9A">
      <w:pPr>
        <w:pStyle w:val="a4"/>
        <w:ind w:left="0"/>
      </w:pPr>
      <w:r w:rsidRPr="0028514E">
        <w:t>Yleisimmät haittavaikutukset olivat ylähengitystieinfektiot, nasofaryngiitti, päänsärky, hypertensio ja ALAT-arvon nousu.</w:t>
      </w:r>
    </w:p>
    <w:p w14:paraId="5D8A5A9B" w14:textId="77777777" w:rsidR="003B7027" w:rsidRPr="0028514E" w:rsidRDefault="003B7027" w:rsidP="006E5F9A">
      <w:pPr>
        <w:pStyle w:val="a4"/>
        <w:ind w:left="0"/>
      </w:pPr>
    </w:p>
    <w:p w14:paraId="1FC2D270" w14:textId="77777777" w:rsidR="003B7027" w:rsidRPr="0028514E" w:rsidRDefault="00296A74" w:rsidP="006E5F9A">
      <w:pPr>
        <w:pStyle w:val="a4"/>
        <w:ind w:left="0"/>
      </w:pPr>
      <w:r w:rsidRPr="0028514E">
        <w:t>Vakavimmat haittavaikutukset olivat vakavat infektiot, divertikuliitin komplikaatiot ja yliherkkyysreaktiot.</w:t>
      </w:r>
    </w:p>
    <w:p w14:paraId="100FDC45" w14:textId="77777777" w:rsidR="003B7027" w:rsidRPr="0028514E" w:rsidRDefault="003B7027" w:rsidP="006E5F9A">
      <w:pPr>
        <w:pStyle w:val="a4"/>
        <w:ind w:left="0"/>
      </w:pPr>
    </w:p>
    <w:p w14:paraId="4B8204C7" w14:textId="77777777" w:rsidR="003B7027" w:rsidRPr="0028514E" w:rsidRDefault="00296A74" w:rsidP="006E5F9A">
      <w:pPr>
        <w:pStyle w:val="a4"/>
        <w:ind w:left="0"/>
      </w:pPr>
      <w:r w:rsidRPr="0028514E">
        <w:rPr>
          <w:u w:val="single"/>
        </w:rPr>
        <w:t>Taulukoitu lista haittavaikutuksista</w:t>
      </w:r>
    </w:p>
    <w:p w14:paraId="55FE2B98" w14:textId="4BDB96FA" w:rsidR="003B7027" w:rsidRPr="0028514E" w:rsidRDefault="00296A74" w:rsidP="006E5F9A">
      <w:pPr>
        <w:pStyle w:val="a4"/>
        <w:ind w:left="0"/>
      </w:pPr>
      <w:r w:rsidRPr="0028514E">
        <w:t xml:space="preserve">Taulukossa 1 luetellaan haittavaikutukset, jotka on todettu kliinisissä tutkimuksissa ja/tai </w:t>
      </w:r>
      <w:r w:rsidR="008B242C">
        <w:t>tosilitsumabin</w:t>
      </w:r>
      <w:r w:rsidR="008B242C" w:rsidRPr="0028514E">
        <w:t xml:space="preserve"> </w:t>
      </w:r>
      <w:r w:rsidRPr="0028514E">
        <w:t>markkinoille tulon jälkeisessä käytössä spontaanien tapausselostusten, kirjallisuudessa raportoitujen tapausten ja ei-interventiotutkimusohjelmissa todettujen tapausten perusteella. Haittavaikutukset luetellaan MedDRA-elinjärjestelmän mukaan. Kunkin haittavaikutuksen vastaava yleisyysluokka perustuu seuraavaan esitystapaan: hyvin yleinen (≥ 1/10), yleinen (≥ 1/100, &lt; 1/10), melko harvinainen (≥ 1/1 000, &lt; 1/100), harvinainen (≥ 1/10 000, &lt; 1/1 000) tai hyvin harvinainen</w:t>
      </w:r>
      <w:r w:rsidR="001A2F77" w:rsidRPr="0028514E">
        <w:t xml:space="preserve"> </w:t>
      </w:r>
      <w:r w:rsidRPr="0028514E">
        <w:t xml:space="preserve">(&lt; </w:t>
      </w:r>
      <w:r w:rsidRPr="0028514E">
        <w:lastRenderedPageBreak/>
        <w:t>1/10 000). Haittavaikutukset on esitetty kussakin yleisyysluokassa haittavaikutuksen vakavuuden mukaan alenevassa järjestyksessä.</w:t>
      </w:r>
    </w:p>
    <w:p w14:paraId="12DB563D" w14:textId="77777777" w:rsidR="001A2F77" w:rsidRPr="0028514E" w:rsidRDefault="001A2F77" w:rsidP="006E5F9A">
      <w:pPr>
        <w:pStyle w:val="a4"/>
        <w:ind w:left="0"/>
      </w:pPr>
    </w:p>
    <w:p w14:paraId="03882AD8" w14:textId="423BC43F" w:rsidR="003B7027" w:rsidRPr="00CA43F5" w:rsidRDefault="00296A74" w:rsidP="00D440EB">
      <w:pPr>
        <w:pStyle w:val="Tabletitle"/>
        <w:keepNext/>
        <w:ind w:left="0" w:firstLine="0"/>
        <w:rPr>
          <w:lang w:val="fi-FI"/>
        </w:rPr>
      </w:pPr>
      <w:r w:rsidRPr="00CA43F5">
        <w:rPr>
          <w:lang w:val="fi-FI"/>
        </w:rPr>
        <w:t>Taulukko 1.</w:t>
      </w:r>
      <w:r w:rsidR="001A2F77" w:rsidRPr="00CA43F5">
        <w:rPr>
          <w:lang w:val="fi-FI"/>
        </w:rPr>
        <w:tab/>
      </w:r>
      <w:r w:rsidRPr="00CA43F5">
        <w:rPr>
          <w:lang w:val="fi-FI"/>
        </w:rPr>
        <w:t xml:space="preserve">Lista </w:t>
      </w:r>
      <w:r w:rsidR="008B242C" w:rsidRPr="00CA43F5">
        <w:rPr>
          <w:lang w:val="fi-FI"/>
        </w:rPr>
        <w:t>tosilitsumabi</w:t>
      </w:r>
      <w:r w:rsidRPr="00CA43F5">
        <w:rPr>
          <w:lang w:val="fi-FI"/>
        </w:rPr>
        <w:t>hoitoa saaneilla potilailla esiintyneistä haittavaikutuksista</w:t>
      </w:r>
    </w:p>
    <w:p w14:paraId="19E05B4A" w14:textId="77777777" w:rsidR="001A2F77" w:rsidRPr="00CA43F5" w:rsidRDefault="001A2F77" w:rsidP="00D440EB">
      <w:pPr>
        <w:keepNext/>
        <w:rPr>
          <w:i/>
          <w:lang w:val="fi-FI"/>
        </w:rPr>
      </w:pPr>
    </w:p>
    <w:tbl>
      <w:tblPr>
        <w:tblW w:w="500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8" w:type="dxa"/>
          <w:bottom w:w="29" w:type="dxa"/>
          <w:right w:w="28" w:type="dxa"/>
        </w:tblCellMar>
        <w:tblLook w:val="01E0" w:firstRow="1" w:lastRow="1" w:firstColumn="1" w:lastColumn="1" w:noHBand="0" w:noVBand="0"/>
      </w:tblPr>
      <w:tblGrid>
        <w:gridCol w:w="2176"/>
        <w:gridCol w:w="1561"/>
        <w:gridCol w:w="1849"/>
        <w:gridCol w:w="1790"/>
        <w:gridCol w:w="1688"/>
      </w:tblGrid>
      <w:tr w:rsidR="003B7027" w:rsidRPr="00777B93" w14:paraId="64D0A332" w14:textId="77777777" w:rsidTr="002810F2">
        <w:trPr>
          <w:trHeight w:val="20"/>
          <w:tblHeader/>
        </w:trPr>
        <w:tc>
          <w:tcPr>
            <w:tcW w:w="2376" w:type="dxa"/>
            <w:vMerge w:val="restart"/>
          </w:tcPr>
          <w:p w14:paraId="4F1AEFE9" w14:textId="77777777" w:rsidR="003B7027" w:rsidRPr="002A56B1" w:rsidRDefault="00296A74" w:rsidP="00D440EB">
            <w:pPr>
              <w:pStyle w:val="TableParagraph"/>
              <w:keepNext/>
              <w:jc w:val="center"/>
              <w:rPr>
                <w:b/>
                <w:sz w:val="20"/>
                <w:szCs w:val="20"/>
              </w:rPr>
            </w:pPr>
            <w:r w:rsidRPr="002A56B1">
              <w:rPr>
                <w:b/>
                <w:sz w:val="20"/>
                <w:szCs w:val="20"/>
              </w:rPr>
              <w:t>MedDRA-elinjärjestelmäluokka</w:t>
            </w:r>
          </w:p>
        </w:tc>
        <w:tc>
          <w:tcPr>
            <w:tcW w:w="7514" w:type="dxa"/>
            <w:gridSpan w:val="4"/>
          </w:tcPr>
          <w:p w14:paraId="5772A92A" w14:textId="77777777" w:rsidR="003B7027" w:rsidRPr="002A56B1" w:rsidRDefault="00296A74" w:rsidP="00D440EB">
            <w:pPr>
              <w:pStyle w:val="TableParagraph"/>
              <w:keepNext/>
              <w:jc w:val="center"/>
              <w:rPr>
                <w:b/>
                <w:sz w:val="20"/>
                <w:szCs w:val="20"/>
              </w:rPr>
            </w:pPr>
            <w:r w:rsidRPr="002A56B1">
              <w:rPr>
                <w:b/>
                <w:sz w:val="20"/>
                <w:szCs w:val="20"/>
              </w:rPr>
              <w:t>Yleisyysluokat suositelluin termein</w:t>
            </w:r>
          </w:p>
        </w:tc>
      </w:tr>
      <w:tr w:rsidR="003B7027" w:rsidRPr="00777B93" w14:paraId="2F89486E" w14:textId="77777777" w:rsidTr="002810F2">
        <w:trPr>
          <w:trHeight w:val="20"/>
          <w:tblHeader/>
        </w:trPr>
        <w:tc>
          <w:tcPr>
            <w:tcW w:w="2376" w:type="dxa"/>
            <w:vMerge/>
            <w:tcBorders>
              <w:top w:val="nil"/>
            </w:tcBorders>
          </w:tcPr>
          <w:p w14:paraId="3311A76E" w14:textId="77777777" w:rsidR="003B7027" w:rsidRPr="00777B93" w:rsidRDefault="003B7027" w:rsidP="00D440EB">
            <w:pPr>
              <w:keepNext/>
              <w:rPr>
                <w:sz w:val="20"/>
                <w:szCs w:val="20"/>
              </w:rPr>
            </w:pPr>
          </w:p>
        </w:tc>
        <w:tc>
          <w:tcPr>
            <w:tcW w:w="1702" w:type="dxa"/>
          </w:tcPr>
          <w:p w14:paraId="475100E0" w14:textId="77777777" w:rsidR="003B7027" w:rsidRPr="002A56B1" w:rsidRDefault="00296A74" w:rsidP="00D440EB">
            <w:pPr>
              <w:pStyle w:val="TableParagraph"/>
              <w:keepNext/>
              <w:jc w:val="center"/>
              <w:rPr>
                <w:b/>
                <w:sz w:val="20"/>
                <w:szCs w:val="20"/>
              </w:rPr>
            </w:pPr>
            <w:r w:rsidRPr="002A56B1">
              <w:rPr>
                <w:b/>
                <w:sz w:val="20"/>
                <w:szCs w:val="20"/>
              </w:rPr>
              <w:t>Hyvin yleinen</w:t>
            </w:r>
          </w:p>
        </w:tc>
        <w:tc>
          <w:tcPr>
            <w:tcW w:w="2018" w:type="dxa"/>
          </w:tcPr>
          <w:p w14:paraId="099B6A05" w14:textId="77777777" w:rsidR="003B7027" w:rsidRPr="002A56B1" w:rsidRDefault="00296A74" w:rsidP="00D440EB">
            <w:pPr>
              <w:pStyle w:val="TableParagraph"/>
              <w:keepNext/>
              <w:jc w:val="center"/>
              <w:rPr>
                <w:b/>
                <w:sz w:val="20"/>
                <w:szCs w:val="20"/>
              </w:rPr>
            </w:pPr>
            <w:r w:rsidRPr="002A56B1">
              <w:rPr>
                <w:b/>
                <w:sz w:val="20"/>
                <w:szCs w:val="20"/>
              </w:rPr>
              <w:t>Yleinen</w:t>
            </w:r>
          </w:p>
        </w:tc>
        <w:tc>
          <w:tcPr>
            <w:tcW w:w="1953" w:type="dxa"/>
          </w:tcPr>
          <w:p w14:paraId="2A3EF0B9" w14:textId="77777777" w:rsidR="003B7027" w:rsidRPr="002A56B1" w:rsidRDefault="00296A74" w:rsidP="00D440EB">
            <w:pPr>
              <w:pStyle w:val="TableParagraph"/>
              <w:keepNext/>
              <w:jc w:val="center"/>
              <w:rPr>
                <w:b/>
                <w:sz w:val="20"/>
                <w:szCs w:val="20"/>
              </w:rPr>
            </w:pPr>
            <w:r w:rsidRPr="002A56B1">
              <w:rPr>
                <w:b/>
                <w:sz w:val="20"/>
                <w:szCs w:val="20"/>
              </w:rPr>
              <w:t>Melko harvinainen</w:t>
            </w:r>
          </w:p>
        </w:tc>
        <w:tc>
          <w:tcPr>
            <w:tcW w:w="1841" w:type="dxa"/>
          </w:tcPr>
          <w:p w14:paraId="4BA5B7CE" w14:textId="77777777" w:rsidR="003B7027" w:rsidRPr="002A56B1" w:rsidRDefault="00296A74" w:rsidP="00D440EB">
            <w:pPr>
              <w:pStyle w:val="TableParagraph"/>
              <w:keepNext/>
              <w:jc w:val="center"/>
              <w:rPr>
                <w:b/>
                <w:sz w:val="20"/>
                <w:szCs w:val="20"/>
              </w:rPr>
            </w:pPr>
            <w:r w:rsidRPr="002A56B1">
              <w:rPr>
                <w:b/>
                <w:sz w:val="20"/>
                <w:szCs w:val="20"/>
              </w:rPr>
              <w:t>Harvinainen</w:t>
            </w:r>
          </w:p>
        </w:tc>
      </w:tr>
      <w:tr w:rsidR="003B7027" w:rsidRPr="00777B93" w14:paraId="2C8A8EED" w14:textId="77777777" w:rsidTr="002810F2">
        <w:trPr>
          <w:trHeight w:val="20"/>
        </w:trPr>
        <w:tc>
          <w:tcPr>
            <w:tcW w:w="2376" w:type="dxa"/>
          </w:tcPr>
          <w:p w14:paraId="40AC81B2" w14:textId="77777777" w:rsidR="003B7027" w:rsidRPr="002A56B1" w:rsidRDefault="00296A74" w:rsidP="006E5F9A">
            <w:pPr>
              <w:pStyle w:val="TableParagraph"/>
              <w:rPr>
                <w:sz w:val="20"/>
                <w:szCs w:val="20"/>
              </w:rPr>
            </w:pPr>
            <w:r w:rsidRPr="002A56B1">
              <w:rPr>
                <w:sz w:val="20"/>
                <w:szCs w:val="20"/>
              </w:rPr>
              <w:t>Infektiot</w:t>
            </w:r>
          </w:p>
        </w:tc>
        <w:tc>
          <w:tcPr>
            <w:tcW w:w="1702" w:type="dxa"/>
          </w:tcPr>
          <w:p w14:paraId="34F86C6C" w14:textId="77777777" w:rsidR="003B7027" w:rsidRPr="002A56B1" w:rsidRDefault="00296A74" w:rsidP="006E5F9A">
            <w:pPr>
              <w:pStyle w:val="TableParagraph"/>
              <w:rPr>
                <w:sz w:val="20"/>
                <w:szCs w:val="20"/>
              </w:rPr>
            </w:pPr>
            <w:r w:rsidRPr="002A56B1">
              <w:rPr>
                <w:sz w:val="20"/>
                <w:szCs w:val="20"/>
              </w:rPr>
              <w:t>Ylähengitystie- infektiot</w:t>
            </w:r>
          </w:p>
        </w:tc>
        <w:tc>
          <w:tcPr>
            <w:tcW w:w="2018" w:type="dxa"/>
          </w:tcPr>
          <w:p w14:paraId="39642E25" w14:textId="77777777" w:rsidR="003B7027" w:rsidRPr="002A56B1" w:rsidRDefault="00296A74" w:rsidP="006E5F9A">
            <w:pPr>
              <w:pStyle w:val="TableParagraph"/>
              <w:rPr>
                <w:sz w:val="20"/>
                <w:szCs w:val="20"/>
              </w:rPr>
            </w:pPr>
            <w:r w:rsidRPr="002A56B1">
              <w:rPr>
                <w:sz w:val="20"/>
                <w:szCs w:val="20"/>
              </w:rPr>
              <w:t xml:space="preserve">Selluliitti, keuhkokuume, suun </w:t>
            </w:r>
            <w:r w:rsidRPr="002A56B1">
              <w:rPr>
                <w:i/>
                <w:sz w:val="20"/>
                <w:szCs w:val="20"/>
              </w:rPr>
              <w:t xml:space="preserve">herpes simplex </w:t>
            </w:r>
            <w:r w:rsidRPr="002A56B1">
              <w:rPr>
                <w:sz w:val="20"/>
                <w:szCs w:val="20"/>
              </w:rPr>
              <w:t>-infektio,</w:t>
            </w:r>
            <w:r w:rsidR="001A2F77" w:rsidRPr="002A56B1">
              <w:rPr>
                <w:sz w:val="20"/>
                <w:szCs w:val="20"/>
              </w:rPr>
              <w:t xml:space="preserve"> </w:t>
            </w:r>
            <w:r w:rsidRPr="002A56B1">
              <w:rPr>
                <w:sz w:val="20"/>
                <w:szCs w:val="20"/>
              </w:rPr>
              <w:t>vyöruusu</w:t>
            </w:r>
          </w:p>
        </w:tc>
        <w:tc>
          <w:tcPr>
            <w:tcW w:w="1953" w:type="dxa"/>
          </w:tcPr>
          <w:p w14:paraId="534B2326" w14:textId="77777777" w:rsidR="003B7027" w:rsidRPr="002A56B1" w:rsidRDefault="00296A74" w:rsidP="006E5F9A">
            <w:pPr>
              <w:pStyle w:val="TableParagraph"/>
              <w:rPr>
                <w:sz w:val="20"/>
                <w:szCs w:val="20"/>
              </w:rPr>
            </w:pPr>
            <w:r w:rsidRPr="002A56B1">
              <w:rPr>
                <w:sz w:val="20"/>
                <w:szCs w:val="20"/>
              </w:rPr>
              <w:t>Divertikuliitti</w:t>
            </w:r>
          </w:p>
        </w:tc>
        <w:tc>
          <w:tcPr>
            <w:tcW w:w="1841" w:type="dxa"/>
          </w:tcPr>
          <w:p w14:paraId="04903D41" w14:textId="77777777" w:rsidR="003B7027" w:rsidRPr="002A56B1" w:rsidRDefault="003B7027" w:rsidP="006E5F9A">
            <w:pPr>
              <w:pStyle w:val="TableParagraph"/>
              <w:rPr>
                <w:sz w:val="20"/>
                <w:szCs w:val="20"/>
              </w:rPr>
            </w:pPr>
          </w:p>
        </w:tc>
      </w:tr>
      <w:tr w:rsidR="003B7027" w:rsidRPr="00777B93" w14:paraId="616DED7A" w14:textId="77777777" w:rsidTr="002810F2">
        <w:trPr>
          <w:trHeight w:val="20"/>
        </w:trPr>
        <w:tc>
          <w:tcPr>
            <w:tcW w:w="2376" w:type="dxa"/>
          </w:tcPr>
          <w:p w14:paraId="5A99E94C" w14:textId="77777777" w:rsidR="003B7027" w:rsidRPr="002A56B1" w:rsidRDefault="00296A74" w:rsidP="006E5F9A">
            <w:pPr>
              <w:pStyle w:val="TableParagraph"/>
              <w:rPr>
                <w:sz w:val="20"/>
                <w:szCs w:val="20"/>
              </w:rPr>
            </w:pPr>
            <w:r w:rsidRPr="002A56B1">
              <w:rPr>
                <w:sz w:val="20"/>
                <w:szCs w:val="20"/>
              </w:rPr>
              <w:t>Veri ja imukudos</w:t>
            </w:r>
          </w:p>
        </w:tc>
        <w:tc>
          <w:tcPr>
            <w:tcW w:w="1702" w:type="dxa"/>
          </w:tcPr>
          <w:p w14:paraId="5D97E239" w14:textId="77777777" w:rsidR="003B7027" w:rsidRPr="002A56B1" w:rsidRDefault="003B7027" w:rsidP="006E5F9A">
            <w:pPr>
              <w:pStyle w:val="TableParagraph"/>
              <w:rPr>
                <w:sz w:val="20"/>
                <w:szCs w:val="20"/>
              </w:rPr>
            </w:pPr>
          </w:p>
        </w:tc>
        <w:tc>
          <w:tcPr>
            <w:tcW w:w="2018" w:type="dxa"/>
          </w:tcPr>
          <w:p w14:paraId="26CE87D7" w14:textId="77777777" w:rsidR="003B7027" w:rsidRPr="002A56B1" w:rsidRDefault="00296A74" w:rsidP="006E5F9A">
            <w:pPr>
              <w:pStyle w:val="TableParagraph"/>
              <w:rPr>
                <w:sz w:val="20"/>
                <w:szCs w:val="20"/>
              </w:rPr>
            </w:pPr>
            <w:r w:rsidRPr="002A56B1">
              <w:rPr>
                <w:sz w:val="20"/>
                <w:szCs w:val="20"/>
              </w:rPr>
              <w:t>Leukopenia, neutropenia, hypofibrinogenemia</w:t>
            </w:r>
          </w:p>
        </w:tc>
        <w:tc>
          <w:tcPr>
            <w:tcW w:w="1953" w:type="dxa"/>
          </w:tcPr>
          <w:p w14:paraId="5C3E027E" w14:textId="77777777" w:rsidR="003B7027" w:rsidRPr="002A56B1" w:rsidRDefault="003B7027" w:rsidP="006E5F9A">
            <w:pPr>
              <w:pStyle w:val="TableParagraph"/>
              <w:rPr>
                <w:sz w:val="20"/>
                <w:szCs w:val="20"/>
              </w:rPr>
            </w:pPr>
          </w:p>
        </w:tc>
        <w:tc>
          <w:tcPr>
            <w:tcW w:w="1841" w:type="dxa"/>
          </w:tcPr>
          <w:p w14:paraId="51F28F3D" w14:textId="77777777" w:rsidR="003B7027" w:rsidRPr="002A56B1" w:rsidRDefault="003B7027" w:rsidP="006E5F9A">
            <w:pPr>
              <w:pStyle w:val="TableParagraph"/>
              <w:rPr>
                <w:sz w:val="20"/>
                <w:szCs w:val="20"/>
              </w:rPr>
            </w:pPr>
          </w:p>
        </w:tc>
      </w:tr>
      <w:tr w:rsidR="003B7027" w:rsidRPr="00777B93" w14:paraId="1F9049FD" w14:textId="77777777" w:rsidTr="002810F2">
        <w:trPr>
          <w:trHeight w:val="20"/>
        </w:trPr>
        <w:tc>
          <w:tcPr>
            <w:tcW w:w="2376" w:type="dxa"/>
          </w:tcPr>
          <w:p w14:paraId="513C44C0" w14:textId="77777777" w:rsidR="003B7027" w:rsidRPr="002A56B1" w:rsidRDefault="00296A74" w:rsidP="006E5F9A">
            <w:pPr>
              <w:pStyle w:val="TableParagraph"/>
              <w:rPr>
                <w:sz w:val="20"/>
                <w:szCs w:val="20"/>
              </w:rPr>
            </w:pPr>
            <w:r w:rsidRPr="002A56B1">
              <w:rPr>
                <w:sz w:val="20"/>
                <w:szCs w:val="20"/>
              </w:rPr>
              <w:t>Immuunijärjestelmä</w:t>
            </w:r>
          </w:p>
        </w:tc>
        <w:tc>
          <w:tcPr>
            <w:tcW w:w="1702" w:type="dxa"/>
          </w:tcPr>
          <w:p w14:paraId="10265504" w14:textId="77777777" w:rsidR="003B7027" w:rsidRPr="002A56B1" w:rsidRDefault="003B7027" w:rsidP="006E5F9A">
            <w:pPr>
              <w:pStyle w:val="TableParagraph"/>
              <w:rPr>
                <w:sz w:val="20"/>
                <w:szCs w:val="20"/>
              </w:rPr>
            </w:pPr>
          </w:p>
        </w:tc>
        <w:tc>
          <w:tcPr>
            <w:tcW w:w="2018" w:type="dxa"/>
          </w:tcPr>
          <w:p w14:paraId="29983712" w14:textId="77777777" w:rsidR="003B7027" w:rsidRPr="002A56B1" w:rsidRDefault="003B7027" w:rsidP="006E5F9A">
            <w:pPr>
              <w:pStyle w:val="TableParagraph"/>
              <w:rPr>
                <w:sz w:val="20"/>
                <w:szCs w:val="20"/>
              </w:rPr>
            </w:pPr>
          </w:p>
        </w:tc>
        <w:tc>
          <w:tcPr>
            <w:tcW w:w="1953" w:type="dxa"/>
          </w:tcPr>
          <w:p w14:paraId="4F85855B" w14:textId="77777777" w:rsidR="003B7027" w:rsidRPr="002A56B1" w:rsidRDefault="003B7027" w:rsidP="006E5F9A">
            <w:pPr>
              <w:pStyle w:val="TableParagraph"/>
              <w:rPr>
                <w:sz w:val="20"/>
                <w:szCs w:val="20"/>
              </w:rPr>
            </w:pPr>
          </w:p>
        </w:tc>
        <w:tc>
          <w:tcPr>
            <w:tcW w:w="1841" w:type="dxa"/>
          </w:tcPr>
          <w:p w14:paraId="5059C967" w14:textId="77777777" w:rsidR="003B7027" w:rsidRPr="002A56B1" w:rsidRDefault="00296A74" w:rsidP="006E5F9A">
            <w:pPr>
              <w:pStyle w:val="TableParagraph"/>
              <w:rPr>
                <w:sz w:val="20"/>
                <w:szCs w:val="20"/>
              </w:rPr>
            </w:pPr>
            <w:r w:rsidRPr="002A56B1">
              <w:rPr>
                <w:sz w:val="20"/>
                <w:szCs w:val="20"/>
              </w:rPr>
              <w:t>Anafylaksia</w:t>
            </w:r>
            <w:r w:rsidR="00201DF4" w:rsidRPr="002A56B1">
              <w:rPr>
                <w:sz w:val="20"/>
                <w:szCs w:val="20"/>
              </w:rPr>
              <w:t xml:space="preserve"> </w:t>
            </w:r>
            <w:r w:rsidRPr="002A56B1">
              <w:rPr>
                <w:sz w:val="20"/>
                <w:szCs w:val="20"/>
              </w:rPr>
              <w:t>(fataali)</w:t>
            </w:r>
            <w:r w:rsidRPr="002A56B1">
              <w:rPr>
                <w:sz w:val="20"/>
                <w:szCs w:val="20"/>
                <w:vertAlign w:val="superscript"/>
              </w:rPr>
              <w:t>1,</w:t>
            </w:r>
            <w:r w:rsidRPr="002A56B1">
              <w:rPr>
                <w:sz w:val="20"/>
                <w:szCs w:val="20"/>
              </w:rPr>
              <w:t xml:space="preserve"> </w:t>
            </w:r>
            <w:r w:rsidRPr="002A56B1">
              <w:rPr>
                <w:sz w:val="20"/>
                <w:szCs w:val="20"/>
                <w:vertAlign w:val="superscript"/>
              </w:rPr>
              <w:t>2,</w:t>
            </w:r>
            <w:r w:rsidRPr="002A56B1">
              <w:rPr>
                <w:sz w:val="20"/>
                <w:szCs w:val="20"/>
              </w:rPr>
              <w:t xml:space="preserve"> </w:t>
            </w:r>
            <w:r w:rsidRPr="002A56B1">
              <w:rPr>
                <w:sz w:val="20"/>
                <w:szCs w:val="20"/>
                <w:vertAlign w:val="superscript"/>
              </w:rPr>
              <w:t>3</w:t>
            </w:r>
          </w:p>
        </w:tc>
      </w:tr>
      <w:tr w:rsidR="003B7027" w:rsidRPr="00777B93" w14:paraId="592B83E3" w14:textId="77777777" w:rsidTr="002810F2">
        <w:trPr>
          <w:trHeight w:val="20"/>
        </w:trPr>
        <w:tc>
          <w:tcPr>
            <w:tcW w:w="2376" w:type="dxa"/>
          </w:tcPr>
          <w:p w14:paraId="7D733304" w14:textId="77777777" w:rsidR="003B7027" w:rsidRPr="002A56B1" w:rsidRDefault="00296A74" w:rsidP="006E5F9A">
            <w:pPr>
              <w:pStyle w:val="TableParagraph"/>
              <w:rPr>
                <w:sz w:val="20"/>
                <w:szCs w:val="20"/>
              </w:rPr>
            </w:pPr>
            <w:r w:rsidRPr="002A56B1">
              <w:rPr>
                <w:sz w:val="20"/>
                <w:szCs w:val="20"/>
              </w:rPr>
              <w:t>Umpieritys</w:t>
            </w:r>
          </w:p>
        </w:tc>
        <w:tc>
          <w:tcPr>
            <w:tcW w:w="1702" w:type="dxa"/>
          </w:tcPr>
          <w:p w14:paraId="477924ED" w14:textId="77777777" w:rsidR="003B7027" w:rsidRPr="002A56B1" w:rsidRDefault="003B7027" w:rsidP="006E5F9A">
            <w:pPr>
              <w:pStyle w:val="TableParagraph"/>
              <w:rPr>
                <w:sz w:val="20"/>
                <w:szCs w:val="20"/>
              </w:rPr>
            </w:pPr>
          </w:p>
        </w:tc>
        <w:tc>
          <w:tcPr>
            <w:tcW w:w="2018" w:type="dxa"/>
          </w:tcPr>
          <w:p w14:paraId="0D8A7756" w14:textId="77777777" w:rsidR="003B7027" w:rsidRPr="002A56B1" w:rsidRDefault="003B7027" w:rsidP="006E5F9A">
            <w:pPr>
              <w:pStyle w:val="TableParagraph"/>
              <w:rPr>
                <w:sz w:val="20"/>
                <w:szCs w:val="20"/>
              </w:rPr>
            </w:pPr>
          </w:p>
        </w:tc>
        <w:tc>
          <w:tcPr>
            <w:tcW w:w="1953" w:type="dxa"/>
          </w:tcPr>
          <w:p w14:paraId="1410CC8D" w14:textId="77777777" w:rsidR="003B7027" w:rsidRPr="002A56B1" w:rsidRDefault="00296A74" w:rsidP="006E5F9A">
            <w:pPr>
              <w:pStyle w:val="TableParagraph"/>
              <w:rPr>
                <w:sz w:val="20"/>
                <w:szCs w:val="20"/>
              </w:rPr>
            </w:pPr>
            <w:r w:rsidRPr="002A56B1">
              <w:rPr>
                <w:sz w:val="20"/>
                <w:szCs w:val="20"/>
              </w:rPr>
              <w:t>Kilpirauhasen vajaatoiminta</w:t>
            </w:r>
          </w:p>
        </w:tc>
        <w:tc>
          <w:tcPr>
            <w:tcW w:w="1841" w:type="dxa"/>
          </w:tcPr>
          <w:p w14:paraId="6383FA70" w14:textId="77777777" w:rsidR="003B7027" w:rsidRPr="002A56B1" w:rsidRDefault="003B7027" w:rsidP="006E5F9A">
            <w:pPr>
              <w:pStyle w:val="TableParagraph"/>
              <w:rPr>
                <w:sz w:val="20"/>
                <w:szCs w:val="20"/>
              </w:rPr>
            </w:pPr>
          </w:p>
        </w:tc>
      </w:tr>
      <w:tr w:rsidR="003B7027" w:rsidRPr="00777B93" w14:paraId="6418997F" w14:textId="77777777" w:rsidTr="002810F2">
        <w:trPr>
          <w:trHeight w:val="20"/>
        </w:trPr>
        <w:tc>
          <w:tcPr>
            <w:tcW w:w="2376" w:type="dxa"/>
          </w:tcPr>
          <w:p w14:paraId="756F7633" w14:textId="77777777" w:rsidR="003B7027" w:rsidRPr="002A56B1" w:rsidRDefault="00296A74" w:rsidP="006E5F9A">
            <w:pPr>
              <w:pStyle w:val="TableParagraph"/>
              <w:rPr>
                <w:sz w:val="20"/>
                <w:szCs w:val="20"/>
              </w:rPr>
            </w:pPr>
            <w:r w:rsidRPr="002A56B1">
              <w:rPr>
                <w:sz w:val="20"/>
                <w:szCs w:val="20"/>
              </w:rPr>
              <w:t>Aineenvaihdunta ja ravitsemus</w:t>
            </w:r>
          </w:p>
        </w:tc>
        <w:tc>
          <w:tcPr>
            <w:tcW w:w="1702" w:type="dxa"/>
          </w:tcPr>
          <w:p w14:paraId="50168175" w14:textId="77777777" w:rsidR="003B7027" w:rsidRPr="002A56B1" w:rsidRDefault="00296A74" w:rsidP="006E5F9A">
            <w:pPr>
              <w:pStyle w:val="TableParagraph"/>
              <w:rPr>
                <w:sz w:val="20"/>
                <w:szCs w:val="20"/>
              </w:rPr>
            </w:pPr>
            <w:r w:rsidRPr="002A56B1">
              <w:rPr>
                <w:sz w:val="20"/>
                <w:szCs w:val="20"/>
              </w:rPr>
              <w:t>Hyperkoleste- rolemia*</w:t>
            </w:r>
          </w:p>
        </w:tc>
        <w:tc>
          <w:tcPr>
            <w:tcW w:w="2018" w:type="dxa"/>
          </w:tcPr>
          <w:p w14:paraId="0A7133F5" w14:textId="77777777" w:rsidR="003B7027" w:rsidRPr="002A56B1" w:rsidRDefault="003B7027" w:rsidP="006E5F9A">
            <w:pPr>
              <w:pStyle w:val="TableParagraph"/>
              <w:rPr>
                <w:sz w:val="20"/>
                <w:szCs w:val="20"/>
              </w:rPr>
            </w:pPr>
          </w:p>
        </w:tc>
        <w:tc>
          <w:tcPr>
            <w:tcW w:w="1953" w:type="dxa"/>
          </w:tcPr>
          <w:p w14:paraId="33E2F84D" w14:textId="77777777" w:rsidR="003B7027" w:rsidRPr="002A56B1" w:rsidRDefault="00296A74" w:rsidP="006E5F9A">
            <w:pPr>
              <w:pStyle w:val="TableParagraph"/>
              <w:rPr>
                <w:sz w:val="20"/>
                <w:szCs w:val="20"/>
              </w:rPr>
            </w:pPr>
            <w:r w:rsidRPr="002A56B1">
              <w:rPr>
                <w:sz w:val="20"/>
                <w:szCs w:val="20"/>
              </w:rPr>
              <w:t>Hypertriglyseridemia</w:t>
            </w:r>
          </w:p>
        </w:tc>
        <w:tc>
          <w:tcPr>
            <w:tcW w:w="1841" w:type="dxa"/>
          </w:tcPr>
          <w:p w14:paraId="255C6197" w14:textId="77777777" w:rsidR="003B7027" w:rsidRPr="002A56B1" w:rsidRDefault="003B7027" w:rsidP="006E5F9A">
            <w:pPr>
              <w:pStyle w:val="TableParagraph"/>
              <w:rPr>
                <w:sz w:val="20"/>
                <w:szCs w:val="20"/>
              </w:rPr>
            </w:pPr>
          </w:p>
        </w:tc>
      </w:tr>
      <w:tr w:rsidR="003B7027" w:rsidRPr="00777B93" w14:paraId="0D4D1A63" w14:textId="77777777" w:rsidTr="002810F2">
        <w:trPr>
          <w:trHeight w:val="20"/>
        </w:trPr>
        <w:tc>
          <w:tcPr>
            <w:tcW w:w="2376" w:type="dxa"/>
          </w:tcPr>
          <w:p w14:paraId="1EC58D75" w14:textId="77777777" w:rsidR="003B7027" w:rsidRPr="002A56B1" w:rsidRDefault="00296A74" w:rsidP="006E5F9A">
            <w:pPr>
              <w:pStyle w:val="TableParagraph"/>
              <w:rPr>
                <w:sz w:val="20"/>
                <w:szCs w:val="20"/>
              </w:rPr>
            </w:pPr>
            <w:r w:rsidRPr="002A56B1">
              <w:rPr>
                <w:sz w:val="20"/>
                <w:szCs w:val="20"/>
              </w:rPr>
              <w:t>Hermosto</w:t>
            </w:r>
          </w:p>
        </w:tc>
        <w:tc>
          <w:tcPr>
            <w:tcW w:w="1702" w:type="dxa"/>
          </w:tcPr>
          <w:p w14:paraId="1BD07FB2" w14:textId="77777777" w:rsidR="003B7027" w:rsidRPr="002A56B1" w:rsidRDefault="003B7027" w:rsidP="006E5F9A">
            <w:pPr>
              <w:pStyle w:val="TableParagraph"/>
              <w:rPr>
                <w:sz w:val="20"/>
                <w:szCs w:val="20"/>
              </w:rPr>
            </w:pPr>
          </w:p>
        </w:tc>
        <w:tc>
          <w:tcPr>
            <w:tcW w:w="2018" w:type="dxa"/>
          </w:tcPr>
          <w:p w14:paraId="28BFA05D" w14:textId="77777777" w:rsidR="003B7027" w:rsidRPr="002A56B1" w:rsidRDefault="00296A74" w:rsidP="006E5F9A">
            <w:pPr>
              <w:pStyle w:val="TableParagraph"/>
              <w:rPr>
                <w:sz w:val="20"/>
                <w:szCs w:val="20"/>
              </w:rPr>
            </w:pPr>
            <w:r w:rsidRPr="002A56B1">
              <w:rPr>
                <w:sz w:val="20"/>
                <w:szCs w:val="20"/>
              </w:rPr>
              <w:t>Päänsärky, huimaus</w:t>
            </w:r>
          </w:p>
        </w:tc>
        <w:tc>
          <w:tcPr>
            <w:tcW w:w="1953" w:type="dxa"/>
          </w:tcPr>
          <w:p w14:paraId="5A77DB50" w14:textId="77777777" w:rsidR="003B7027" w:rsidRPr="002A56B1" w:rsidRDefault="003B7027" w:rsidP="006E5F9A">
            <w:pPr>
              <w:pStyle w:val="TableParagraph"/>
              <w:rPr>
                <w:sz w:val="20"/>
                <w:szCs w:val="20"/>
              </w:rPr>
            </w:pPr>
          </w:p>
        </w:tc>
        <w:tc>
          <w:tcPr>
            <w:tcW w:w="1841" w:type="dxa"/>
          </w:tcPr>
          <w:p w14:paraId="43256980" w14:textId="77777777" w:rsidR="003B7027" w:rsidRPr="002A56B1" w:rsidRDefault="003B7027" w:rsidP="006E5F9A">
            <w:pPr>
              <w:pStyle w:val="TableParagraph"/>
              <w:rPr>
                <w:sz w:val="20"/>
                <w:szCs w:val="20"/>
              </w:rPr>
            </w:pPr>
          </w:p>
        </w:tc>
      </w:tr>
      <w:tr w:rsidR="003B7027" w:rsidRPr="00777B93" w14:paraId="6BE43EBD" w14:textId="77777777" w:rsidTr="002810F2">
        <w:trPr>
          <w:trHeight w:val="20"/>
        </w:trPr>
        <w:tc>
          <w:tcPr>
            <w:tcW w:w="2376" w:type="dxa"/>
          </w:tcPr>
          <w:p w14:paraId="61F9F4FF" w14:textId="77777777" w:rsidR="003B7027" w:rsidRPr="002A56B1" w:rsidRDefault="00296A74" w:rsidP="006E5F9A">
            <w:pPr>
              <w:pStyle w:val="TableParagraph"/>
              <w:rPr>
                <w:sz w:val="20"/>
                <w:szCs w:val="20"/>
              </w:rPr>
            </w:pPr>
            <w:r w:rsidRPr="002A56B1">
              <w:rPr>
                <w:sz w:val="20"/>
                <w:szCs w:val="20"/>
              </w:rPr>
              <w:t>Silmät</w:t>
            </w:r>
          </w:p>
        </w:tc>
        <w:tc>
          <w:tcPr>
            <w:tcW w:w="1702" w:type="dxa"/>
          </w:tcPr>
          <w:p w14:paraId="4D38BAD8" w14:textId="77777777" w:rsidR="003B7027" w:rsidRPr="002A56B1" w:rsidRDefault="003B7027" w:rsidP="006E5F9A">
            <w:pPr>
              <w:pStyle w:val="TableParagraph"/>
              <w:rPr>
                <w:sz w:val="20"/>
                <w:szCs w:val="20"/>
              </w:rPr>
            </w:pPr>
          </w:p>
        </w:tc>
        <w:tc>
          <w:tcPr>
            <w:tcW w:w="2018" w:type="dxa"/>
          </w:tcPr>
          <w:p w14:paraId="1464D301" w14:textId="77777777" w:rsidR="003B7027" w:rsidRPr="002A56B1" w:rsidRDefault="00296A74" w:rsidP="006E5F9A">
            <w:pPr>
              <w:pStyle w:val="TableParagraph"/>
              <w:rPr>
                <w:sz w:val="20"/>
                <w:szCs w:val="20"/>
              </w:rPr>
            </w:pPr>
            <w:r w:rsidRPr="002A56B1">
              <w:rPr>
                <w:sz w:val="20"/>
                <w:szCs w:val="20"/>
              </w:rPr>
              <w:t>Sidekalvotulehdus</w:t>
            </w:r>
          </w:p>
        </w:tc>
        <w:tc>
          <w:tcPr>
            <w:tcW w:w="1953" w:type="dxa"/>
          </w:tcPr>
          <w:p w14:paraId="7AFF7B5E" w14:textId="77777777" w:rsidR="003B7027" w:rsidRPr="002A56B1" w:rsidRDefault="003B7027" w:rsidP="006E5F9A">
            <w:pPr>
              <w:pStyle w:val="TableParagraph"/>
              <w:rPr>
                <w:sz w:val="20"/>
                <w:szCs w:val="20"/>
              </w:rPr>
            </w:pPr>
          </w:p>
        </w:tc>
        <w:tc>
          <w:tcPr>
            <w:tcW w:w="1841" w:type="dxa"/>
          </w:tcPr>
          <w:p w14:paraId="362CB338" w14:textId="77777777" w:rsidR="003B7027" w:rsidRPr="002A56B1" w:rsidRDefault="003B7027" w:rsidP="006E5F9A">
            <w:pPr>
              <w:pStyle w:val="TableParagraph"/>
              <w:rPr>
                <w:sz w:val="20"/>
                <w:szCs w:val="20"/>
              </w:rPr>
            </w:pPr>
          </w:p>
        </w:tc>
      </w:tr>
      <w:tr w:rsidR="003B7027" w:rsidRPr="00777B93" w14:paraId="39C66C8E" w14:textId="77777777" w:rsidTr="002810F2">
        <w:trPr>
          <w:trHeight w:val="20"/>
        </w:trPr>
        <w:tc>
          <w:tcPr>
            <w:tcW w:w="2376" w:type="dxa"/>
          </w:tcPr>
          <w:p w14:paraId="2E47B8DF" w14:textId="77777777" w:rsidR="003B7027" w:rsidRPr="002A56B1" w:rsidRDefault="00296A74" w:rsidP="006E5F9A">
            <w:pPr>
              <w:pStyle w:val="TableParagraph"/>
              <w:rPr>
                <w:sz w:val="20"/>
                <w:szCs w:val="20"/>
              </w:rPr>
            </w:pPr>
            <w:r w:rsidRPr="002A56B1">
              <w:rPr>
                <w:sz w:val="20"/>
                <w:szCs w:val="20"/>
              </w:rPr>
              <w:t>Verisuonisto</w:t>
            </w:r>
          </w:p>
        </w:tc>
        <w:tc>
          <w:tcPr>
            <w:tcW w:w="1702" w:type="dxa"/>
          </w:tcPr>
          <w:p w14:paraId="108BFF2F" w14:textId="77777777" w:rsidR="003B7027" w:rsidRPr="002A56B1" w:rsidRDefault="003B7027" w:rsidP="006E5F9A">
            <w:pPr>
              <w:pStyle w:val="TableParagraph"/>
              <w:rPr>
                <w:sz w:val="20"/>
                <w:szCs w:val="20"/>
              </w:rPr>
            </w:pPr>
          </w:p>
        </w:tc>
        <w:tc>
          <w:tcPr>
            <w:tcW w:w="2018" w:type="dxa"/>
          </w:tcPr>
          <w:p w14:paraId="65C95C14" w14:textId="77777777" w:rsidR="003B7027" w:rsidRPr="002A56B1" w:rsidRDefault="00296A74" w:rsidP="006E5F9A">
            <w:pPr>
              <w:pStyle w:val="TableParagraph"/>
              <w:rPr>
                <w:sz w:val="20"/>
                <w:szCs w:val="20"/>
              </w:rPr>
            </w:pPr>
            <w:r w:rsidRPr="002A56B1">
              <w:rPr>
                <w:sz w:val="20"/>
                <w:szCs w:val="20"/>
              </w:rPr>
              <w:t>Hypertensio</w:t>
            </w:r>
          </w:p>
        </w:tc>
        <w:tc>
          <w:tcPr>
            <w:tcW w:w="1953" w:type="dxa"/>
          </w:tcPr>
          <w:p w14:paraId="78DE5955" w14:textId="77777777" w:rsidR="003B7027" w:rsidRPr="002A56B1" w:rsidRDefault="003B7027" w:rsidP="006E5F9A">
            <w:pPr>
              <w:pStyle w:val="TableParagraph"/>
              <w:rPr>
                <w:sz w:val="20"/>
                <w:szCs w:val="20"/>
              </w:rPr>
            </w:pPr>
          </w:p>
        </w:tc>
        <w:tc>
          <w:tcPr>
            <w:tcW w:w="1841" w:type="dxa"/>
          </w:tcPr>
          <w:p w14:paraId="05160B91" w14:textId="77777777" w:rsidR="003B7027" w:rsidRPr="002A56B1" w:rsidRDefault="003B7027" w:rsidP="006E5F9A">
            <w:pPr>
              <w:pStyle w:val="TableParagraph"/>
              <w:rPr>
                <w:sz w:val="20"/>
                <w:szCs w:val="20"/>
              </w:rPr>
            </w:pPr>
          </w:p>
        </w:tc>
      </w:tr>
      <w:tr w:rsidR="003B7027" w:rsidRPr="00777B93" w14:paraId="79805FD1" w14:textId="77777777" w:rsidTr="002810F2">
        <w:trPr>
          <w:trHeight w:val="20"/>
        </w:trPr>
        <w:tc>
          <w:tcPr>
            <w:tcW w:w="2376" w:type="dxa"/>
          </w:tcPr>
          <w:p w14:paraId="0C3F43E1" w14:textId="77777777" w:rsidR="003B7027" w:rsidRPr="002A56B1" w:rsidRDefault="00296A74" w:rsidP="006E5F9A">
            <w:pPr>
              <w:pStyle w:val="TableParagraph"/>
              <w:rPr>
                <w:sz w:val="20"/>
                <w:szCs w:val="20"/>
              </w:rPr>
            </w:pPr>
            <w:r w:rsidRPr="002A56B1">
              <w:rPr>
                <w:sz w:val="20"/>
                <w:szCs w:val="20"/>
              </w:rPr>
              <w:t>Hengityselimet,</w:t>
            </w:r>
            <w:r w:rsidR="00201DF4" w:rsidRPr="002A56B1">
              <w:rPr>
                <w:sz w:val="20"/>
                <w:szCs w:val="20"/>
              </w:rPr>
              <w:t xml:space="preserve"> </w:t>
            </w:r>
            <w:r w:rsidRPr="002A56B1">
              <w:rPr>
                <w:sz w:val="20"/>
                <w:szCs w:val="20"/>
              </w:rPr>
              <w:t>rintakehä ja välikarsina</w:t>
            </w:r>
          </w:p>
        </w:tc>
        <w:tc>
          <w:tcPr>
            <w:tcW w:w="1702" w:type="dxa"/>
          </w:tcPr>
          <w:p w14:paraId="721BBC5E" w14:textId="77777777" w:rsidR="003B7027" w:rsidRPr="002A56B1" w:rsidRDefault="003B7027" w:rsidP="006E5F9A">
            <w:pPr>
              <w:pStyle w:val="TableParagraph"/>
              <w:rPr>
                <w:sz w:val="20"/>
                <w:szCs w:val="20"/>
              </w:rPr>
            </w:pPr>
          </w:p>
        </w:tc>
        <w:tc>
          <w:tcPr>
            <w:tcW w:w="2018" w:type="dxa"/>
          </w:tcPr>
          <w:p w14:paraId="2D1653BE" w14:textId="77777777" w:rsidR="003B7027" w:rsidRPr="002A56B1" w:rsidRDefault="00296A74" w:rsidP="006E5F9A">
            <w:pPr>
              <w:pStyle w:val="TableParagraph"/>
              <w:rPr>
                <w:sz w:val="20"/>
                <w:szCs w:val="20"/>
              </w:rPr>
            </w:pPr>
            <w:r w:rsidRPr="002A56B1">
              <w:rPr>
                <w:sz w:val="20"/>
                <w:szCs w:val="20"/>
              </w:rPr>
              <w:t>Yskä,</w:t>
            </w:r>
            <w:r w:rsidR="00201DF4" w:rsidRPr="002A56B1">
              <w:rPr>
                <w:sz w:val="20"/>
                <w:szCs w:val="20"/>
              </w:rPr>
              <w:t xml:space="preserve"> </w:t>
            </w:r>
            <w:r w:rsidRPr="002A56B1">
              <w:rPr>
                <w:sz w:val="20"/>
                <w:szCs w:val="20"/>
              </w:rPr>
              <w:t>hengenahdistus</w:t>
            </w:r>
          </w:p>
        </w:tc>
        <w:tc>
          <w:tcPr>
            <w:tcW w:w="1953" w:type="dxa"/>
          </w:tcPr>
          <w:p w14:paraId="4C976196" w14:textId="77777777" w:rsidR="003B7027" w:rsidRPr="002A56B1" w:rsidRDefault="003B7027" w:rsidP="006E5F9A">
            <w:pPr>
              <w:pStyle w:val="TableParagraph"/>
              <w:rPr>
                <w:sz w:val="20"/>
                <w:szCs w:val="20"/>
              </w:rPr>
            </w:pPr>
          </w:p>
        </w:tc>
        <w:tc>
          <w:tcPr>
            <w:tcW w:w="1841" w:type="dxa"/>
          </w:tcPr>
          <w:p w14:paraId="66878EDB" w14:textId="77777777" w:rsidR="003B7027" w:rsidRPr="002A56B1" w:rsidRDefault="003B7027" w:rsidP="006E5F9A">
            <w:pPr>
              <w:pStyle w:val="TableParagraph"/>
              <w:rPr>
                <w:sz w:val="20"/>
                <w:szCs w:val="20"/>
              </w:rPr>
            </w:pPr>
          </w:p>
        </w:tc>
      </w:tr>
      <w:tr w:rsidR="003B7027" w:rsidRPr="00777B93" w14:paraId="336309EB" w14:textId="77777777" w:rsidTr="002810F2">
        <w:trPr>
          <w:trHeight w:val="20"/>
        </w:trPr>
        <w:tc>
          <w:tcPr>
            <w:tcW w:w="2376" w:type="dxa"/>
          </w:tcPr>
          <w:p w14:paraId="4CE8C338" w14:textId="77777777" w:rsidR="003B7027" w:rsidRPr="002A56B1" w:rsidRDefault="00296A74" w:rsidP="006E5F9A">
            <w:pPr>
              <w:pStyle w:val="TableParagraph"/>
              <w:rPr>
                <w:sz w:val="20"/>
                <w:szCs w:val="20"/>
              </w:rPr>
            </w:pPr>
            <w:r w:rsidRPr="002A56B1">
              <w:rPr>
                <w:sz w:val="20"/>
                <w:szCs w:val="20"/>
              </w:rPr>
              <w:t>Ruoansulatuselimistö</w:t>
            </w:r>
          </w:p>
        </w:tc>
        <w:tc>
          <w:tcPr>
            <w:tcW w:w="1702" w:type="dxa"/>
          </w:tcPr>
          <w:p w14:paraId="18962392" w14:textId="77777777" w:rsidR="003B7027" w:rsidRPr="002A56B1" w:rsidRDefault="003B7027" w:rsidP="006E5F9A">
            <w:pPr>
              <w:pStyle w:val="TableParagraph"/>
              <w:rPr>
                <w:sz w:val="20"/>
                <w:szCs w:val="20"/>
              </w:rPr>
            </w:pPr>
          </w:p>
        </w:tc>
        <w:tc>
          <w:tcPr>
            <w:tcW w:w="2018" w:type="dxa"/>
          </w:tcPr>
          <w:p w14:paraId="52DF64EA" w14:textId="77777777" w:rsidR="003B7027" w:rsidRPr="002A56B1" w:rsidRDefault="00296A74" w:rsidP="006E5F9A">
            <w:pPr>
              <w:pStyle w:val="TableParagraph"/>
              <w:rPr>
                <w:sz w:val="20"/>
                <w:szCs w:val="20"/>
              </w:rPr>
            </w:pPr>
            <w:r w:rsidRPr="002A56B1">
              <w:rPr>
                <w:sz w:val="20"/>
                <w:szCs w:val="20"/>
              </w:rPr>
              <w:t>Vatsakipu, suun haavaumat,</w:t>
            </w:r>
            <w:r w:rsidR="00201DF4" w:rsidRPr="002A56B1">
              <w:rPr>
                <w:sz w:val="20"/>
                <w:szCs w:val="20"/>
              </w:rPr>
              <w:t xml:space="preserve"> </w:t>
            </w:r>
            <w:r w:rsidRPr="002A56B1">
              <w:rPr>
                <w:sz w:val="20"/>
                <w:szCs w:val="20"/>
              </w:rPr>
              <w:t>gastriitti</w:t>
            </w:r>
          </w:p>
        </w:tc>
        <w:tc>
          <w:tcPr>
            <w:tcW w:w="1953" w:type="dxa"/>
          </w:tcPr>
          <w:p w14:paraId="5F2F4CC8" w14:textId="77777777" w:rsidR="003B7027" w:rsidRPr="002A56B1" w:rsidRDefault="00296A74" w:rsidP="006E5F9A">
            <w:pPr>
              <w:pStyle w:val="TableParagraph"/>
              <w:rPr>
                <w:sz w:val="20"/>
                <w:szCs w:val="20"/>
              </w:rPr>
            </w:pPr>
            <w:r w:rsidRPr="002A56B1">
              <w:rPr>
                <w:sz w:val="20"/>
                <w:szCs w:val="20"/>
              </w:rPr>
              <w:t>Suutulehdus, mahahaava</w:t>
            </w:r>
          </w:p>
        </w:tc>
        <w:tc>
          <w:tcPr>
            <w:tcW w:w="1841" w:type="dxa"/>
          </w:tcPr>
          <w:p w14:paraId="34A18473" w14:textId="77777777" w:rsidR="003B7027" w:rsidRPr="002A56B1" w:rsidRDefault="003B7027" w:rsidP="006E5F9A">
            <w:pPr>
              <w:pStyle w:val="TableParagraph"/>
              <w:rPr>
                <w:sz w:val="20"/>
                <w:szCs w:val="20"/>
              </w:rPr>
            </w:pPr>
          </w:p>
        </w:tc>
      </w:tr>
      <w:tr w:rsidR="003B7027" w:rsidRPr="00777B93" w14:paraId="7F04A97E" w14:textId="77777777" w:rsidTr="002810F2">
        <w:trPr>
          <w:trHeight w:val="20"/>
        </w:trPr>
        <w:tc>
          <w:tcPr>
            <w:tcW w:w="2376" w:type="dxa"/>
          </w:tcPr>
          <w:p w14:paraId="7980438D" w14:textId="77777777" w:rsidR="003B7027" w:rsidRPr="002A56B1" w:rsidRDefault="00296A74" w:rsidP="006E5F9A">
            <w:pPr>
              <w:pStyle w:val="TableParagraph"/>
              <w:rPr>
                <w:sz w:val="20"/>
                <w:szCs w:val="20"/>
              </w:rPr>
            </w:pPr>
            <w:r w:rsidRPr="002A56B1">
              <w:rPr>
                <w:sz w:val="20"/>
                <w:szCs w:val="20"/>
              </w:rPr>
              <w:t>Maksa ja sappi</w:t>
            </w:r>
          </w:p>
        </w:tc>
        <w:tc>
          <w:tcPr>
            <w:tcW w:w="1702" w:type="dxa"/>
          </w:tcPr>
          <w:p w14:paraId="48AC677E" w14:textId="77777777" w:rsidR="003B7027" w:rsidRPr="002A56B1" w:rsidRDefault="003B7027" w:rsidP="006E5F9A">
            <w:pPr>
              <w:pStyle w:val="TableParagraph"/>
              <w:rPr>
                <w:sz w:val="20"/>
                <w:szCs w:val="20"/>
              </w:rPr>
            </w:pPr>
          </w:p>
        </w:tc>
        <w:tc>
          <w:tcPr>
            <w:tcW w:w="2018" w:type="dxa"/>
          </w:tcPr>
          <w:p w14:paraId="190B1C93" w14:textId="77777777" w:rsidR="003B7027" w:rsidRPr="002A56B1" w:rsidRDefault="003B7027" w:rsidP="006E5F9A">
            <w:pPr>
              <w:pStyle w:val="TableParagraph"/>
              <w:rPr>
                <w:sz w:val="20"/>
                <w:szCs w:val="20"/>
              </w:rPr>
            </w:pPr>
          </w:p>
        </w:tc>
        <w:tc>
          <w:tcPr>
            <w:tcW w:w="1953" w:type="dxa"/>
          </w:tcPr>
          <w:p w14:paraId="5A53F809" w14:textId="77777777" w:rsidR="003B7027" w:rsidRPr="002A56B1" w:rsidRDefault="003B7027" w:rsidP="006E5F9A">
            <w:pPr>
              <w:pStyle w:val="TableParagraph"/>
              <w:rPr>
                <w:sz w:val="20"/>
                <w:szCs w:val="20"/>
              </w:rPr>
            </w:pPr>
          </w:p>
        </w:tc>
        <w:tc>
          <w:tcPr>
            <w:tcW w:w="1841" w:type="dxa"/>
          </w:tcPr>
          <w:p w14:paraId="625F59CB" w14:textId="77777777" w:rsidR="003B7027" w:rsidRPr="002A56B1" w:rsidRDefault="00296A74" w:rsidP="006E5F9A">
            <w:pPr>
              <w:pStyle w:val="TableParagraph"/>
              <w:rPr>
                <w:sz w:val="20"/>
                <w:szCs w:val="20"/>
              </w:rPr>
            </w:pPr>
            <w:r w:rsidRPr="002A56B1">
              <w:rPr>
                <w:sz w:val="20"/>
                <w:szCs w:val="20"/>
              </w:rPr>
              <w:t>Lääkkeestä aiheutunut maksavaurio, hepatiitti ja ikterus.</w:t>
            </w:r>
            <w:r w:rsidR="002A43CA" w:rsidRPr="002A56B1">
              <w:rPr>
                <w:sz w:val="20"/>
                <w:szCs w:val="20"/>
              </w:rPr>
              <w:t xml:space="preserve"> </w:t>
            </w:r>
            <w:r w:rsidRPr="002A56B1">
              <w:rPr>
                <w:sz w:val="20"/>
                <w:szCs w:val="20"/>
              </w:rPr>
              <w:t>Hyvin harvinainen:</w:t>
            </w:r>
            <w:r w:rsidR="00201DF4" w:rsidRPr="002A56B1">
              <w:rPr>
                <w:sz w:val="20"/>
                <w:szCs w:val="20"/>
              </w:rPr>
              <w:t xml:space="preserve"> </w:t>
            </w:r>
            <w:r w:rsidRPr="002A56B1">
              <w:rPr>
                <w:sz w:val="20"/>
                <w:szCs w:val="20"/>
              </w:rPr>
              <w:t>maksan vajaatoiminta</w:t>
            </w:r>
          </w:p>
        </w:tc>
      </w:tr>
      <w:tr w:rsidR="003B7027" w:rsidRPr="00777B93" w14:paraId="4E25D10A" w14:textId="77777777" w:rsidTr="002810F2">
        <w:trPr>
          <w:trHeight w:val="20"/>
        </w:trPr>
        <w:tc>
          <w:tcPr>
            <w:tcW w:w="2376" w:type="dxa"/>
          </w:tcPr>
          <w:p w14:paraId="70E7446D" w14:textId="77777777" w:rsidR="003B7027" w:rsidRPr="002A56B1" w:rsidRDefault="00296A74" w:rsidP="006E5F9A">
            <w:pPr>
              <w:pStyle w:val="TableParagraph"/>
              <w:rPr>
                <w:sz w:val="20"/>
                <w:szCs w:val="20"/>
              </w:rPr>
            </w:pPr>
            <w:r w:rsidRPr="002A56B1">
              <w:rPr>
                <w:sz w:val="20"/>
                <w:szCs w:val="20"/>
              </w:rPr>
              <w:t>Iho ja ihonalainen kudos</w:t>
            </w:r>
          </w:p>
        </w:tc>
        <w:tc>
          <w:tcPr>
            <w:tcW w:w="1702" w:type="dxa"/>
          </w:tcPr>
          <w:p w14:paraId="7338FAF6" w14:textId="77777777" w:rsidR="003B7027" w:rsidRPr="002A56B1" w:rsidRDefault="003B7027" w:rsidP="006E5F9A">
            <w:pPr>
              <w:pStyle w:val="TableParagraph"/>
              <w:rPr>
                <w:sz w:val="20"/>
                <w:szCs w:val="20"/>
              </w:rPr>
            </w:pPr>
          </w:p>
        </w:tc>
        <w:tc>
          <w:tcPr>
            <w:tcW w:w="2018" w:type="dxa"/>
          </w:tcPr>
          <w:p w14:paraId="6C00A8D3" w14:textId="77777777" w:rsidR="003B7027" w:rsidRPr="002A56B1" w:rsidRDefault="00296A74" w:rsidP="006E5F9A">
            <w:pPr>
              <w:pStyle w:val="TableParagraph"/>
              <w:rPr>
                <w:sz w:val="20"/>
                <w:szCs w:val="20"/>
              </w:rPr>
            </w:pPr>
            <w:r w:rsidRPr="002A56B1">
              <w:rPr>
                <w:sz w:val="20"/>
                <w:szCs w:val="20"/>
              </w:rPr>
              <w:t>Ihottuma, kutina, nokkosihottuma</w:t>
            </w:r>
          </w:p>
        </w:tc>
        <w:tc>
          <w:tcPr>
            <w:tcW w:w="1953" w:type="dxa"/>
          </w:tcPr>
          <w:p w14:paraId="7059916C" w14:textId="77777777" w:rsidR="003B7027" w:rsidRPr="002A56B1" w:rsidRDefault="003B7027" w:rsidP="006E5F9A">
            <w:pPr>
              <w:pStyle w:val="TableParagraph"/>
              <w:rPr>
                <w:sz w:val="20"/>
                <w:szCs w:val="20"/>
              </w:rPr>
            </w:pPr>
          </w:p>
        </w:tc>
        <w:tc>
          <w:tcPr>
            <w:tcW w:w="1841" w:type="dxa"/>
          </w:tcPr>
          <w:p w14:paraId="372CD64B" w14:textId="77777777" w:rsidR="003B7027" w:rsidRPr="002A56B1" w:rsidRDefault="00296A74" w:rsidP="006E5F9A">
            <w:pPr>
              <w:pStyle w:val="TableParagraph"/>
              <w:rPr>
                <w:sz w:val="20"/>
                <w:szCs w:val="20"/>
              </w:rPr>
            </w:pPr>
            <w:r w:rsidRPr="002A56B1">
              <w:rPr>
                <w:color w:val="1C1C1C"/>
                <w:sz w:val="20"/>
                <w:szCs w:val="20"/>
              </w:rPr>
              <w:t>Stevens- Johnsonin</w:t>
            </w:r>
            <w:r w:rsidR="001A2F77" w:rsidRPr="002A56B1">
              <w:rPr>
                <w:color w:val="1C1C1C"/>
                <w:sz w:val="20"/>
                <w:szCs w:val="20"/>
              </w:rPr>
              <w:t xml:space="preserve"> </w:t>
            </w:r>
            <w:r w:rsidRPr="002A56B1">
              <w:rPr>
                <w:color w:val="1C1C1C"/>
                <w:sz w:val="20"/>
                <w:szCs w:val="20"/>
              </w:rPr>
              <w:t>oireyhtymä</w:t>
            </w:r>
            <w:r w:rsidRPr="002A56B1">
              <w:rPr>
                <w:color w:val="1C1C1C"/>
                <w:sz w:val="20"/>
                <w:szCs w:val="20"/>
                <w:vertAlign w:val="superscript"/>
              </w:rPr>
              <w:t>3</w:t>
            </w:r>
          </w:p>
        </w:tc>
      </w:tr>
      <w:tr w:rsidR="003B7027" w:rsidRPr="00777B93" w14:paraId="50B42F0D" w14:textId="77777777" w:rsidTr="002810F2">
        <w:trPr>
          <w:trHeight w:val="20"/>
        </w:trPr>
        <w:tc>
          <w:tcPr>
            <w:tcW w:w="2376" w:type="dxa"/>
          </w:tcPr>
          <w:p w14:paraId="1BD145A6" w14:textId="77777777" w:rsidR="003B7027" w:rsidRPr="002A56B1" w:rsidRDefault="00296A74" w:rsidP="006E5F9A">
            <w:pPr>
              <w:pStyle w:val="TableParagraph"/>
              <w:rPr>
                <w:sz w:val="20"/>
                <w:szCs w:val="20"/>
              </w:rPr>
            </w:pPr>
            <w:r w:rsidRPr="002A56B1">
              <w:rPr>
                <w:sz w:val="20"/>
                <w:szCs w:val="20"/>
              </w:rPr>
              <w:t>Munuaiset ja virtsatiet</w:t>
            </w:r>
          </w:p>
        </w:tc>
        <w:tc>
          <w:tcPr>
            <w:tcW w:w="1702" w:type="dxa"/>
          </w:tcPr>
          <w:p w14:paraId="4669C30D" w14:textId="77777777" w:rsidR="003B7027" w:rsidRPr="002A56B1" w:rsidRDefault="003B7027" w:rsidP="006E5F9A">
            <w:pPr>
              <w:pStyle w:val="TableParagraph"/>
              <w:rPr>
                <w:sz w:val="20"/>
                <w:szCs w:val="20"/>
              </w:rPr>
            </w:pPr>
          </w:p>
        </w:tc>
        <w:tc>
          <w:tcPr>
            <w:tcW w:w="2018" w:type="dxa"/>
          </w:tcPr>
          <w:p w14:paraId="626CAA14" w14:textId="77777777" w:rsidR="003B7027" w:rsidRPr="002A56B1" w:rsidRDefault="003B7027" w:rsidP="006E5F9A">
            <w:pPr>
              <w:pStyle w:val="TableParagraph"/>
              <w:rPr>
                <w:sz w:val="20"/>
                <w:szCs w:val="20"/>
              </w:rPr>
            </w:pPr>
          </w:p>
        </w:tc>
        <w:tc>
          <w:tcPr>
            <w:tcW w:w="1953" w:type="dxa"/>
          </w:tcPr>
          <w:p w14:paraId="7DC5B1BB" w14:textId="77777777" w:rsidR="003B7027" w:rsidRPr="002A56B1" w:rsidRDefault="00296A74" w:rsidP="006E5F9A">
            <w:pPr>
              <w:pStyle w:val="TableParagraph"/>
              <w:rPr>
                <w:sz w:val="20"/>
                <w:szCs w:val="20"/>
              </w:rPr>
            </w:pPr>
            <w:r w:rsidRPr="002A56B1">
              <w:rPr>
                <w:sz w:val="20"/>
                <w:szCs w:val="20"/>
              </w:rPr>
              <w:t>Munuaiskivitauti</w:t>
            </w:r>
          </w:p>
        </w:tc>
        <w:tc>
          <w:tcPr>
            <w:tcW w:w="1841" w:type="dxa"/>
          </w:tcPr>
          <w:p w14:paraId="2440456D" w14:textId="77777777" w:rsidR="003B7027" w:rsidRPr="002A56B1" w:rsidRDefault="003B7027" w:rsidP="006E5F9A">
            <w:pPr>
              <w:pStyle w:val="TableParagraph"/>
              <w:rPr>
                <w:sz w:val="20"/>
                <w:szCs w:val="20"/>
              </w:rPr>
            </w:pPr>
          </w:p>
        </w:tc>
      </w:tr>
      <w:tr w:rsidR="003B7027" w:rsidRPr="00777B93" w14:paraId="312A2F5A" w14:textId="77777777" w:rsidTr="002810F2">
        <w:trPr>
          <w:trHeight w:val="20"/>
        </w:trPr>
        <w:tc>
          <w:tcPr>
            <w:tcW w:w="2376" w:type="dxa"/>
          </w:tcPr>
          <w:p w14:paraId="2B7DF85D" w14:textId="77777777" w:rsidR="003B7027" w:rsidRPr="002A56B1" w:rsidRDefault="00296A74" w:rsidP="006E5F9A">
            <w:pPr>
              <w:pStyle w:val="TableParagraph"/>
              <w:rPr>
                <w:sz w:val="20"/>
                <w:szCs w:val="20"/>
              </w:rPr>
            </w:pPr>
            <w:r w:rsidRPr="002A56B1">
              <w:rPr>
                <w:sz w:val="20"/>
                <w:szCs w:val="20"/>
              </w:rPr>
              <w:t>Yleisoireet ja antopaikassa todettavat haitat</w:t>
            </w:r>
          </w:p>
        </w:tc>
        <w:tc>
          <w:tcPr>
            <w:tcW w:w="1702" w:type="dxa"/>
          </w:tcPr>
          <w:p w14:paraId="1AADDE2E" w14:textId="77777777" w:rsidR="003B7027" w:rsidRPr="002A56B1" w:rsidRDefault="00296A74" w:rsidP="006E5F9A">
            <w:pPr>
              <w:pStyle w:val="TableParagraph"/>
              <w:rPr>
                <w:sz w:val="20"/>
                <w:szCs w:val="20"/>
              </w:rPr>
            </w:pPr>
            <w:r w:rsidRPr="002A56B1">
              <w:rPr>
                <w:sz w:val="20"/>
                <w:szCs w:val="20"/>
              </w:rPr>
              <w:t>Injektiokohdan reaktiot</w:t>
            </w:r>
          </w:p>
        </w:tc>
        <w:tc>
          <w:tcPr>
            <w:tcW w:w="2018" w:type="dxa"/>
          </w:tcPr>
          <w:p w14:paraId="1B314EC0" w14:textId="77777777" w:rsidR="003B7027" w:rsidRPr="002A56B1" w:rsidRDefault="00296A74" w:rsidP="006E5F9A">
            <w:pPr>
              <w:pStyle w:val="TableParagraph"/>
              <w:rPr>
                <w:sz w:val="20"/>
                <w:szCs w:val="20"/>
              </w:rPr>
            </w:pPr>
            <w:r w:rsidRPr="002A56B1">
              <w:rPr>
                <w:sz w:val="20"/>
                <w:szCs w:val="20"/>
              </w:rPr>
              <w:t>Perifeerinen ödeema, yliherkkyysreaktiot</w:t>
            </w:r>
          </w:p>
        </w:tc>
        <w:tc>
          <w:tcPr>
            <w:tcW w:w="1953" w:type="dxa"/>
          </w:tcPr>
          <w:p w14:paraId="4DA6CC87" w14:textId="77777777" w:rsidR="003B7027" w:rsidRPr="002A56B1" w:rsidRDefault="003B7027" w:rsidP="006E5F9A">
            <w:pPr>
              <w:pStyle w:val="TableParagraph"/>
              <w:rPr>
                <w:sz w:val="20"/>
                <w:szCs w:val="20"/>
              </w:rPr>
            </w:pPr>
          </w:p>
        </w:tc>
        <w:tc>
          <w:tcPr>
            <w:tcW w:w="1841" w:type="dxa"/>
          </w:tcPr>
          <w:p w14:paraId="13013A67" w14:textId="77777777" w:rsidR="003B7027" w:rsidRPr="002A56B1" w:rsidRDefault="003B7027" w:rsidP="006E5F9A">
            <w:pPr>
              <w:pStyle w:val="TableParagraph"/>
              <w:rPr>
                <w:sz w:val="20"/>
                <w:szCs w:val="20"/>
              </w:rPr>
            </w:pPr>
          </w:p>
        </w:tc>
      </w:tr>
      <w:tr w:rsidR="003B7027" w:rsidRPr="00ED6BAC" w14:paraId="26E5B72E" w14:textId="77777777" w:rsidTr="002810F2">
        <w:trPr>
          <w:trHeight w:val="20"/>
        </w:trPr>
        <w:tc>
          <w:tcPr>
            <w:tcW w:w="2376" w:type="dxa"/>
          </w:tcPr>
          <w:p w14:paraId="3A67506F" w14:textId="77777777" w:rsidR="003B7027" w:rsidRPr="002A56B1" w:rsidRDefault="00296A74" w:rsidP="006E5F9A">
            <w:pPr>
              <w:pStyle w:val="TableParagraph"/>
              <w:rPr>
                <w:sz w:val="20"/>
                <w:szCs w:val="20"/>
              </w:rPr>
            </w:pPr>
            <w:r w:rsidRPr="002A56B1">
              <w:rPr>
                <w:sz w:val="20"/>
                <w:szCs w:val="20"/>
              </w:rPr>
              <w:t>Tutkimukset</w:t>
            </w:r>
          </w:p>
        </w:tc>
        <w:tc>
          <w:tcPr>
            <w:tcW w:w="1702" w:type="dxa"/>
          </w:tcPr>
          <w:p w14:paraId="288589C4" w14:textId="77777777" w:rsidR="003B7027" w:rsidRPr="002A56B1" w:rsidRDefault="003B7027" w:rsidP="006E5F9A">
            <w:pPr>
              <w:pStyle w:val="TableParagraph"/>
              <w:rPr>
                <w:sz w:val="20"/>
                <w:szCs w:val="20"/>
              </w:rPr>
            </w:pPr>
          </w:p>
        </w:tc>
        <w:tc>
          <w:tcPr>
            <w:tcW w:w="2018" w:type="dxa"/>
          </w:tcPr>
          <w:p w14:paraId="2602FD12" w14:textId="77777777" w:rsidR="003B7027" w:rsidRPr="002A56B1" w:rsidRDefault="00296A74" w:rsidP="006E5F9A">
            <w:pPr>
              <w:pStyle w:val="TableParagraph"/>
              <w:rPr>
                <w:sz w:val="20"/>
                <w:szCs w:val="20"/>
              </w:rPr>
            </w:pPr>
            <w:r w:rsidRPr="002A56B1">
              <w:rPr>
                <w:sz w:val="20"/>
                <w:szCs w:val="20"/>
              </w:rPr>
              <w:t>Maksan aminotransferaasi arvojen nousu, painon nousu, kokonaisbilirubiin</w:t>
            </w:r>
            <w:r w:rsidR="00201DF4" w:rsidRPr="002A56B1">
              <w:rPr>
                <w:sz w:val="20"/>
                <w:szCs w:val="20"/>
              </w:rPr>
              <w:t xml:space="preserve"> </w:t>
            </w:r>
            <w:r w:rsidRPr="002A56B1">
              <w:rPr>
                <w:sz w:val="20"/>
                <w:szCs w:val="20"/>
              </w:rPr>
              <w:t>iarvon nousu*</w:t>
            </w:r>
          </w:p>
        </w:tc>
        <w:tc>
          <w:tcPr>
            <w:tcW w:w="1953" w:type="dxa"/>
          </w:tcPr>
          <w:p w14:paraId="5BB35F59" w14:textId="77777777" w:rsidR="003B7027" w:rsidRPr="002A56B1" w:rsidRDefault="003B7027" w:rsidP="006E5F9A">
            <w:pPr>
              <w:pStyle w:val="TableParagraph"/>
              <w:rPr>
                <w:sz w:val="20"/>
                <w:szCs w:val="20"/>
              </w:rPr>
            </w:pPr>
          </w:p>
        </w:tc>
        <w:tc>
          <w:tcPr>
            <w:tcW w:w="1841" w:type="dxa"/>
          </w:tcPr>
          <w:p w14:paraId="0B5DC1EF" w14:textId="77777777" w:rsidR="003B7027" w:rsidRPr="002A56B1" w:rsidRDefault="003B7027" w:rsidP="006E5F9A">
            <w:pPr>
              <w:pStyle w:val="TableParagraph"/>
              <w:rPr>
                <w:sz w:val="20"/>
                <w:szCs w:val="20"/>
              </w:rPr>
            </w:pPr>
          </w:p>
        </w:tc>
      </w:tr>
    </w:tbl>
    <w:p w14:paraId="55B132E1" w14:textId="77777777" w:rsidR="003B7027" w:rsidRPr="00CA43F5" w:rsidRDefault="00296A74" w:rsidP="006E5F9A">
      <w:pPr>
        <w:rPr>
          <w:sz w:val="18"/>
          <w:szCs w:val="18"/>
          <w:lang w:val="fi-FI"/>
        </w:rPr>
      </w:pPr>
      <w:r w:rsidRPr="00CA43F5">
        <w:rPr>
          <w:sz w:val="18"/>
          <w:szCs w:val="18"/>
          <w:lang w:val="fi-FI"/>
        </w:rPr>
        <w:t>*Sisältää tavanomaisessa laboratorioseurannassa kerätyt kohonneet arvot (ks. alempana oleva teksti)</w:t>
      </w:r>
    </w:p>
    <w:p w14:paraId="09F9D368" w14:textId="77777777" w:rsidR="003B7027" w:rsidRPr="00CA43F5" w:rsidRDefault="00296A74" w:rsidP="006E5F9A">
      <w:pPr>
        <w:rPr>
          <w:sz w:val="18"/>
          <w:szCs w:val="18"/>
          <w:lang w:val="fi-FI"/>
        </w:rPr>
      </w:pPr>
      <w:r w:rsidRPr="00CA43F5">
        <w:rPr>
          <w:sz w:val="18"/>
          <w:szCs w:val="18"/>
          <w:vertAlign w:val="superscript"/>
          <w:lang w:val="fi-FI"/>
        </w:rPr>
        <w:t>1</w:t>
      </w:r>
      <w:r w:rsidRPr="00CA43F5">
        <w:rPr>
          <w:sz w:val="18"/>
          <w:szCs w:val="18"/>
          <w:lang w:val="fi-FI"/>
        </w:rPr>
        <w:t xml:space="preserve"> Katso kohta 4.3</w:t>
      </w:r>
    </w:p>
    <w:p w14:paraId="50300550" w14:textId="77777777" w:rsidR="003B7027" w:rsidRPr="00CA43F5" w:rsidRDefault="00296A74" w:rsidP="006E5F9A">
      <w:pPr>
        <w:rPr>
          <w:sz w:val="18"/>
          <w:szCs w:val="18"/>
          <w:lang w:val="fi-FI"/>
        </w:rPr>
      </w:pPr>
      <w:r w:rsidRPr="00CA43F5">
        <w:rPr>
          <w:sz w:val="18"/>
          <w:szCs w:val="18"/>
          <w:vertAlign w:val="superscript"/>
          <w:lang w:val="fi-FI"/>
        </w:rPr>
        <w:t>2</w:t>
      </w:r>
      <w:r w:rsidRPr="00CA43F5">
        <w:rPr>
          <w:sz w:val="18"/>
          <w:szCs w:val="18"/>
          <w:lang w:val="fi-FI"/>
        </w:rPr>
        <w:t xml:space="preserve"> Katso kohta 4.4</w:t>
      </w:r>
    </w:p>
    <w:p w14:paraId="5D48A14E" w14:textId="77777777" w:rsidR="003B7027" w:rsidRPr="00CA43F5" w:rsidRDefault="00296A74" w:rsidP="006E5F9A">
      <w:pPr>
        <w:rPr>
          <w:sz w:val="18"/>
          <w:szCs w:val="18"/>
          <w:lang w:val="fi-FI"/>
        </w:rPr>
      </w:pPr>
      <w:r w:rsidRPr="00CA43F5">
        <w:rPr>
          <w:sz w:val="18"/>
          <w:szCs w:val="18"/>
          <w:vertAlign w:val="superscript"/>
          <w:lang w:val="fi-FI"/>
        </w:rPr>
        <w:t>3</w:t>
      </w:r>
      <w:r w:rsidRPr="00CA43F5">
        <w:rPr>
          <w:sz w:val="18"/>
          <w:szCs w:val="18"/>
          <w:lang w:val="fi-FI"/>
        </w:rPr>
        <w:t xml:space="preserve"> Tämä haittavaikutus havaittiin markkinoille tulon jälkeen, mutta sitä ei ole raportoitu kontrolloiduissa kliinisissä tutkimuksissa. Yleisyysluokka arvioitiin käyttämällä 95 prosentin luottamusvälin ylärajaa ja se perustuu kliinisissä tutkimuksissa tosilitsumabille altistuneiden potilaiden kokonaismäärään.</w:t>
      </w:r>
    </w:p>
    <w:p w14:paraId="466125F8" w14:textId="77777777" w:rsidR="001A2F77" w:rsidRPr="00CA43F5" w:rsidRDefault="001A2F77" w:rsidP="006E5F9A">
      <w:pPr>
        <w:rPr>
          <w:sz w:val="19"/>
          <w:lang w:val="fi-FI"/>
        </w:rPr>
      </w:pPr>
    </w:p>
    <w:p w14:paraId="17FA85DF" w14:textId="77777777" w:rsidR="003B7027" w:rsidRPr="0028514E" w:rsidRDefault="00296A74" w:rsidP="006E5F9A">
      <w:pPr>
        <w:pStyle w:val="a4"/>
        <w:ind w:left="0"/>
      </w:pPr>
      <w:r w:rsidRPr="0028514E">
        <w:rPr>
          <w:u w:val="single"/>
        </w:rPr>
        <w:t>Ihonalainen annostelu</w:t>
      </w:r>
    </w:p>
    <w:p w14:paraId="00EE6946" w14:textId="77777777" w:rsidR="003B7027" w:rsidRPr="0028514E" w:rsidRDefault="00296A74" w:rsidP="006E5F9A">
      <w:pPr>
        <w:pStyle w:val="2"/>
      </w:pPr>
      <w:r w:rsidRPr="0028514E">
        <w:t>Nivelreuma</w:t>
      </w:r>
    </w:p>
    <w:p w14:paraId="55494AD1" w14:textId="711C3147" w:rsidR="003B7027" w:rsidRPr="0028514E" w:rsidRDefault="00296A74" w:rsidP="006E5F9A">
      <w:pPr>
        <w:pStyle w:val="a4"/>
        <w:ind w:left="0"/>
      </w:pPr>
      <w:r w:rsidRPr="0028514E">
        <w:t xml:space="preserve">Ihon alle annosteltavan </w:t>
      </w:r>
      <w:r w:rsidR="008B242C">
        <w:t>tosilitsumabin</w:t>
      </w:r>
      <w:r w:rsidR="008B242C" w:rsidRPr="0028514E">
        <w:t xml:space="preserve"> </w:t>
      </w:r>
      <w:r w:rsidRPr="0028514E">
        <w:t xml:space="preserve">turvallisuutta nivelreumapotilaille on tutkittu kaksoissokkoutetussa, kontrolloidussa monikeskustutkimuksessa, SC-I:ssä. Tutkimus tehtiin </w:t>
      </w:r>
      <w:r w:rsidRPr="0028514E">
        <w:lastRenderedPageBreak/>
        <w:t xml:space="preserve">vertailukelpoisuuden (non-inferiority) osoittamiseksi, ja siinä verrattiin ihon alle annosteltavan (162 mg kerran viikossa) ja laskimoon annosteltavan (8 mg/kg) </w:t>
      </w:r>
      <w:r w:rsidR="008B242C">
        <w:t xml:space="preserve">tosilitsumabin </w:t>
      </w:r>
      <w:r w:rsidRPr="0028514E">
        <w:t>tehoa ja turvallisuutta.</w:t>
      </w:r>
      <w:r w:rsidR="001A2F77" w:rsidRPr="0028514E">
        <w:t xml:space="preserve"> </w:t>
      </w:r>
      <w:r w:rsidRPr="0028514E">
        <w:t xml:space="preserve">Tutkimukseen osallistui 1262 potilasta. Kaikki potilaat saivat peruslääkityksenä ei-biologisia tautiprosessia hidastavia reumalääkkeitä (DMARD). Ihon alle annosteltavan </w:t>
      </w:r>
      <w:r w:rsidR="008B242C">
        <w:t xml:space="preserve">tosilitsumabin </w:t>
      </w:r>
      <w:r w:rsidRPr="0028514E">
        <w:t xml:space="preserve">turvallisuus ja immunogeenisuus oli yhtenevä laskimoon annosteltavan </w:t>
      </w:r>
      <w:r w:rsidR="008B242C">
        <w:t xml:space="preserve">tosilitsumabin </w:t>
      </w:r>
      <w:r w:rsidRPr="0028514E">
        <w:t xml:space="preserve">turvallisuusprofiilin kanssa eikä uusia tai odottamattomia haittavaikutuksia havaittu (ks. taulukko 1). Pistoskohdan reaktioita havaittiin yleisemmin ihon alle annosteltua </w:t>
      </w:r>
      <w:r w:rsidR="008B242C">
        <w:t xml:space="preserve">tosilitsumabia </w:t>
      </w:r>
      <w:r w:rsidRPr="0028514E">
        <w:t xml:space="preserve">saaneilla potilailla verrattuna kontrolliryhmään (laskimoon </w:t>
      </w:r>
      <w:r w:rsidR="008B242C">
        <w:t xml:space="preserve">tosilitsumabia </w:t>
      </w:r>
      <w:r w:rsidRPr="0028514E">
        <w:t>saaneiden ryhmä), jossa lumelääkettä annosteltiin ihon alle.</w:t>
      </w:r>
    </w:p>
    <w:p w14:paraId="77C80A17" w14:textId="77777777" w:rsidR="001A2F77" w:rsidRPr="0028514E" w:rsidRDefault="001A2F77" w:rsidP="006E5F9A">
      <w:pPr>
        <w:pStyle w:val="a4"/>
        <w:ind w:left="0"/>
      </w:pPr>
    </w:p>
    <w:p w14:paraId="50381BAD" w14:textId="77777777" w:rsidR="003B7027" w:rsidRPr="00CA43F5" w:rsidRDefault="00296A74" w:rsidP="006E5F9A">
      <w:pPr>
        <w:rPr>
          <w:i/>
          <w:lang w:val="fi-FI"/>
        </w:rPr>
      </w:pPr>
      <w:r w:rsidRPr="00CA43F5">
        <w:rPr>
          <w:i/>
          <w:lang w:val="fi-FI"/>
        </w:rPr>
        <w:t>Pistoskohdan reaktiot</w:t>
      </w:r>
    </w:p>
    <w:p w14:paraId="138A977D" w14:textId="619B63F5" w:rsidR="003B7027" w:rsidRPr="0028514E" w:rsidRDefault="00296A74" w:rsidP="006E5F9A">
      <w:pPr>
        <w:pStyle w:val="a4"/>
        <w:ind w:left="0"/>
      </w:pPr>
      <w:r w:rsidRPr="0028514E">
        <w:t xml:space="preserve">Tutkimuksessa SC-I kuusi kuukautta kestäneen kontrolloidun jakson aikana pistoskohdan reaktioita ilmaantui 10,1 %:lle (64/631) ihon alle annosteltua </w:t>
      </w:r>
      <w:r w:rsidR="008B242C">
        <w:t xml:space="preserve">tosilitsumabia </w:t>
      </w:r>
      <w:r w:rsidRPr="0028514E">
        <w:t>saaneista potilaista ja vastaavasti</w:t>
      </w:r>
      <w:r w:rsidR="001A2F77" w:rsidRPr="0028514E">
        <w:t xml:space="preserve"> </w:t>
      </w:r>
      <w:r w:rsidRPr="0028514E">
        <w:t>2,4 %:lle (15/631) ihon alle kerran viikossa annosteltua lumelääkettä saaneista potilaista. Pistoskohdan reaktiot (ihon punoitus, kutina, kipu ja hematooma) olivat vaikeusasteeltaan lieviä tai kohtalaisia.</w:t>
      </w:r>
      <w:r w:rsidR="001A2F77" w:rsidRPr="0028514E">
        <w:t xml:space="preserve"> </w:t>
      </w:r>
      <w:r w:rsidRPr="0028514E">
        <w:t>Suurin osa reaktioista hävisi ilman hoitoa eikä lääkehoitoa jouduttu keskeyttämään pistoskohdan reaktioiden vuoksi.</w:t>
      </w:r>
    </w:p>
    <w:p w14:paraId="46E24F81" w14:textId="77777777" w:rsidR="001A2F77" w:rsidRPr="0028514E" w:rsidRDefault="001A2F77" w:rsidP="006E5F9A">
      <w:pPr>
        <w:pStyle w:val="a4"/>
        <w:ind w:left="0"/>
      </w:pPr>
    </w:p>
    <w:p w14:paraId="2402C22D" w14:textId="77777777" w:rsidR="003B7027" w:rsidRPr="00CA43F5" w:rsidRDefault="00296A74" w:rsidP="006E5F9A">
      <w:pPr>
        <w:rPr>
          <w:i/>
          <w:lang w:val="fi-FI"/>
        </w:rPr>
      </w:pPr>
      <w:r w:rsidRPr="00CA43F5">
        <w:rPr>
          <w:i/>
          <w:lang w:val="fi-FI"/>
        </w:rPr>
        <w:t>Hematologiset poikkeavuudet:</w:t>
      </w:r>
    </w:p>
    <w:p w14:paraId="18DFFB7C" w14:textId="77777777" w:rsidR="003B7027" w:rsidRPr="00CA43F5" w:rsidRDefault="00296A74" w:rsidP="006E5F9A">
      <w:pPr>
        <w:rPr>
          <w:i/>
          <w:lang w:val="fi-FI"/>
        </w:rPr>
      </w:pPr>
      <w:r w:rsidRPr="00CA43F5">
        <w:rPr>
          <w:i/>
          <w:lang w:val="fi-FI"/>
        </w:rPr>
        <w:t>Neutrofiilit</w:t>
      </w:r>
    </w:p>
    <w:p w14:paraId="63BF944B" w14:textId="7D092EA3" w:rsidR="003B7027" w:rsidRPr="0028514E" w:rsidRDefault="00296A74" w:rsidP="006E5F9A">
      <w:pPr>
        <w:pStyle w:val="a4"/>
        <w:ind w:left="0"/>
      </w:pPr>
      <w:r w:rsidRPr="0028514E">
        <w:t xml:space="preserve">Kuusi kuukautta kestäneen kontrolloidun kliinisen </w:t>
      </w:r>
      <w:r w:rsidR="008B242C">
        <w:t>tosilitsumabi</w:t>
      </w:r>
      <w:r w:rsidRPr="0028514E">
        <w:t>tutkimuksen SC-I tavanomaisessa laboratorioseurannassa neutrofiiliarvojen laskua tason 1 x 10</w:t>
      </w:r>
      <w:r w:rsidRPr="0028514E">
        <w:rPr>
          <w:vertAlign w:val="superscript"/>
        </w:rPr>
        <w:t>9</w:t>
      </w:r>
      <w:r w:rsidRPr="0028514E">
        <w:t>/l alapuolelle ilmaantui 2,9 %:lle potilaista, joille annosteltiin tosilitsumabia viikoittain ihon alle.</w:t>
      </w:r>
    </w:p>
    <w:p w14:paraId="47A8EFB1" w14:textId="77777777" w:rsidR="003B7027" w:rsidRPr="0028514E" w:rsidRDefault="003B7027" w:rsidP="006E5F9A">
      <w:pPr>
        <w:pStyle w:val="a4"/>
        <w:ind w:left="0"/>
      </w:pPr>
    </w:p>
    <w:p w14:paraId="3700291A" w14:textId="77777777" w:rsidR="003B7027" w:rsidRPr="0028514E" w:rsidRDefault="00296A74" w:rsidP="006E5F9A">
      <w:pPr>
        <w:pStyle w:val="a4"/>
        <w:ind w:left="0"/>
      </w:pPr>
      <w:r w:rsidRPr="0028514E">
        <w:t>Neutrofiiliarvojen laskun tason 1 x 10</w:t>
      </w:r>
      <w:r w:rsidRPr="0028514E">
        <w:rPr>
          <w:vertAlign w:val="superscript"/>
        </w:rPr>
        <w:t>9</w:t>
      </w:r>
      <w:r w:rsidRPr="0028514E">
        <w:t>/l alapuolelle ja vakavien infektioiden ilmaantumisen välillä ei ollut selkeää yhteyttä.</w:t>
      </w:r>
    </w:p>
    <w:p w14:paraId="1C358F15" w14:textId="77777777" w:rsidR="001A2F77" w:rsidRPr="0028514E" w:rsidRDefault="001A2F77" w:rsidP="006E5F9A">
      <w:pPr>
        <w:pStyle w:val="a4"/>
        <w:ind w:left="0"/>
      </w:pPr>
    </w:p>
    <w:p w14:paraId="4DBEDACA" w14:textId="77777777" w:rsidR="003B7027" w:rsidRPr="00CA43F5" w:rsidRDefault="00296A74" w:rsidP="006E5F9A">
      <w:pPr>
        <w:rPr>
          <w:i/>
          <w:lang w:val="fi-FI"/>
        </w:rPr>
      </w:pPr>
      <w:r w:rsidRPr="00CA43F5">
        <w:rPr>
          <w:i/>
          <w:lang w:val="fi-FI"/>
        </w:rPr>
        <w:t>Trombosyytit</w:t>
      </w:r>
    </w:p>
    <w:p w14:paraId="2DDC6022" w14:textId="644F194D" w:rsidR="003B7027" w:rsidRPr="0028514E" w:rsidRDefault="00296A74" w:rsidP="006E5F9A">
      <w:pPr>
        <w:pStyle w:val="a4"/>
        <w:ind w:left="0"/>
      </w:pPr>
      <w:r w:rsidRPr="0028514E">
        <w:t xml:space="preserve">Kuusi kuukautta kestäneen kliinisen </w:t>
      </w:r>
      <w:r w:rsidR="008B242C">
        <w:t>tosilitsumabi</w:t>
      </w:r>
      <w:r w:rsidRPr="0028514E">
        <w:t>tutkimuksen SC-I tavanomaisessa laboratorioseurannassa yhdelläkään ihon alle annoksen viikoittain saaneista potilaista ei esiintynyt trombosyyttiarvon laskua tasoon ≤ 50 x 10</w:t>
      </w:r>
      <w:r w:rsidRPr="0028514E">
        <w:rPr>
          <w:vertAlign w:val="superscript"/>
        </w:rPr>
        <w:t>3</w:t>
      </w:r>
      <w:r w:rsidRPr="0028514E">
        <w:t>/μl.</w:t>
      </w:r>
    </w:p>
    <w:p w14:paraId="7A60CFA4" w14:textId="77777777" w:rsidR="001A2F77" w:rsidRPr="002A56B1" w:rsidRDefault="001A2F77" w:rsidP="006E5F9A">
      <w:pPr>
        <w:pStyle w:val="a4"/>
        <w:ind w:left="0"/>
      </w:pPr>
    </w:p>
    <w:p w14:paraId="6F0AB7DE" w14:textId="77777777" w:rsidR="003B7027" w:rsidRPr="00CA43F5" w:rsidRDefault="00296A74" w:rsidP="003C43CF">
      <w:pPr>
        <w:rPr>
          <w:i/>
          <w:lang w:val="fi-FI"/>
        </w:rPr>
      </w:pPr>
      <w:r w:rsidRPr="00CA43F5">
        <w:rPr>
          <w:i/>
          <w:lang w:val="fi-FI"/>
        </w:rPr>
        <w:t>Maksan aminotransferaasiarvojen nousu</w:t>
      </w:r>
    </w:p>
    <w:p w14:paraId="093CB211" w14:textId="498A8300" w:rsidR="003B7027" w:rsidRPr="002A56B1" w:rsidRDefault="00296A74" w:rsidP="003C43CF">
      <w:pPr>
        <w:pStyle w:val="a4"/>
        <w:ind w:left="0"/>
      </w:pPr>
      <w:r w:rsidRPr="002A56B1">
        <w:t xml:space="preserve">Kuusi kuukautta kestäneen kontrolloidun kliinisen </w:t>
      </w:r>
      <w:r w:rsidR="008B242C">
        <w:t>tosilitsumabi</w:t>
      </w:r>
      <w:r w:rsidRPr="002A56B1">
        <w:t>tutkimuksen SC-I tavanomaisessa laboratorioseurannassa todettiin maksan aminotransferaasiarvojen nousua tasolle ≥ 3 x viitevälin yläraja 6,5 %:lla (ALAT) ja 1,4 %:lla (ASAT) annoksen ihon alle viikoittain saaneista potilaista.</w:t>
      </w:r>
    </w:p>
    <w:p w14:paraId="7887F7BC" w14:textId="77777777" w:rsidR="001A2F77" w:rsidRPr="002A56B1" w:rsidRDefault="001A2F77" w:rsidP="003C43CF">
      <w:pPr>
        <w:pStyle w:val="a4"/>
        <w:ind w:left="0"/>
      </w:pPr>
    </w:p>
    <w:p w14:paraId="1337E508" w14:textId="77777777" w:rsidR="003B7027" w:rsidRPr="00CA43F5" w:rsidRDefault="00296A74" w:rsidP="006E5F9A">
      <w:pPr>
        <w:rPr>
          <w:i/>
          <w:lang w:val="fi-FI"/>
        </w:rPr>
      </w:pPr>
      <w:r w:rsidRPr="00CA43F5">
        <w:rPr>
          <w:i/>
          <w:lang w:val="fi-FI"/>
        </w:rPr>
        <w:t>Veren rasva-arvot</w:t>
      </w:r>
    </w:p>
    <w:p w14:paraId="625A0F96" w14:textId="61D083A5" w:rsidR="003B7027" w:rsidRPr="002A56B1" w:rsidRDefault="00296A74" w:rsidP="006E5F9A">
      <w:pPr>
        <w:pStyle w:val="a4"/>
        <w:ind w:left="0"/>
      </w:pPr>
      <w:r w:rsidRPr="002A56B1">
        <w:t xml:space="preserve">Kuusi kuukautta kestäneen kontrolloidun kliinisen </w:t>
      </w:r>
      <w:r w:rsidR="008B242C">
        <w:t>tosilitsumabi</w:t>
      </w:r>
      <w:r w:rsidRPr="002A56B1">
        <w:t>tutkimuksen SC-I tavanomaisessa laboratorioseurannassa tosilitsumabia viikoittain ihon alle saaneista potilaista 19 %:lla veren kokonaiskolesteroliarvo nousi pitkäkestoisesti arvoon &gt; 6,2 mmol/l (240 mg/dl) ja 9 %:lla potilaista LDL-kolesteroliarvo nousi pitkäkestoisesti arvoon ≥ 4,1 mmol/l (160 mg/dl).</w:t>
      </w:r>
    </w:p>
    <w:p w14:paraId="3414E9B9" w14:textId="77777777" w:rsidR="003B7027" w:rsidRPr="002A56B1" w:rsidRDefault="003B7027" w:rsidP="006E5F9A">
      <w:pPr>
        <w:pStyle w:val="a4"/>
        <w:ind w:left="0"/>
      </w:pPr>
    </w:p>
    <w:p w14:paraId="2AF9AB6E" w14:textId="77777777" w:rsidR="003B7027" w:rsidRPr="002A56B1" w:rsidRDefault="00296A74" w:rsidP="00D927E1">
      <w:pPr>
        <w:pStyle w:val="2"/>
        <w:keepNext/>
      </w:pPr>
      <w:r w:rsidRPr="002A56B1">
        <w:t>Yleisoireinen lastenreuma (sJIA)</w:t>
      </w:r>
    </w:p>
    <w:p w14:paraId="47325554" w14:textId="17573952" w:rsidR="003B7027" w:rsidRPr="002A56B1" w:rsidRDefault="00296A74" w:rsidP="00D927E1">
      <w:pPr>
        <w:pStyle w:val="a4"/>
        <w:keepNext/>
        <w:ind w:left="0"/>
      </w:pPr>
      <w:r w:rsidRPr="002A56B1">
        <w:t xml:space="preserve">Ihon alle annosteltavan </w:t>
      </w:r>
      <w:r w:rsidR="008B242C">
        <w:t xml:space="preserve">tosilitsumabin </w:t>
      </w:r>
      <w:r w:rsidRPr="002A56B1">
        <w:t>turvallisuusprofiilia arvioitiin 51 yleisoireista lastenreumaa sairastavalla (1–17-vuotiaalla) lapsipotilaalla. Yleisoireista lastenreumaa sairastavilla potilailla havaitut haittavaikutukset olivat yleensä luonteeltaan samankaltaisia kuin nivelreumapotilailla on todettu (ks. edellä kohdassa Haittavaikutukset).</w:t>
      </w:r>
    </w:p>
    <w:p w14:paraId="71006475" w14:textId="77777777" w:rsidR="001A2F77" w:rsidRPr="002A56B1" w:rsidRDefault="001A2F77" w:rsidP="006E5F9A">
      <w:pPr>
        <w:pStyle w:val="a4"/>
        <w:ind w:left="0"/>
      </w:pPr>
    </w:p>
    <w:p w14:paraId="371AE0C1" w14:textId="77777777" w:rsidR="003B7027" w:rsidRPr="00CA43F5" w:rsidRDefault="00296A74" w:rsidP="006E5F9A">
      <w:pPr>
        <w:rPr>
          <w:i/>
          <w:lang w:val="fi-FI"/>
        </w:rPr>
      </w:pPr>
      <w:r w:rsidRPr="00CA43F5">
        <w:rPr>
          <w:i/>
          <w:lang w:val="fi-FI"/>
        </w:rPr>
        <w:t>Infektiot</w:t>
      </w:r>
    </w:p>
    <w:p w14:paraId="1D2D1685" w14:textId="083EB33E" w:rsidR="003B7027" w:rsidRPr="002A56B1" w:rsidRDefault="00296A74" w:rsidP="006E5F9A">
      <w:pPr>
        <w:pStyle w:val="a4"/>
        <w:ind w:left="0"/>
      </w:pPr>
      <w:r w:rsidRPr="002A56B1">
        <w:t xml:space="preserve">Infektioiden esiintyvyys oli verrannollinen </w:t>
      </w:r>
      <w:r w:rsidR="008B242C">
        <w:t xml:space="preserve">tosilitsumabia </w:t>
      </w:r>
      <w:r w:rsidRPr="002A56B1">
        <w:t>ihon alle ja laskimoon saaneilla yleisoireista lastenreumaa sairastavilla lapsipotilailla.</w:t>
      </w:r>
    </w:p>
    <w:p w14:paraId="65C5ADF4" w14:textId="77777777" w:rsidR="001A2F77" w:rsidRPr="002A56B1" w:rsidRDefault="001A2F77" w:rsidP="006E5F9A">
      <w:pPr>
        <w:pStyle w:val="a4"/>
        <w:ind w:left="0"/>
      </w:pPr>
    </w:p>
    <w:p w14:paraId="6BAF47F9" w14:textId="77777777" w:rsidR="003B7027" w:rsidRPr="00CA43F5" w:rsidRDefault="00296A74" w:rsidP="006E5F9A">
      <w:pPr>
        <w:keepNext/>
        <w:keepLines/>
        <w:rPr>
          <w:i/>
          <w:lang w:val="fi-FI"/>
        </w:rPr>
      </w:pPr>
      <w:r w:rsidRPr="00CA43F5">
        <w:rPr>
          <w:i/>
          <w:lang w:val="fi-FI"/>
        </w:rPr>
        <w:t>Injektiokohdan reaktiot</w:t>
      </w:r>
    </w:p>
    <w:p w14:paraId="3E690F99" w14:textId="686F0AB1" w:rsidR="003B7027" w:rsidRPr="0028514E" w:rsidRDefault="00296A74" w:rsidP="006E5F9A">
      <w:pPr>
        <w:pStyle w:val="a4"/>
        <w:ind w:left="0"/>
      </w:pPr>
      <w:r w:rsidRPr="002A56B1">
        <w:t xml:space="preserve">Ihon alle tapahtuvaa antoa koskeneessa tutkimuksessa (WA28118) yhteensä 41,2 %:lla (21/51) yleisoireista lastenreumaa sairastavista potilaista oli injektiokohdan reaktioita, kun </w:t>
      </w:r>
      <w:r w:rsidR="008B242C">
        <w:t xml:space="preserve">tosilitsumabi </w:t>
      </w:r>
      <w:r w:rsidRPr="002A56B1">
        <w:t xml:space="preserve">annettiin ihon alle. Yleisimpiä injektiokohdan reaktioita olivat punoitus, kutina, kipu ja injektiokohdan </w:t>
      </w:r>
      <w:r w:rsidRPr="002A56B1">
        <w:lastRenderedPageBreak/>
        <w:t xml:space="preserve">turvotus. Valtaosa raportoiduista injektiokohdan reaktioista oli graduksen 1 tapahtumia, yksikään </w:t>
      </w:r>
      <w:r w:rsidRPr="0028514E">
        <w:t>raportoiduista injektiokohdan reaktioista ei ollut vakava eivätkä ne vaatineet yhdenkään potilaan hoidon lopettamista tai keskeyttämistä.</w:t>
      </w:r>
    </w:p>
    <w:p w14:paraId="5F882909" w14:textId="77777777" w:rsidR="001A2F77" w:rsidRPr="0028514E" w:rsidRDefault="001A2F77" w:rsidP="006E5F9A">
      <w:pPr>
        <w:pStyle w:val="a4"/>
        <w:ind w:left="0"/>
      </w:pPr>
    </w:p>
    <w:p w14:paraId="0FCA4744" w14:textId="77777777" w:rsidR="003B7027" w:rsidRPr="00CA43F5" w:rsidRDefault="00296A74" w:rsidP="006E5F9A">
      <w:pPr>
        <w:rPr>
          <w:i/>
          <w:lang w:val="fi-FI"/>
        </w:rPr>
      </w:pPr>
      <w:r w:rsidRPr="00CA43F5">
        <w:rPr>
          <w:i/>
          <w:lang w:val="fi-FI"/>
        </w:rPr>
        <w:t>Laboratorioarvojen poikkeavuudet</w:t>
      </w:r>
    </w:p>
    <w:p w14:paraId="5E1CB8B1" w14:textId="35E390FC" w:rsidR="003B7027" w:rsidRPr="0028514E" w:rsidRDefault="00296A74" w:rsidP="006E5F9A">
      <w:pPr>
        <w:pStyle w:val="a4"/>
        <w:ind w:left="0"/>
      </w:pPr>
      <w:r w:rsidRPr="0028514E">
        <w:t>52 viikkoa kestäneessä avoimessa ihon alle tapahtuvaa antoa koskeneessa tutkimuksessa (WA28118) neutrofiiliarvojen laskua arvon 1 × 10</w:t>
      </w:r>
      <w:r w:rsidRPr="0028514E">
        <w:rPr>
          <w:vertAlign w:val="superscript"/>
        </w:rPr>
        <w:t>9</w:t>
      </w:r>
      <w:r w:rsidRPr="0028514E">
        <w:t xml:space="preserve">/l alapuolelle ilmaantui 23,5 %:lle ihon alle annosteltavaa </w:t>
      </w:r>
      <w:r w:rsidR="008B242C">
        <w:t xml:space="preserve">tosilitsumabia </w:t>
      </w:r>
      <w:r w:rsidRPr="0028514E">
        <w:t>saaneista potilaista. Trombosyyttiarvon laskua arvon 100 × 10</w:t>
      </w:r>
      <w:r w:rsidRPr="0028514E">
        <w:rPr>
          <w:vertAlign w:val="superscript"/>
        </w:rPr>
        <w:t>3</w:t>
      </w:r>
      <w:r w:rsidRPr="0028514E">
        <w:t xml:space="preserve">/μl alapuolelle ilmaantui 2 %:lle ihon alle annosteltavaa </w:t>
      </w:r>
      <w:r w:rsidR="008B242C">
        <w:t xml:space="preserve">tosilitsumabia </w:t>
      </w:r>
      <w:r w:rsidRPr="0028514E">
        <w:t xml:space="preserve">saaneista potilaista. Ihon alle annosteltavaa </w:t>
      </w:r>
      <w:r w:rsidR="008B242C">
        <w:t xml:space="preserve">tosilitsumabia </w:t>
      </w:r>
      <w:r w:rsidRPr="0028514E">
        <w:t>saaneiden potilaiden ALAT-arvo suureni ≥ 3x viitearvojen ylärajan 9,8 %:lla potilaista ja ASAT-arvo suureni ≥ 3x viitearvojen ylärajan 4,0 %:lla potilaista.</w:t>
      </w:r>
    </w:p>
    <w:p w14:paraId="0EE658F6" w14:textId="77777777" w:rsidR="001A2F77" w:rsidRPr="002A56B1" w:rsidRDefault="001A2F77" w:rsidP="006E5F9A">
      <w:pPr>
        <w:pStyle w:val="a4"/>
        <w:ind w:left="0"/>
      </w:pPr>
    </w:p>
    <w:p w14:paraId="35EF961B" w14:textId="77777777" w:rsidR="003B7027" w:rsidRPr="00CA43F5" w:rsidRDefault="00296A74" w:rsidP="006E5F9A">
      <w:pPr>
        <w:rPr>
          <w:i/>
          <w:lang w:val="fi-FI"/>
        </w:rPr>
      </w:pPr>
      <w:r w:rsidRPr="00CA43F5">
        <w:rPr>
          <w:i/>
          <w:lang w:val="fi-FI"/>
        </w:rPr>
        <w:t>Veren rasva-arvot</w:t>
      </w:r>
    </w:p>
    <w:p w14:paraId="435E6140" w14:textId="77777777" w:rsidR="003B7027" w:rsidRPr="002A56B1" w:rsidRDefault="00296A74" w:rsidP="006E5F9A">
      <w:pPr>
        <w:pStyle w:val="a4"/>
        <w:ind w:left="0"/>
      </w:pPr>
      <w:r w:rsidRPr="002A56B1">
        <w:t>52 viikkoa kestäneessä avoimessa ihon alle tapahtuvaa antoa koskeneessa tutkimuksessa (WA28118) LDL-kolesterolipitoisuus suureni jossakin vaiheessa tutkimushoidon aikana arvoon ≥ 130 mg/dl</w:t>
      </w:r>
      <w:r w:rsidR="001A2F77" w:rsidRPr="002A56B1">
        <w:t xml:space="preserve"> </w:t>
      </w:r>
      <w:r w:rsidRPr="002A56B1">
        <w:t>23,4 %:lla potilaista ja kokonaiskolesterolipitoisuus suureni arvoon ≥ 200 mg/dl 35,4 %:lla potilaista.</w:t>
      </w:r>
    </w:p>
    <w:p w14:paraId="16C5AD1E" w14:textId="77777777" w:rsidR="001A2F77" w:rsidRPr="002A56B1" w:rsidRDefault="001A2F77" w:rsidP="006E5F9A">
      <w:pPr>
        <w:pStyle w:val="a4"/>
        <w:ind w:left="0"/>
      </w:pPr>
    </w:p>
    <w:p w14:paraId="6526D75A" w14:textId="77777777" w:rsidR="003B7027" w:rsidRPr="002A56B1" w:rsidRDefault="00296A74" w:rsidP="006E5F9A">
      <w:pPr>
        <w:pStyle w:val="2"/>
      </w:pPr>
      <w:r w:rsidRPr="002A56B1">
        <w:t>Polyartriitti (pJIA)</w:t>
      </w:r>
    </w:p>
    <w:p w14:paraId="1E20876A" w14:textId="32761482" w:rsidR="003B7027" w:rsidRPr="002A56B1" w:rsidRDefault="00296A74" w:rsidP="006E5F9A">
      <w:pPr>
        <w:pStyle w:val="a4"/>
        <w:ind w:left="0"/>
      </w:pPr>
      <w:r w:rsidRPr="002A56B1">
        <w:t xml:space="preserve">Ihon alle annosteltavan </w:t>
      </w:r>
      <w:r w:rsidR="008B242C">
        <w:t xml:space="preserve">tosilitsumabin </w:t>
      </w:r>
      <w:r w:rsidRPr="002A56B1">
        <w:t xml:space="preserve">turvallisuusprofiilia arvioitiin myös 52 polyartriittia sairastavalla lapsipotilaalla. Polyartriittia sairastavassa potilasjoukossa kokonaisaltistus </w:t>
      </w:r>
      <w:r w:rsidR="008B242C">
        <w:t xml:space="preserve">tosilitsumabille </w:t>
      </w:r>
      <w:r w:rsidRPr="002A56B1">
        <w:t xml:space="preserve">jakautui seuraavasti: 184,4 potilasvuotta laskimoon annetulle tosilitsumabille ja 50,4 potilasvuotta ihon alle annetulle tosilitsumabille. Polyartriittia sairastavilla potilailla havaittu turvallisuusprofiili oli yleisesti yhdenmukainen </w:t>
      </w:r>
      <w:r w:rsidR="008B242C">
        <w:t xml:space="preserve">tosilitsumabin </w:t>
      </w:r>
      <w:r w:rsidRPr="002A56B1">
        <w:t xml:space="preserve">tunnetun turvallisuusprofiilin kanssa injektiokohdan reaktioita lukuun ottamatta (ks. taulukko 1). Injektiokohdan reaktioita esiintyi ihon alle annettuja </w:t>
      </w:r>
      <w:r w:rsidR="008B242C">
        <w:t>tosilitsumabi</w:t>
      </w:r>
      <w:r w:rsidRPr="002A56B1">
        <w:t>-injektioita saaneilla polyartriittia sairastavilla lapsipotilailla yleisemmin kuin aikuisilla nivelreumapotilailla.</w:t>
      </w:r>
    </w:p>
    <w:p w14:paraId="60F7C0AD" w14:textId="77777777" w:rsidR="001A2F77" w:rsidRPr="002A56B1" w:rsidRDefault="001A2F77" w:rsidP="006E5F9A">
      <w:pPr>
        <w:pStyle w:val="a4"/>
        <w:ind w:left="0"/>
      </w:pPr>
    </w:p>
    <w:p w14:paraId="1BA79E84" w14:textId="77777777" w:rsidR="003B7027" w:rsidRPr="00CA43F5" w:rsidRDefault="00296A74" w:rsidP="006E5F9A">
      <w:pPr>
        <w:rPr>
          <w:i/>
          <w:lang w:val="fi-FI"/>
        </w:rPr>
      </w:pPr>
      <w:r w:rsidRPr="00CA43F5">
        <w:rPr>
          <w:i/>
          <w:lang w:val="fi-FI"/>
        </w:rPr>
        <w:t>Infektiot</w:t>
      </w:r>
    </w:p>
    <w:p w14:paraId="0878F67D" w14:textId="7750D097" w:rsidR="003B7027" w:rsidRPr="002A56B1" w:rsidRDefault="00296A74" w:rsidP="006E5F9A">
      <w:pPr>
        <w:pStyle w:val="a4"/>
        <w:ind w:left="0"/>
      </w:pPr>
      <w:r w:rsidRPr="002A56B1">
        <w:t xml:space="preserve">Ihon alle tapahtuvaa antoa koskeneessa </w:t>
      </w:r>
      <w:r w:rsidR="008B242C">
        <w:t>tosilitsumabi</w:t>
      </w:r>
      <w:r w:rsidRPr="002A56B1">
        <w:t xml:space="preserve">tutkimuksessa infektioiden esiintyvyys oli verrannollinen </w:t>
      </w:r>
      <w:r w:rsidR="008B242C">
        <w:t>tosilitsumabia</w:t>
      </w:r>
      <w:r w:rsidRPr="002A56B1">
        <w:t>ihon alle ja laskimoon saaneilla polyartriittia sairastavilla lapsipotilailla.</w:t>
      </w:r>
    </w:p>
    <w:p w14:paraId="2394C64B" w14:textId="77777777" w:rsidR="001A2F77" w:rsidRPr="002A56B1" w:rsidRDefault="001A2F77" w:rsidP="006E5F9A">
      <w:pPr>
        <w:pStyle w:val="a4"/>
        <w:ind w:left="0"/>
      </w:pPr>
    </w:p>
    <w:p w14:paraId="1D87FD85" w14:textId="77777777" w:rsidR="003B7027" w:rsidRPr="00CA43F5" w:rsidRDefault="00296A74" w:rsidP="006E5F9A">
      <w:pPr>
        <w:rPr>
          <w:i/>
          <w:lang w:val="fi-FI"/>
        </w:rPr>
      </w:pPr>
      <w:r w:rsidRPr="00CA43F5">
        <w:rPr>
          <w:i/>
          <w:lang w:val="fi-FI"/>
        </w:rPr>
        <w:t>Injektiokohdan reaktiot</w:t>
      </w:r>
    </w:p>
    <w:p w14:paraId="05159BBB" w14:textId="725F255E" w:rsidR="003B7027" w:rsidRPr="002A56B1" w:rsidRDefault="00296A74" w:rsidP="006E5F9A">
      <w:pPr>
        <w:pStyle w:val="a4"/>
        <w:ind w:left="0"/>
      </w:pPr>
      <w:r w:rsidRPr="002A56B1">
        <w:t xml:space="preserve">Polyartriittia sairastavista lapsipotilaista yhteensä 28,8 %:lla (15/52) oli injektiokohdan reaktioita, kun </w:t>
      </w:r>
      <w:r w:rsidR="00086961">
        <w:t xml:space="preserve">tosilitsumabi </w:t>
      </w:r>
      <w:r w:rsidRPr="002A56B1">
        <w:t>annettiin ihon alle. Injektiokohdan reaktioita esiintyi 44 %:lla ≥ 30 kg:n painoisista potilaista verrattuna 14,8 %:iin alle 30 kg:n painoisista potilaista. Yleisimpiä injektiokohdan reaktioita olivat injektiokohdan punoitus, turvotus, hematooma, kipu ja kutina. Raportoidut injektiokohdan reaktiot eivät olleet vakavia (gradus 1) eikä yhdenkään potilaan injektiokohdan reaktio vaatinut hoidon lopettamista tai keskeyttämistä.</w:t>
      </w:r>
    </w:p>
    <w:p w14:paraId="29040231" w14:textId="77777777" w:rsidR="001A2F77" w:rsidRPr="002A56B1" w:rsidRDefault="001A2F77" w:rsidP="006E5F9A">
      <w:pPr>
        <w:pStyle w:val="a4"/>
        <w:ind w:left="0"/>
      </w:pPr>
    </w:p>
    <w:p w14:paraId="2F7B97CC" w14:textId="77777777" w:rsidR="003B7027" w:rsidRPr="00CA43F5" w:rsidRDefault="00296A74" w:rsidP="006E5F9A">
      <w:pPr>
        <w:keepNext/>
        <w:keepLines/>
        <w:rPr>
          <w:i/>
          <w:lang w:val="fi-FI"/>
        </w:rPr>
      </w:pPr>
      <w:r w:rsidRPr="00CA43F5">
        <w:rPr>
          <w:i/>
          <w:lang w:val="fi-FI"/>
        </w:rPr>
        <w:t>Laboratorioarvojen poikkeavuudet</w:t>
      </w:r>
    </w:p>
    <w:p w14:paraId="337B28FA" w14:textId="6E2AE4C2" w:rsidR="003B7027" w:rsidRPr="0028514E" w:rsidRDefault="00296A74" w:rsidP="006E5F9A">
      <w:pPr>
        <w:pStyle w:val="a4"/>
        <w:ind w:left="0"/>
      </w:pPr>
      <w:r w:rsidRPr="0028514E">
        <w:t xml:space="preserve">Koko </w:t>
      </w:r>
      <w:r w:rsidR="00086961">
        <w:t xml:space="preserve">tosilitsumabille </w:t>
      </w:r>
      <w:r w:rsidRPr="0028514E">
        <w:t xml:space="preserve">altistuneen potilasjoukon tavanomaisessa laboratorioseurannassa neutrofiilien määrä väheni 15,4 %:lla </w:t>
      </w:r>
      <w:r w:rsidR="00086961">
        <w:t xml:space="preserve">tosilitsumabia </w:t>
      </w:r>
      <w:r w:rsidRPr="0028514E">
        <w:t>ihon alle saaneista potilaista alle arvon 1 × 10</w:t>
      </w:r>
      <w:r w:rsidRPr="0028514E">
        <w:rPr>
          <w:vertAlign w:val="superscript"/>
        </w:rPr>
        <w:t>9</w:t>
      </w:r>
      <w:r w:rsidRPr="0028514E">
        <w:t xml:space="preserve">/l. </w:t>
      </w:r>
      <w:r w:rsidR="00086961">
        <w:t>Tosilitsumabia</w:t>
      </w:r>
      <w:r w:rsidR="00086961" w:rsidRPr="0028514E">
        <w:t xml:space="preserve"> </w:t>
      </w:r>
      <w:r w:rsidRPr="0028514E">
        <w:t xml:space="preserve">ihon alle saaneiden potilaiden ALAT-arvo suureni ≥ 3x viitearvojen ylärajan 9,6 %:lla potilaista ja ASAT-arvo suureni ≥ 3x viitearvojen ylärajan 3,8 %:lla potilaista. Yhdenkään </w:t>
      </w:r>
      <w:r w:rsidR="00086961">
        <w:t xml:space="preserve">tosilitsumabia </w:t>
      </w:r>
      <w:r w:rsidRPr="0028514E">
        <w:t>ihon alle saaneen potilaan trombosyyttimäärä ei laskenut arvoon ≤ 50 × 10</w:t>
      </w:r>
      <w:r w:rsidRPr="0028514E">
        <w:rPr>
          <w:vertAlign w:val="superscript"/>
        </w:rPr>
        <w:t>3</w:t>
      </w:r>
      <w:r w:rsidRPr="0028514E">
        <w:t>/μl.</w:t>
      </w:r>
    </w:p>
    <w:p w14:paraId="16DFDDAF" w14:textId="77777777" w:rsidR="001A2F77" w:rsidRPr="0028514E" w:rsidRDefault="001A2F77" w:rsidP="006E5F9A">
      <w:pPr>
        <w:pStyle w:val="a4"/>
        <w:ind w:left="0"/>
      </w:pPr>
    </w:p>
    <w:p w14:paraId="25483467" w14:textId="77777777" w:rsidR="003B7027" w:rsidRPr="00CA43F5" w:rsidRDefault="00296A74" w:rsidP="006E5F9A">
      <w:pPr>
        <w:rPr>
          <w:i/>
          <w:lang w:val="fi-FI"/>
        </w:rPr>
      </w:pPr>
      <w:r w:rsidRPr="00CA43F5">
        <w:rPr>
          <w:i/>
          <w:lang w:val="fi-FI"/>
        </w:rPr>
        <w:t>Veren rasva-arvot</w:t>
      </w:r>
    </w:p>
    <w:p w14:paraId="5E0F253D" w14:textId="77777777" w:rsidR="003B7027" w:rsidRPr="0028514E" w:rsidRDefault="00296A74" w:rsidP="006E5F9A">
      <w:pPr>
        <w:pStyle w:val="a4"/>
        <w:ind w:left="0"/>
      </w:pPr>
      <w:r w:rsidRPr="0028514E">
        <w:t>Ihon alle tapahtuvaa antoa koskeneessa tutkimuksessa LDL-kolesterolipitoisuus suureni jossakin vaiheessa tutkimushoidon aikana 14,3 %:lla potilaista arvoon ≥ 130 mg/dl ja kokonaiskolesterolipitoisuus suureni 12,8 %:lla potilaista arvoon ≥ 200 mg/dl.</w:t>
      </w:r>
    </w:p>
    <w:p w14:paraId="06147C7D" w14:textId="77777777" w:rsidR="003B7027" w:rsidRPr="0028514E" w:rsidRDefault="003B7027" w:rsidP="006E5F9A">
      <w:pPr>
        <w:pStyle w:val="a4"/>
        <w:ind w:left="0"/>
      </w:pPr>
    </w:p>
    <w:p w14:paraId="064EAD92" w14:textId="77777777" w:rsidR="000577C7" w:rsidRDefault="00296A74" w:rsidP="006E5F9A">
      <w:pPr>
        <w:pStyle w:val="2"/>
      </w:pPr>
      <w:r w:rsidRPr="0028514E">
        <w:t xml:space="preserve">Ihonalainen annostelu </w:t>
      </w:r>
    </w:p>
    <w:p w14:paraId="5AF88D64" w14:textId="6691E6C3" w:rsidR="003B7027" w:rsidRPr="0028514E" w:rsidRDefault="00296A74" w:rsidP="006E5F9A">
      <w:pPr>
        <w:pStyle w:val="2"/>
      </w:pPr>
      <w:r w:rsidRPr="0028514E">
        <w:t>Jättisoluarteriitti</w:t>
      </w:r>
    </w:p>
    <w:p w14:paraId="0C552832" w14:textId="5BF309A0" w:rsidR="003B7027" w:rsidRPr="0028514E" w:rsidRDefault="00296A74" w:rsidP="006E5F9A">
      <w:pPr>
        <w:pStyle w:val="a4"/>
        <w:ind w:left="0"/>
      </w:pPr>
      <w:r w:rsidRPr="0028514E">
        <w:t xml:space="preserve">Ihon alle annosteltavan </w:t>
      </w:r>
      <w:r w:rsidR="00086961">
        <w:t xml:space="preserve">tosilitsumabin </w:t>
      </w:r>
      <w:r w:rsidRPr="0028514E">
        <w:t xml:space="preserve">turvallisuutta on tutkittu yhdessä vaiheen III tutkimuksessa (WA28119), jossa oli mukana 251 jättisoluarteriittia sairastavaa potilasta. Altistuksen kesto (potilasvuosina) tutkimuksen 12 kuukauden kaksoissokkoutetun, lumekontrolloidun vaiheen aikana </w:t>
      </w:r>
      <w:r w:rsidR="00086961">
        <w:t xml:space="preserve">tosilitsumabille </w:t>
      </w:r>
      <w:r w:rsidRPr="0028514E">
        <w:t xml:space="preserve">altistuneissa kaikissa potilasryhmissä oli yhteensä 138,5 potilasvuotta. </w:t>
      </w:r>
      <w:r w:rsidR="00086961">
        <w:lastRenderedPageBreak/>
        <w:t>Tosilitsumabi</w:t>
      </w:r>
      <w:r w:rsidRPr="0028514E">
        <w:t xml:space="preserve">hoitoryhmissä havaittu kokonaisturvallisuusprofiili oli yhdenmukainen </w:t>
      </w:r>
      <w:r w:rsidR="00086961">
        <w:t xml:space="preserve">tosilitsumabin </w:t>
      </w:r>
      <w:r w:rsidRPr="0028514E">
        <w:t>tunnetun turvallisuusprofiilin kanssa (ks. taulukko 1).</w:t>
      </w:r>
    </w:p>
    <w:p w14:paraId="39F3CB19" w14:textId="77777777" w:rsidR="001A2F77" w:rsidRPr="0028514E" w:rsidRDefault="001A2F77" w:rsidP="006E5F9A">
      <w:pPr>
        <w:pStyle w:val="a4"/>
        <w:ind w:left="0"/>
      </w:pPr>
    </w:p>
    <w:p w14:paraId="58C35C1E" w14:textId="77777777" w:rsidR="003B7027" w:rsidRPr="00CA43F5" w:rsidRDefault="00296A74" w:rsidP="006E5F9A">
      <w:pPr>
        <w:rPr>
          <w:i/>
          <w:lang w:val="fi-FI"/>
        </w:rPr>
      </w:pPr>
      <w:r w:rsidRPr="00CA43F5">
        <w:rPr>
          <w:i/>
          <w:lang w:val="fi-FI"/>
        </w:rPr>
        <w:t>Infektiot</w:t>
      </w:r>
    </w:p>
    <w:p w14:paraId="59B1C32A" w14:textId="15C517EB" w:rsidR="003B7027" w:rsidRPr="0028514E" w:rsidRDefault="00296A74" w:rsidP="006E5F9A">
      <w:pPr>
        <w:pStyle w:val="a4"/>
        <w:ind w:left="0"/>
      </w:pPr>
      <w:r w:rsidRPr="0028514E">
        <w:t xml:space="preserve">Infektioiden tai vakavien infektiotapahtumien esiintyvyys oli tasapainossa </w:t>
      </w:r>
      <w:r w:rsidR="00086961">
        <w:t xml:space="preserve">tosilitsumabia </w:t>
      </w:r>
      <w:r w:rsidRPr="0028514E">
        <w:t>viikoittain saaneen ryhmän (200,2/9,7 tapahtumaa 100 potilasvuotta kohden) sekä lumevalmisteen ja 26 viikon aikana asteittain lopetetun prednisonihoidon yhdistelmää (156,0/4,2 tapahtumaa 100 potilasvuotta kohden) ja lumevalmisteen ja 52 viikon aikana asteittain lopetetun hoidon yhdistelmää</w:t>
      </w:r>
    </w:p>
    <w:p w14:paraId="1398FB0D" w14:textId="77777777" w:rsidR="003B7027" w:rsidRPr="0028514E" w:rsidRDefault="00296A74" w:rsidP="006E5F9A">
      <w:pPr>
        <w:pStyle w:val="a4"/>
        <w:ind w:left="0"/>
      </w:pPr>
      <w:r w:rsidRPr="0028514E">
        <w:t>(210,2/12,5 tapahtumaa 100 potilasvuotta kohden) saaneen ryhmän välillä.</w:t>
      </w:r>
    </w:p>
    <w:p w14:paraId="6EE3DE90" w14:textId="77777777" w:rsidR="003B7027" w:rsidRPr="0028514E" w:rsidRDefault="003B7027" w:rsidP="006E5F9A">
      <w:pPr>
        <w:pStyle w:val="a4"/>
        <w:ind w:left="0"/>
      </w:pPr>
    </w:p>
    <w:p w14:paraId="36DE2709" w14:textId="77777777" w:rsidR="003B7027" w:rsidRPr="00CA43F5" w:rsidRDefault="00296A74" w:rsidP="006E5F9A">
      <w:pPr>
        <w:rPr>
          <w:i/>
          <w:lang w:val="fi-FI"/>
        </w:rPr>
      </w:pPr>
      <w:r w:rsidRPr="00CA43F5">
        <w:rPr>
          <w:i/>
          <w:lang w:val="fi-FI"/>
        </w:rPr>
        <w:t>Pistoskohdan reaktiot</w:t>
      </w:r>
    </w:p>
    <w:p w14:paraId="038C4D54" w14:textId="45334F36" w:rsidR="003B7027" w:rsidRPr="0028514E" w:rsidRDefault="00296A74" w:rsidP="006E5F9A">
      <w:pPr>
        <w:pStyle w:val="a4"/>
        <w:ind w:left="0"/>
      </w:pPr>
      <w:r w:rsidRPr="0028514E">
        <w:t xml:space="preserve">Ihon alle annosteltua </w:t>
      </w:r>
      <w:r w:rsidR="00086961">
        <w:t xml:space="preserve">tosilitsumabia </w:t>
      </w:r>
      <w:r w:rsidRPr="0028514E">
        <w:t>viikoittain saaneessa ryhmässä yhteensä 6 % (6/100) potilaista raportoi ihon alle annetun pistoksen antokohdassa jonkin haittavaikutuksen. Yhtään injektiokohdan reaktiota ei raportoitu vakavana haittatapahtumana eivätkä ne vaatineet hoidon lopettamista.</w:t>
      </w:r>
    </w:p>
    <w:p w14:paraId="387F46D0" w14:textId="77777777" w:rsidR="003B7027" w:rsidRPr="0028514E" w:rsidRDefault="003B7027" w:rsidP="006E5F9A">
      <w:pPr>
        <w:pStyle w:val="a4"/>
        <w:ind w:left="0"/>
      </w:pPr>
    </w:p>
    <w:p w14:paraId="74F919E2" w14:textId="77777777" w:rsidR="003B7027" w:rsidRPr="00CA43F5" w:rsidRDefault="00296A74" w:rsidP="006E5F9A">
      <w:pPr>
        <w:rPr>
          <w:i/>
          <w:lang w:val="fi-FI"/>
        </w:rPr>
      </w:pPr>
      <w:r w:rsidRPr="00CA43F5">
        <w:rPr>
          <w:i/>
          <w:lang w:val="fi-FI"/>
        </w:rPr>
        <w:t>Hematologiset poikkeavuudet:</w:t>
      </w:r>
    </w:p>
    <w:p w14:paraId="1362D662" w14:textId="77777777" w:rsidR="003B7027" w:rsidRPr="00CA43F5" w:rsidRDefault="00296A74" w:rsidP="006E5F9A">
      <w:pPr>
        <w:rPr>
          <w:i/>
          <w:lang w:val="fi-FI"/>
        </w:rPr>
      </w:pPr>
      <w:r w:rsidRPr="00CA43F5">
        <w:rPr>
          <w:i/>
          <w:lang w:val="fi-FI"/>
        </w:rPr>
        <w:t>Neutrofiilit</w:t>
      </w:r>
    </w:p>
    <w:p w14:paraId="51C73B00" w14:textId="7C73CCFB" w:rsidR="003B7027" w:rsidRPr="0028514E" w:rsidRDefault="00296A74" w:rsidP="006E5F9A">
      <w:pPr>
        <w:pStyle w:val="a4"/>
        <w:ind w:left="0"/>
      </w:pPr>
      <w:r w:rsidRPr="0028514E">
        <w:t xml:space="preserve">Kaksitoista kuukautta kestäneen kontrolloidun kliinisen </w:t>
      </w:r>
      <w:r w:rsidR="00086961">
        <w:t>tosilitsumabi</w:t>
      </w:r>
      <w:r w:rsidRPr="0028514E">
        <w:t>tutkimuksen tavanomaisessa laboratorioseurannassa neutrofiiliarvojen laskua tason 1 × 10</w:t>
      </w:r>
      <w:r w:rsidRPr="0028514E">
        <w:rPr>
          <w:vertAlign w:val="superscript"/>
        </w:rPr>
        <w:t>9</w:t>
      </w:r>
      <w:r w:rsidRPr="0028514E">
        <w:t xml:space="preserve">/l alapuolelle ilmaantui 4 %:lle potilaista, joille annosteltiin </w:t>
      </w:r>
      <w:r w:rsidR="00086961">
        <w:t xml:space="preserve">tosilitsumabia </w:t>
      </w:r>
      <w:r w:rsidRPr="0028514E">
        <w:t>viikoittain ihon alle. Tällaista ei havaittu kummassakaan lumevalmisteen ja asteittain lopetettavan prednisonihoidon yhdistelmää saaneessa ryhmässä.</w:t>
      </w:r>
    </w:p>
    <w:p w14:paraId="632F6130" w14:textId="77777777" w:rsidR="001A2F77" w:rsidRPr="0028514E" w:rsidRDefault="001A2F77" w:rsidP="006E5F9A">
      <w:pPr>
        <w:pStyle w:val="a4"/>
        <w:ind w:left="0"/>
      </w:pPr>
    </w:p>
    <w:p w14:paraId="2BB067BF" w14:textId="77777777" w:rsidR="003B7027" w:rsidRPr="00CA43F5" w:rsidRDefault="00296A74" w:rsidP="006E5F9A">
      <w:pPr>
        <w:rPr>
          <w:i/>
          <w:lang w:val="fi-FI"/>
        </w:rPr>
      </w:pPr>
      <w:r w:rsidRPr="00CA43F5">
        <w:rPr>
          <w:i/>
          <w:lang w:val="fi-FI"/>
        </w:rPr>
        <w:t>Trombosyytit</w:t>
      </w:r>
    </w:p>
    <w:p w14:paraId="2988E726" w14:textId="6573FDD1" w:rsidR="003B7027" w:rsidRPr="0028514E" w:rsidRDefault="00296A74" w:rsidP="006E5F9A">
      <w:pPr>
        <w:pStyle w:val="a4"/>
        <w:ind w:left="0"/>
      </w:pPr>
      <w:r w:rsidRPr="0028514E">
        <w:t xml:space="preserve">Kaksitoista kuukautta kestäneen kontrolloidun kliinisen </w:t>
      </w:r>
      <w:r w:rsidR="00086961">
        <w:t>tosilitsumabi</w:t>
      </w:r>
      <w:r w:rsidRPr="0028514E">
        <w:t xml:space="preserve">tutkimuksen tavanomaisessa laboratorioseurannassa </w:t>
      </w:r>
      <w:r w:rsidR="00086961">
        <w:t xml:space="preserve">tosilitsumabia </w:t>
      </w:r>
      <w:r w:rsidRPr="0028514E">
        <w:t>viikoittain ihon alle saaneen ryhmän yhden potilaan (1 %, 1/100) trombosyyttiarvo laski kerran tilapäisesti tason 100 × 10</w:t>
      </w:r>
      <w:r w:rsidRPr="0028514E">
        <w:rPr>
          <w:vertAlign w:val="superscript"/>
        </w:rPr>
        <w:t>3</w:t>
      </w:r>
      <w:r w:rsidRPr="0028514E">
        <w:t>/μl alapuolelle eikä siihen liittynyt verenvuototapahtumia. Trombosyyttimäärän laskua alle tason 100 × 10</w:t>
      </w:r>
      <w:r w:rsidRPr="0028514E">
        <w:rPr>
          <w:vertAlign w:val="superscript"/>
        </w:rPr>
        <w:t>3</w:t>
      </w:r>
      <w:r w:rsidRPr="0028514E">
        <w:t>/μl ei havaittu kummassakaan lumevalmisteen ja asteittain lopetettavan prednisonihoidon yhdistelmää saaneessa ryhmässä.</w:t>
      </w:r>
    </w:p>
    <w:p w14:paraId="041871B4" w14:textId="77777777" w:rsidR="001A2F77" w:rsidRPr="0028514E" w:rsidRDefault="001A2F77" w:rsidP="006E5F9A">
      <w:pPr>
        <w:pStyle w:val="a4"/>
        <w:ind w:left="0"/>
      </w:pPr>
    </w:p>
    <w:p w14:paraId="38CEB226" w14:textId="77777777" w:rsidR="003B7027" w:rsidRPr="00CA43F5" w:rsidRDefault="00296A74" w:rsidP="006E5F9A">
      <w:pPr>
        <w:rPr>
          <w:i/>
          <w:lang w:val="fi-FI"/>
        </w:rPr>
      </w:pPr>
      <w:r w:rsidRPr="00CA43F5">
        <w:rPr>
          <w:i/>
          <w:lang w:val="fi-FI"/>
        </w:rPr>
        <w:t>Maksan aminotransferaasiarvojen nousu</w:t>
      </w:r>
    </w:p>
    <w:p w14:paraId="6C9538A3" w14:textId="250A3B7A" w:rsidR="003B7027" w:rsidRPr="0028514E" w:rsidRDefault="00296A74" w:rsidP="006E5F9A">
      <w:pPr>
        <w:pStyle w:val="a4"/>
        <w:ind w:left="0"/>
      </w:pPr>
      <w:r w:rsidRPr="0028514E">
        <w:t xml:space="preserve">Kaksitoista kuukautta kestäneen kontrolloidun kliinisen </w:t>
      </w:r>
      <w:r w:rsidR="00086961">
        <w:t>tosilitsumabi</w:t>
      </w:r>
      <w:r w:rsidRPr="0028514E">
        <w:t xml:space="preserve">tutkimuksen tavanomaisessa laboratorioseurannassa ALAT-arvon kohoamista ≥ 3 x viitevälin yläraja esiintyi 3 %:lla </w:t>
      </w:r>
      <w:r w:rsidR="00086961">
        <w:t xml:space="preserve">tosilitsumabia </w:t>
      </w:r>
      <w:r w:rsidRPr="0028514E">
        <w:t xml:space="preserve">ihon alle viikoittain saaneen ryhmän potilaista verrattuna 2 %:iin lumevalmisteen ja 52 viikon aikana asteittain lopetettavan prednisonihoidon yhdistelmää saaneessa ryhmässä, mutta ei yhdelläkään lumevalmisteen ja 26 viikon aikana asteittain lopetettavan prednisonihoidon yhdistelmää saaneen ryhmän potilaista. ASAT-arvon kohoamista &gt; 3 x viitevälin yläraja esiintyi 1 %:lla </w:t>
      </w:r>
      <w:r w:rsidR="00086961">
        <w:t xml:space="preserve">tosilitsumabia </w:t>
      </w:r>
      <w:r w:rsidRPr="0028514E">
        <w:t>ihon alle viikoittain saaneen ryhmän potilaista, mutta ei yhdelläkään kummankaan lumevalmisteen ja asteittain lopetettavan prednisonihoidon yhdistelmää saaneen ryhmän potilaista.</w:t>
      </w:r>
    </w:p>
    <w:p w14:paraId="33AAC771" w14:textId="77777777" w:rsidR="001A2F77" w:rsidRPr="002A56B1" w:rsidRDefault="001A2F77" w:rsidP="006E5F9A">
      <w:pPr>
        <w:pStyle w:val="a4"/>
        <w:ind w:left="0"/>
      </w:pPr>
    </w:p>
    <w:p w14:paraId="39B20834" w14:textId="77777777" w:rsidR="003B7027" w:rsidRPr="00CA43F5" w:rsidRDefault="00296A74" w:rsidP="006E5F9A">
      <w:pPr>
        <w:rPr>
          <w:i/>
          <w:lang w:val="fi-FI"/>
        </w:rPr>
      </w:pPr>
      <w:r w:rsidRPr="00CA43F5">
        <w:rPr>
          <w:i/>
          <w:lang w:val="fi-FI"/>
        </w:rPr>
        <w:t>Veren rasva-arvot</w:t>
      </w:r>
    </w:p>
    <w:p w14:paraId="7DF177AC" w14:textId="39C99D4E" w:rsidR="003B7027" w:rsidRPr="002A56B1" w:rsidRDefault="00296A74" w:rsidP="006E5F9A">
      <w:pPr>
        <w:pStyle w:val="a4"/>
        <w:ind w:left="0"/>
      </w:pPr>
      <w:r w:rsidRPr="002A56B1">
        <w:t xml:space="preserve">Kaksitoista kuukautta kestäneen kontrolloidun kliinisen </w:t>
      </w:r>
      <w:r w:rsidR="00086961">
        <w:t>tosilitsumabi</w:t>
      </w:r>
      <w:r w:rsidRPr="002A56B1">
        <w:t>tutkimuksen tavanomaisessa laboratorioseurannassa 34 %:lla potilaista kokonaiskolesteroliarvo nousi pitkäkestoisesti arvoon</w:t>
      </w:r>
      <w:r w:rsidR="001A2F77" w:rsidRPr="002A56B1">
        <w:t xml:space="preserve"> </w:t>
      </w:r>
      <w:r w:rsidRPr="002A56B1">
        <w:t xml:space="preserve">&gt; 6,2 mmol/l (240 mg/dl), ja 15 %:lla </w:t>
      </w:r>
      <w:r w:rsidR="00086961">
        <w:t xml:space="preserve">tosilitsumabia </w:t>
      </w:r>
      <w:r w:rsidRPr="002A56B1">
        <w:t xml:space="preserve">ihon alle viikoittain saaneen ryhmän potilaista LDL-kolesteroliarvo nousi pitkäkestoisesti arvoon </w:t>
      </w:r>
      <w:r w:rsidR="002A56B1" w:rsidRPr="002A56B1">
        <w:t xml:space="preserve">≥ </w:t>
      </w:r>
      <w:r w:rsidRPr="002A56B1">
        <w:t>4,1 mmol/l (160 mg/dl).</w:t>
      </w:r>
    </w:p>
    <w:p w14:paraId="3388F7F2" w14:textId="77777777" w:rsidR="003B7027" w:rsidRPr="002A56B1" w:rsidRDefault="003B7027" w:rsidP="006E5F9A">
      <w:pPr>
        <w:pStyle w:val="a4"/>
        <w:ind w:left="0"/>
      </w:pPr>
    </w:p>
    <w:p w14:paraId="289CDF80" w14:textId="77777777" w:rsidR="003B7027" w:rsidRPr="002A56B1" w:rsidRDefault="00296A74" w:rsidP="006E5F9A">
      <w:pPr>
        <w:pStyle w:val="a4"/>
        <w:ind w:left="0"/>
      </w:pPr>
      <w:r w:rsidRPr="002A56B1">
        <w:rPr>
          <w:u w:val="single"/>
        </w:rPr>
        <w:t>Laskimonsisäinen annostelu</w:t>
      </w:r>
    </w:p>
    <w:p w14:paraId="2536EA26" w14:textId="77777777" w:rsidR="003B7027" w:rsidRPr="002A56B1" w:rsidRDefault="00296A74" w:rsidP="006E5F9A">
      <w:pPr>
        <w:pStyle w:val="2"/>
      </w:pPr>
      <w:r w:rsidRPr="002A56B1">
        <w:t>Nivelreuma</w:t>
      </w:r>
    </w:p>
    <w:p w14:paraId="46C17392" w14:textId="06A47AD4" w:rsidR="003B7027" w:rsidRPr="002A56B1" w:rsidRDefault="00086961" w:rsidP="006E5F9A">
      <w:pPr>
        <w:pStyle w:val="a4"/>
        <w:ind w:left="0"/>
      </w:pPr>
      <w:r>
        <w:t>Tosilitsumabin</w:t>
      </w:r>
      <w:r w:rsidRPr="002A56B1">
        <w:t xml:space="preserve"> </w:t>
      </w:r>
      <w:r w:rsidR="00296A74" w:rsidRPr="002A56B1">
        <w:t>turvallisuutta on tutkittu viidessä vaiheen III kaksoissokkoutetussa, kontrolloidussa tutkimuksessa ja niiden jatkotutkimuksissa.</w:t>
      </w:r>
    </w:p>
    <w:p w14:paraId="067B719F" w14:textId="77777777" w:rsidR="00C549F7" w:rsidRPr="002A56B1" w:rsidRDefault="00C549F7" w:rsidP="006E5F9A">
      <w:pPr>
        <w:pStyle w:val="a4"/>
        <w:ind w:left="0"/>
      </w:pPr>
    </w:p>
    <w:p w14:paraId="48C2A279" w14:textId="6F08C10C" w:rsidR="003B7027" w:rsidRPr="0028514E" w:rsidRDefault="00296A74" w:rsidP="006E5F9A">
      <w:pPr>
        <w:pStyle w:val="a4"/>
        <w:ind w:left="0"/>
      </w:pPr>
      <w:r w:rsidRPr="0028514E">
        <w:rPr>
          <w:i/>
        </w:rPr>
        <w:t xml:space="preserve">Koko vertailtu </w:t>
      </w:r>
      <w:r w:rsidRPr="0028514E">
        <w:t>potilasjoukko käsittää kaikki kaksoissokkoutetun vaiheen potilaat kustakin ydintutkimuksesta satunnaistamisesta joko ensimmäiseen hoito-ohjelmaan tehtyyn muutokseen saakka tai kunnes hoito-ohjelmaa oli jatkettu kaksi vuotta. Vertailujakso oli neljässä tutkimuksessa</w:t>
      </w:r>
      <w:r w:rsidR="00C549F7" w:rsidRPr="0028514E">
        <w:t xml:space="preserve"> </w:t>
      </w:r>
      <w:r w:rsidRPr="0028514E">
        <w:t xml:space="preserve">6 kuukautta ja yhdessä tutkimuksessa enintään 2 vuotta. Kaksoissokkoutetuissa, kontrolloiduissa tutkimuksissa 774 potilasta sai 4 mg/kg </w:t>
      </w:r>
      <w:r w:rsidR="00086961">
        <w:t xml:space="preserve">tosilitsumabia </w:t>
      </w:r>
      <w:r w:rsidRPr="0028514E">
        <w:t>yhdistelmänä MTX:n kanssa, 1870 potilasta sai 8 mg/kg tosilitsumabia yhdistelmänä MTX:n tai muun DMARDin kanssa ja 288 potilasta sai 8 mg/kg tosilitsumabia monoterapiana.</w:t>
      </w:r>
    </w:p>
    <w:p w14:paraId="6DDFE142" w14:textId="77777777" w:rsidR="00C549F7" w:rsidRPr="0028514E" w:rsidRDefault="00C549F7" w:rsidP="006E5F9A">
      <w:pPr>
        <w:pStyle w:val="a4"/>
        <w:ind w:left="0"/>
      </w:pPr>
    </w:p>
    <w:p w14:paraId="40D190FF" w14:textId="3DE2E5BE" w:rsidR="003B7027" w:rsidRPr="0028514E" w:rsidRDefault="00296A74" w:rsidP="006E5F9A">
      <w:pPr>
        <w:pStyle w:val="a4"/>
        <w:ind w:left="0"/>
      </w:pPr>
      <w:r w:rsidRPr="0028514E">
        <w:rPr>
          <w:i/>
        </w:rPr>
        <w:t xml:space="preserve">Koko altistunut </w:t>
      </w:r>
      <w:r w:rsidRPr="0028514E">
        <w:t xml:space="preserve">potilasjoukko käsittää kaikki potilaat, jotka saivat vähintään yhden </w:t>
      </w:r>
      <w:r w:rsidR="00086961">
        <w:t>tosilitsumabi</w:t>
      </w:r>
      <w:r w:rsidRPr="0028514E">
        <w:t>annoksen tutkimusten joko kaksoissokkoutetun vertailujakson tai avoimen jatkovaiheen aikana. Tämän potilasjoukon 4009 potilaasta 3577 potilasta sai hoitoa vähintään 6 kuukauden ajan,</w:t>
      </w:r>
      <w:r w:rsidR="00C549F7" w:rsidRPr="0028514E">
        <w:t xml:space="preserve"> </w:t>
      </w:r>
      <w:r w:rsidRPr="0028514E">
        <w:t>3296 potilasta sai hoitoa vähintään yhden vuoden ajan, 2806 potilasta sai hoitoa vähintään kahden vuoden ajan ja 1222 potilasta vähintään kolmen vuoden ajan.</w:t>
      </w:r>
    </w:p>
    <w:p w14:paraId="42B44F64" w14:textId="77777777" w:rsidR="00C549F7" w:rsidRPr="0028514E" w:rsidRDefault="00C549F7" w:rsidP="003C43CF">
      <w:pPr>
        <w:pStyle w:val="a4"/>
        <w:ind w:left="0"/>
      </w:pPr>
    </w:p>
    <w:p w14:paraId="1A56977B" w14:textId="77777777" w:rsidR="003B7027" w:rsidRPr="005175E0" w:rsidRDefault="00296A74" w:rsidP="003C43CF">
      <w:pPr>
        <w:pStyle w:val="a4"/>
        <w:ind w:left="0"/>
      </w:pPr>
      <w:r w:rsidRPr="005175E0">
        <w:t>Valikoitujen haittavaikutusten kuvaus</w:t>
      </w:r>
    </w:p>
    <w:p w14:paraId="06FE0F98" w14:textId="77777777" w:rsidR="003B7027" w:rsidRPr="0028514E" w:rsidRDefault="003B7027" w:rsidP="006E5F9A">
      <w:pPr>
        <w:pStyle w:val="a4"/>
        <w:ind w:left="0"/>
      </w:pPr>
    </w:p>
    <w:p w14:paraId="5BA8FFC0" w14:textId="77777777" w:rsidR="003B7027" w:rsidRPr="00CA43F5" w:rsidRDefault="00296A74" w:rsidP="006E5F9A">
      <w:pPr>
        <w:rPr>
          <w:i/>
          <w:lang w:val="fi-FI"/>
        </w:rPr>
      </w:pPr>
      <w:r w:rsidRPr="00CA43F5">
        <w:rPr>
          <w:i/>
          <w:lang w:val="fi-FI"/>
        </w:rPr>
        <w:t>Infektiot</w:t>
      </w:r>
    </w:p>
    <w:p w14:paraId="76BA7117" w14:textId="1A830572" w:rsidR="00C549F7" w:rsidRPr="0028514E" w:rsidRDefault="00296A74" w:rsidP="006E5F9A">
      <w:pPr>
        <w:pStyle w:val="a4"/>
        <w:ind w:left="0"/>
      </w:pPr>
      <w:r w:rsidRPr="0028514E">
        <w:t>Kuusi kuukautta kestäneissä vertailututkimuksissa infektioiden esiintyvyys oli 127 tapahtumaa</w:t>
      </w:r>
      <w:r w:rsidR="00C549F7" w:rsidRPr="0028514E">
        <w:t xml:space="preserve"> </w:t>
      </w:r>
      <w:r w:rsidRPr="0028514E">
        <w:t xml:space="preserve">100 potilasvuotta kohti potilailla, jotka saivat 8 mg/kg </w:t>
      </w:r>
      <w:r w:rsidR="00086961">
        <w:t xml:space="preserve">tosilitsumabia </w:t>
      </w:r>
      <w:r w:rsidRPr="0028514E">
        <w:t>yhdessä DMARDien kanssa, ja 112 tapahtumaa 100 potilasvuotta kohti potilailla, jotka saivat lumevalmistetta ja DMARDeja.</w:t>
      </w:r>
      <w:r w:rsidR="00086961">
        <w:t xml:space="preserve"> </w:t>
      </w:r>
      <w:r w:rsidRPr="0028514E">
        <w:t xml:space="preserve">Populaatiossa, jossa altistuminen </w:t>
      </w:r>
      <w:r w:rsidR="00086961">
        <w:t xml:space="preserve">tosilitsumabille </w:t>
      </w:r>
      <w:r w:rsidRPr="0028514E">
        <w:t>oli pitkäaikaista, infektioiden kokonaisesiintyvyys oli 108 tapahtumaa 100 potilasvuotta kohti.</w:t>
      </w:r>
      <w:r w:rsidR="005175E0">
        <w:t xml:space="preserve"> </w:t>
      </w:r>
    </w:p>
    <w:p w14:paraId="4C0ADAA1" w14:textId="77777777" w:rsidR="00086961" w:rsidRDefault="00086961" w:rsidP="006E5F9A">
      <w:pPr>
        <w:pStyle w:val="a4"/>
        <w:ind w:left="0"/>
      </w:pPr>
    </w:p>
    <w:p w14:paraId="69917AAF" w14:textId="276E8F6F" w:rsidR="003B7027" w:rsidRPr="0028514E" w:rsidRDefault="00296A74" w:rsidP="006E5F9A">
      <w:pPr>
        <w:pStyle w:val="a4"/>
        <w:ind w:left="0"/>
      </w:pPr>
      <w:r w:rsidRPr="0028514E">
        <w:t xml:space="preserve">Kuusi kuukautta kestäneissä kliinisissä vertailututkimuksissa vakavien infektioiden esiintyvyys oli 5,3 tapahtumaa 100 potilasvuotta kohti potilailla, jotka saivat 8 mg/kg </w:t>
      </w:r>
      <w:r w:rsidR="00086961">
        <w:t xml:space="preserve">tosilitsumabia </w:t>
      </w:r>
      <w:r w:rsidRPr="0028514E">
        <w:t>yhdessä</w:t>
      </w:r>
      <w:r w:rsidR="00C549F7" w:rsidRPr="0028514E">
        <w:t xml:space="preserve"> </w:t>
      </w:r>
      <w:r w:rsidRPr="0028514E">
        <w:t>DMARDien kanssa ja 3,9 tapahtumaa 100 potilasvuotta kohti potilailla, jotka saivat lumevalmistetta ja DMARDeja. Monoterapiatutkimuksessa vakavien infektioiden esiintyvyys oli 3,6 tapahtumaa</w:t>
      </w:r>
      <w:r w:rsidR="00C549F7" w:rsidRPr="0028514E">
        <w:t xml:space="preserve"> </w:t>
      </w:r>
      <w:r w:rsidRPr="0028514E">
        <w:t xml:space="preserve">100 potilasvuotta kohti </w:t>
      </w:r>
      <w:r w:rsidR="00086961">
        <w:t>tosilitsumabi</w:t>
      </w:r>
      <w:r w:rsidRPr="0028514E">
        <w:t>ryhmässä ja 1,5 tapahtumaa 100 potilasvuotta kohti MTX- ryhmässä.</w:t>
      </w:r>
    </w:p>
    <w:p w14:paraId="0D1C8B2E" w14:textId="77777777" w:rsidR="00C549F7" w:rsidRPr="0028514E" w:rsidRDefault="00C549F7" w:rsidP="006E5F9A">
      <w:pPr>
        <w:pStyle w:val="a4"/>
        <w:ind w:left="0"/>
      </w:pPr>
    </w:p>
    <w:p w14:paraId="1B142401" w14:textId="77777777" w:rsidR="003B7027" w:rsidRPr="0028514E" w:rsidRDefault="00296A74" w:rsidP="006E5F9A">
      <w:pPr>
        <w:pStyle w:val="a4"/>
        <w:ind w:left="0"/>
      </w:pPr>
      <w:r w:rsidRPr="0028514E">
        <w:t>Vakavien infektioiden kokonaisesiintyvyys koko altistuneessa potilasjoukossa oli 4,7 tapahtumaa 100 potilasvuotta kohti. Raportoituja vakavia infektioita, joista osa johti potilaan kuolemaan, olivat keuhkokuume, selluliitti, vyöruusu, gastroenteriitti, divertikuliitti, sepsis ja bakteeriartriitti.</w:t>
      </w:r>
      <w:r w:rsidR="00C549F7" w:rsidRPr="0028514E">
        <w:t xml:space="preserve"> </w:t>
      </w:r>
      <w:r w:rsidRPr="0028514E">
        <w:t>Opportunistisia infektioita on myös raportoitu.</w:t>
      </w:r>
    </w:p>
    <w:p w14:paraId="6EB5E7FE" w14:textId="77777777" w:rsidR="00C549F7" w:rsidRPr="0028514E" w:rsidRDefault="00C549F7" w:rsidP="006E5F9A">
      <w:pPr>
        <w:pStyle w:val="a4"/>
        <w:ind w:left="0"/>
      </w:pPr>
    </w:p>
    <w:p w14:paraId="5391ECDD" w14:textId="77777777" w:rsidR="003B7027" w:rsidRPr="00CA43F5" w:rsidRDefault="00296A74" w:rsidP="00C974BF">
      <w:pPr>
        <w:keepNext/>
        <w:rPr>
          <w:i/>
          <w:lang w:val="fi-FI"/>
        </w:rPr>
      </w:pPr>
      <w:r w:rsidRPr="00CA43F5">
        <w:rPr>
          <w:i/>
          <w:lang w:val="fi-FI"/>
        </w:rPr>
        <w:t>Interstitiaalinen keuhkosairaus</w:t>
      </w:r>
    </w:p>
    <w:p w14:paraId="2038C237" w14:textId="77777777" w:rsidR="003B7027" w:rsidRPr="0028514E" w:rsidRDefault="00296A74" w:rsidP="002A56B1">
      <w:pPr>
        <w:pStyle w:val="a4"/>
        <w:ind w:left="0"/>
      </w:pPr>
      <w:r w:rsidRPr="0028514E">
        <w:t>Keuhkojen heikentynyt toimintakyky voi lisätä infektioriskiä. Interstitiaalista keuhkosairautta on raportoitu markkinoille tulon jälkeen (mukaan lukien keuhkotulehdus ja keuhkofibroosi). Näistä tapauksista muutama on ollut kuolemaan johtava.</w:t>
      </w:r>
    </w:p>
    <w:p w14:paraId="3C7F68FC" w14:textId="77777777" w:rsidR="00C549F7" w:rsidRPr="0028514E" w:rsidRDefault="00C549F7" w:rsidP="002A56B1">
      <w:pPr>
        <w:pStyle w:val="a4"/>
        <w:ind w:left="0"/>
      </w:pPr>
    </w:p>
    <w:p w14:paraId="7EEB5D71" w14:textId="77777777" w:rsidR="003B7027" w:rsidRPr="00CA43F5" w:rsidRDefault="00296A74" w:rsidP="002A56B1">
      <w:pPr>
        <w:keepNext/>
        <w:keepLines/>
        <w:rPr>
          <w:i/>
          <w:lang w:val="fi-FI"/>
        </w:rPr>
      </w:pPr>
      <w:r w:rsidRPr="00CA43F5">
        <w:rPr>
          <w:i/>
          <w:lang w:val="fi-FI"/>
        </w:rPr>
        <w:t>Ruoansulatuskanavan perforaatiot</w:t>
      </w:r>
    </w:p>
    <w:p w14:paraId="266CA659" w14:textId="175F604D" w:rsidR="003B7027" w:rsidRPr="0028514E" w:rsidRDefault="00296A74" w:rsidP="002A56B1">
      <w:pPr>
        <w:pStyle w:val="a4"/>
        <w:ind w:left="0"/>
      </w:pPr>
      <w:r w:rsidRPr="0028514E">
        <w:t xml:space="preserve">Kuusi kuukautta kestäneissä kontrolloiduissa kliinisissä tutkimuksissa ruoansulatuskanavan perforaatioiden kokonaisesiintyvyys </w:t>
      </w:r>
      <w:r w:rsidR="00086961">
        <w:t>tosilitsumabi</w:t>
      </w:r>
      <w:r w:rsidRPr="0028514E">
        <w:t xml:space="preserve">hoidon aikana oli 0,26 tapahtumaa 100 potilasvuotta kohti. Populaatiossa, jossa altistuminen oli pitkäaikaista, kokonaisesiintyvyys oli 0,28 tapahtumaa 100 potilasvuotta kohti. Ruoansulatuskanavan perforaatioita </w:t>
      </w:r>
      <w:r w:rsidR="00086961">
        <w:t>tosilitsumabi</w:t>
      </w:r>
      <w:r w:rsidRPr="0028514E">
        <w:t>hoidon yhteydessä raportoitiin ensisijaisesti divertikuliitin komplikaatioina mukaan lukien yleistynyt märkäinen peritoniitti, ruoansulatuskanavan alaosan perforaatio, fistelit ja absessi.</w:t>
      </w:r>
    </w:p>
    <w:p w14:paraId="31366632" w14:textId="77777777" w:rsidR="003B7027" w:rsidRPr="0028514E" w:rsidRDefault="003B7027" w:rsidP="002A56B1">
      <w:pPr>
        <w:pStyle w:val="a4"/>
        <w:ind w:left="0"/>
      </w:pPr>
    </w:p>
    <w:p w14:paraId="0EFB590B" w14:textId="77777777" w:rsidR="003B7027" w:rsidRPr="00CA43F5" w:rsidRDefault="00296A74" w:rsidP="006E5F9A">
      <w:pPr>
        <w:keepNext/>
        <w:rPr>
          <w:i/>
          <w:lang w:val="fi-FI"/>
        </w:rPr>
      </w:pPr>
      <w:r w:rsidRPr="00CA43F5">
        <w:rPr>
          <w:i/>
          <w:lang w:val="fi-FI"/>
        </w:rPr>
        <w:t>Infuusioon liittyvät reaktiot</w:t>
      </w:r>
    </w:p>
    <w:p w14:paraId="5B93BC68" w14:textId="77777777" w:rsidR="003B7027" w:rsidRPr="0028514E" w:rsidRDefault="00296A74" w:rsidP="006E5F9A">
      <w:pPr>
        <w:pStyle w:val="a4"/>
        <w:ind w:left="0"/>
      </w:pPr>
      <w:r w:rsidRPr="0028514E">
        <w:t>Kuusi kuukautta kestäneissä tutkimuksissa infuusioon liittyviä haittatapahtumia (valikoidut tapahtumat, jotka ilmaantuivat infuusion aikana tai 24 tunnin kuluessa sen päättymisestä) esiintyi 6,9 %:lla potilaista, jotka saivat tosilitsumabia 8 mg/kg yhdessä DMARDien kanssa, ja 5,1 %:lla</w:t>
      </w:r>
      <w:r w:rsidR="00C549F7" w:rsidRPr="0028514E">
        <w:t xml:space="preserve"> </w:t>
      </w:r>
      <w:r w:rsidRPr="0028514E">
        <w:t>potilaista, jotka saivat lumevalmistetta ja DMARDeja. Infuusion aikana raportoidut tapahtumat olivat pääasiassa hypertensioepisodeja. Tapahtumia, joita raportoitiin 24 tunnin aikana infuusion päättymisen jälkeen, olivat päänsärky ja ihoreaktiot (ihottuma, nokkosihottuma). Nämä tapahtumat eivät olleet hoitoa rajoittavia.</w:t>
      </w:r>
    </w:p>
    <w:p w14:paraId="4DAFD193" w14:textId="77777777" w:rsidR="00C549F7" w:rsidRPr="0028514E" w:rsidRDefault="00C549F7" w:rsidP="006E5F9A">
      <w:pPr>
        <w:pStyle w:val="a4"/>
        <w:ind w:left="0"/>
      </w:pPr>
    </w:p>
    <w:p w14:paraId="6D07CE8A" w14:textId="76D85686" w:rsidR="003B7027" w:rsidRPr="0028514E" w:rsidRDefault="00296A74" w:rsidP="006E5F9A">
      <w:pPr>
        <w:pStyle w:val="a4"/>
        <w:ind w:left="0"/>
      </w:pPr>
      <w:r w:rsidRPr="0028514E">
        <w:t>Anafylaktisten reaktioiden esiintyvyys (yhteensä 6 tapausta / 3</w:t>
      </w:r>
      <w:r w:rsidR="00FB16D8">
        <w:t> </w:t>
      </w:r>
      <w:r w:rsidRPr="0028514E">
        <w:t xml:space="preserve">778 potilasta, 0,2 %) oli moninkertainen annoksen ollessa 4 mg/kg verrattuna annokseen 8 mg/kg. Hoidon keskeyttämistä vaatineita kliinisesti merkitseviä </w:t>
      </w:r>
      <w:r w:rsidR="003F37BF">
        <w:t>tosilitsumabi</w:t>
      </w:r>
      <w:r w:rsidRPr="0028514E">
        <w:t>hoitoon liittyneitä yliherkkyysreaktioita todettiin yhteensä 13:lla (0,3 %) niistä 3</w:t>
      </w:r>
      <w:r w:rsidR="00FB16D8">
        <w:t> </w:t>
      </w:r>
      <w:r w:rsidRPr="0028514E">
        <w:t xml:space="preserve">778 potilaasta, jotka saivat </w:t>
      </w:r>
      <w:r w:rsidR="003F37BF">
        <w:t>tosilitsumabia</w:t>
      </w:r>
      <w:r w:rsidRPr="0028514E">
        <w:t xml:space="preserve"> vertailututkimuksissa ja avoimissa kliinisissä tutkimuksissa. Nämä reaktiot ilmaantuivat yleensä 2.–5. tosilitsumabi-infuusion aikana (ks. kohta 4.4). Myyntiluvan myöntämisen jälkeen on raportoitu yksi fataali anafylaksiatapaus </w:t>
      </w:r>
      <w:r w:rsidR="003F37BF">
        <w:t>tosilitsumabi</w:t>
      </w:r>
      <w:r w:rsidRPr="0028514E">
        <w:t>hoidon aikana (ks. kohta 4.4).</w:t>
      </w:r>
    </w:p>
    <w:p w14:paraId="5F8B71AD" w14:textId="77777777" w:rsidR="003B7027" w:rsidRPr="0028514E" w:rsidRDefault="003B7027" w:rsidP="006E5F9A">
      <w:pPr>
        <w:pStyle w:val="a4"/>
        <w:ind w:left="0"/>
      </w:pPr>
    </w:p>
    <w:p w14:paraId="1D611870" w14:textId="77777777" w:rsidR="003B7027" w:rsidRPr="00CA43F5" w:rsidRDefault="00296A74" w:rsidP="00CA43F5">
      <w:pPr>
        <w:keepNext/>
        <w:rPr>
          <w:i/>
          <w:lang w:val="fi-FI"/>
        </w:rPr>
      </w:pPr>
      <w:r w:rsidRPr="00CA43F5">
        <w:rPr>
          <w:i/>
          <w:lang w:val="fi-FI"/>
        </w:rPr>
        <w:lastRenderedPageBreak/>
        <w:t>Hematologiset muutokset:</w:t>
      </w:r>
    </w:p>
    <w:p w14:paraId="30F352BC" w14:textId="77777777" w:rsidR="003B7027" w:rsidRPr="00CA43F5" w:rsidRDefault="00296A74" w:rsidP="00CA43F5">
      <w:pPr>
        <w:keepNext/>
        <w:rPr>
          <w:i/>
          <w:lang w:val="fi-FI"/>
        </w:rPr>
      </w:pPr>
      <w:r w:rsidRPr="00CA43F5">
        <w:rPr>
          <w:i/>
          <w:lang w:val="fi-FI"/>
        </w:rPr>
        <w:t>Neutrofiilit</w:t>
      </w:r>
    </w:p>
    <w:p w14:paraId="01B9CC2B" w14:textId="536BB5A7" w:rsidR="005175E0" w:rsidRDefault="00296A74" w:rsidP="006E5F9A">
      <w:pPr>
        <w:pStyle w:val="a4"/>
        <w:ind w:left="0"/>
      </w:pPr>
      <w:r w:rsidRPr="0028514E">
        <w:t>Kuusi kuukautta kestäneissä kontrolloiduissa tutkimuksissa neutrofiiliarvo laski tason 1 x 10</w:t>
      </w:r>
      <w:r w:rsidRPr="0028514E">
        <w:rPr>
          <w:vertAlign w:val="superscript"/>
        </w:rPr>
        <w:t>9</w:t>
      </w:r>
      <w:r w:rsidRPr="0028514E">
        <w:t xml:space="preserve">/l alapuolelle 3,4 %:lla potilaista, jotka saivat </w:t>
      </w:r>
      <w:r w:rsidR="003F37BF">
        <w:t xml:space="preserve">tosilitsumabia </w:t>
      </w:r>
      <w:r w:rsidRPr="0028514E">
        <w:t>8 mg/kg ja DMARDeja verrattuna</w:t>
      </w:r>
      <w:r w:rsidR="00C549F7" w:rsidRPr="0028514E">
        <w:t xml:space="preserve"> </w:t>
      </w:r>
      <w:r w:rsidRPr="0028514E">
        <w:t>&lt; 0,1 %:iin potilaista, jotka saivat lumevalmistetta ja DMARDeja. Potilaista, joiden absoluuttinen neutrofiiliarvo laski tasolle &lt; 1 x 10</w:t>
      </w:r>
      <w:r w:rsidRPr="0028514E">
        <w:rPr>
          <w:vertAlign w:val="superscript"/>
        </w:rPr>
        <w:t>9</w:t>
      </w:r>
      <w:r w:rsidRPr="0028514E">
        <w:t>/l, noin puolella lasku todettiin kahdeksan viikon kuluessa hoidon alkamisesta. Tason 0,5 x 10</w:t>
      </w:r>
      <w:r w:rsidRPr="0028514E">
        <w:rPr>
          <w:vertAlign w:val="superscript"/>
        </w:rPr>
        <w:t>9</w:t>
      </w:r>
      <w:r w:rsidRPr="0028514E">
        <w:t xml:space="preserve">/l alapuolelle laskeneita arvoja todettiin 0,3 %:lla potilaista, jotka saivat </w:t>
      </w:r>
      <w:r w:rsidR="003F37BF">
        <w:t xml:space="preserve">tosilitsumabia </w:t>
      </w:r>
      <w:r w:rsidRPr="0028514E">
        <w:t>8 mg/kg yhdessä DMARDien kanssa. Infektioita, joihin liittyi neutropenia, on raportoitu.</w:t>
      </w:r>
      <w:r w:rsidR="00C549F7" w:rsidRPr="0028514E">
        <w:t xml:space="preserve"> </w:t>
      </w:r>
    </w:p>
    <w:p w14:paraId="4FDA473E" w14:textId="77777777" w:rsidR="005175E0" w:rsidRDefault="005175E0" w:rsidP="006E5F9A">
      <w:pPr>
        <w:pStyle w:val="a4"/>
        <w:ind w:left="0"/>
      </w:pPr>
    </w:p>
    <w:p w14:paraId="03EBE328" w14:textId="77777777" w:rsidR="003B7027" w:rsidRPr="0028514E" w:rsidRDefault="00296A74" w:rsidP="006E5F9A">
      <w:pPr>
        <w:pStyle w:val="a4"/>
        <w:ind w:left="0"/>
      </w:pPr>
      <w:r w:rsidRPr="0028514E">
        <w:t>Kaksoissokkoutetussa kontrollivaiheessa ja pitkäaikaisessa altistumisessa havaittiin neutrofiiliarvojen laskeneen vastaavalla tavalla ja ilmaantuvuudella kuin kuusi kuukautta kestäneissä kontrolloiduissa tutkimuksissa.</w:t>
      </w:r>
    </w:p>
    <w:p w14:paraId="0B76208B" w14:textId="77777777" w:rsidR="003B7027" w:rsidRPr="0028514E" w:rsidRDefault="003B7027" w:rsidP="002A56B1">
      <w:pPr>
        <w:pStyle w:val="a4"/>
        <w:ind w:left="0"/>
      </w:pPr>
    </w:p>
    <w:p w14:paraId="4DCB3203" w14:textId="77777777" w:rsidR="003B7027" w:rsidRPr="00CA43F5" w:rsidRDefault="00296A74" w:rsidP="002A56B1">
      <w:pPr>
        <w:rPr>
          <w:i/>
          <w:lang w:val="fi-FI"/>
        </w:rPr>
      </w:pPr>
      <w:r w:rsidRPr="00CA43F5">
        <w:rPr>
          <w:i/>
          <w:lang w:val="fi-FI"/>
        </w:rPr>
        <w:t>Trombosyytit</w:t>
      </w:r>
    </w:p>
    <w:p w14:paraId="074A7BCE" w14:textId="6624A9BF" w:rsidR="003B7027" w:rsidRPr="0028514E" w:rsidRDefault="00296A74" w:rsidP="002A56B1">
      <w:pPr>
        <w:pStyle w:val="a4"/>
        <w:ind w:left="0"/>
      </w:pPr>
      <w:r w:rsidRPr="0028514E">
        <w:t>Kuusi kuukautta kestäneissä kontrolloiduissa tutkimuksissa trombosyyttiarvo laski tason 100 x 10</w:t>
      </w:r>
      <w:r w:rsidRPr="0028514E">
        <w:rPr>
          <w:vertAlign w:val="superscript"/>
        </w:rPr>
        <w:t>3</w:t>
      </w:r>
      <w:r w:rsidRPr="0028514E">
        <w:t xml:space="preserve">/μl alapuolelle 1,7 %:lla </w:t>
      </w:r>
      <w:r w:rsidR="003F37BF">
        <w:t xml:space="preserve">tosilitsumabia </w:t>
      </w:r>
      <w:r w:rsidRPr="0028514E">
        <w:t>8 mg/kg ja DMARDeja saaneista potilaista verrattuna &lt; 1 %:lla lumevalmistetta ja DMARDeja saaneisiin potilaisiin. Näihin muutoksiin ei liittynyt verenvuototapahtumia.</w:t>
      </w:r>
    </w:p>
    <w:p w14:paraId="4F7C31BA" w14:textId="77777777" w:rsidR="00C549F7" w:rsidRPr="0028514E" w:rsidRDefault="00C549F7" w:rsidP="002A56B1">
      <w:pPr>
        <w:pStyle w:val="a4"/>
        <w:ind w:left="0"/>
      </w:pPr>
    </w:p>
    <w:p w14:paraId="6A8C86A2" w14:textId="77777777" w:rsidR="003B7027" w:rsidRPr="0028514E" w:rsidRDefault="00296A74" w:rsidP="002A56B1">
      <w:pPr>
        <w:pStyle w:val="a4"/>
        <w:ind w:left="0"/>
      </w:pPr>
      <w:r w:rsidRPr="0028514E">
        <w:t>Kaksoissokkoutetussa kontrollivaiheessa ja pitkäaikaisessa altistumisessa havaittiin trombosyyttiarvojen laskeneen vastaavalla tavalla ja ilmaantuvuudella kuin kuusi kuukautta kestäneissä kontrolloiduissa tutkimuksissa.</w:t>
      </w:r>
    </w:p>
    <w:p w14:paraId="2C15DB6E" w14:textId="77777777" w:rsidR="00C549F7" w:rsidRPr="0028514E" w:rsidRDefault="00C549F7" w:rsidP="002A56B1">
      <w:pPr>
        <w:pStyle w:val="a4"/>
        <w:ind w:left="0"/>
      </w:pPr>
    </w:p>
    <w:p w14:paraId="5D8FD7FC" w14:textId="77777777" w:rsidR="003B7027" w:rsidRPr="0028514E" w:rsidRDefault="00296A74" w:rsidP="002A56B1">
      <w:pPr>
        <w:pStyle w:val="a4"/>
        <w:ind w:left="0"/>
      </w:pPr>
      <w:r w:rsidRPr="0028514E">
        <w:t>Myyntiluvan myöntämisen jälkeisessä seurannassa on hyvin harvoin raportoitu pansytopeniaa.</w:t>
      </w:r>
    </w:p>
    <w:p w14:paraId="725DD442" w14:textId="77777777" w:rsidR="003B7027" w:rsidRPr="0028514E" w:rsidRDefault="003B7027" w:rsidP="002A56B1">
      <w:pPr>
        <w:pStyle w:val="a4"/>
        <w:ind w:left="0"/>
      </w:pPr>
    </w:p>
    <w:p w14:paraId="14A4CF88" w14:textId="77777777" w:rsidR="003B7027" w:rsidRPr="00CA43F5" w:rsidRDefault="00296A74" w:rsidP="002A56B1">
      <w:pPr>
        <w:keepNext/>
        <w:keepLines/>
        <w:rPr>
          <w:i/>
          <w:lang w:val="fi-FI"/>
        </w:rPr>
      </w:pPr>
      <w:r w:rsidRPr="00CA43F5">
        <w:rPr>
          <w:i/>
          <w:lang w:val="fi-FI"/>
        </w:rPr>
        <w:t>Maksan aminotransferaasiarvojen nousu</w:t>
      </w:r>
    </w:p>
    <w:p w14:paraId="11BA4916" w14:textId="0013D5EC" w:rsidR="003B7027" w:rsidRPr="0028514E" w:rsidRDefault="00296A74" w:rsidP="002A56B1">
      <w:pPr>
        <w:pStyle w:val="a4"/>
        <w:ind w:left="0"/>
      </w:pPr>
      <w:r w:rsidRPr="0028514E">
        <w:t>Kuusi kuukautta kestäneissä kontrolloiduissa tutkimuksissa ohimenevä ALAT-/ASAT-arvojen nousu</w:t>
      </w:r>
      <w:r w:rsidR="00C549F7" w:rsidRPr="0028514E">
        <w:t xml:space="preserve"> </w:t>
      </w:r>
      <w:r w:rsidRPr="0028514E">
        <w:t xml:space="preserve">&gt; 3 x viitevälin yläraja todettiin 2,1 %:lla </w:t>
      </w:r>
      <w:r w:rsidR="003F37BF">
        <w:t xml:space="preserve">tosilitsumabia </w:t>
      </w:r>
      <w:r w:rsidRPr="0028514E">
        <w:t xml:space="preserve">8 mg/kg saaneista ja 4,9 %:lla MTX:a saaneista potilaista sekä 6,5 %:lla potilaista, jotka saivat </w:t>
      </w:r>
      <w:r w:rsidR="003F37BF">
        <w:t xml:space="preserve">tosilitsumabia </w:t>
      </w:r>
      <w:r w:rsidRPr="0028514E">
        <w:t>8 mg/kg yhdessä DMARDien kanssa, sekä 1,5 %:lla lumevalmistetta ja DMARDeja saaneista potilaista.</w:t>
      </w:r>
    </w:p>
    <w:p w14:paraId="329278B5" w14:textId="77777777" w:rsidR="00C549F7" w:rsidRPr="0028514E" w:rsidRDefault="00C549F7" w:rsidP="002A56B1">
      <w:pPr>
        <w:pStyle w:val="a4"/>
        <w:ind w:left="0"/>
      </w:pPr>
    </w:p>
    <w:p w14:paraId="382D7592" w14:textId="4E20DF58" w:rsidR="003B7027" w:rsidRPr="0028514E" w:rsidRDefault="00296A74" w:rsidP="002A56B1">
      <w:pPr>
        <w:pStyle w:val="a4"/>
        <w:ind w:left="0"/>
      </w:pPr>
      <w:r w:rsidRPr="0028514E">
        <w:t xml:space="preserve">Kohonneet arvot yleistyivät, kun </w:t>
      </w:r>
      <w:r w:rsidR="003F37BF">
        <w:t>tosilitsumabi</w:t>
      </w:r>
      <w:r w:rsidRPr="0028514E">
        <w:t xml:space="preserve">monoterapiahoitoon lisättiin jokin mahdollisesti maksatoksinen lääke (esim. MTX). ALAT-/ASAT-arvojen nousu &gt; 5 x viitevälin yläraja todettiin 0,7 %:lla pelkkää </w:t>
      </w:r>
      <w:r w:rsidR="003F37BF">
        <w:t xml:space="preserve">tosilitsumabia </w:t>
      </w:r>
      <w:r w:rsidRPr="0028514E">
        <w:t xml:space="preserve">saaneista potilaista ja 1,4 %:lla potilaista, jotka saivat </w:t>
      </w:r>
      <w:r w:rsidR="003F37BF">
        <w:t xml:space="preserve">tosilitsumabia </w:t>
      </w:r>
      <w:r w:rsidRPr="0028514E">
        <w:t xml:space="preserve">yhdessä DMARDien kanssa. Suurimmalla osalla näistä potilaista tosilitsumabihoito keskeytettiin pysyvästi. Kaksoissokkoutetun kontrollivaiheen tavanomaisessa laboratorioseurannassa 6,2 %:lla </w:t>
      </w:r>
      <w:r w:rsidR="003F37BF">
        <w:t xml:space="preserve">tosilitsumabia </w:t>
      </w:r>
      <w:r w:rsidRPr="0028514E">
        <w:t>8 mg/kg ja DMARDeja saaneista potilaista todettiin konjugoitumattoman bilirubiinin pitoisuuksia, jotka olivat korkeammat kuin viitevälin yläraja. Konjugoitumattoman bilirubiinin</w:t>
      </w:r>
      <w:r w:rsidR="00C549F7" w:rsidRPr="0028514E">
        <w:t xml:space="preserve"> </w:t>
      </w:r>
      <w:r w:rsidRPr="0028514E">
        <w:t>pitoisuus nousi tasolle &gt; 1–2 x viitevälin yläraja yhteensä 5,8 %:lla potilaista ja 0,4 %:lla nousu oli &gt; 2 x viitevälin yläraja.</w:t>
      </w:r>
    </w:p>
    <w:p w14:paraId="43043642" w14:textId="77777777" w:rsidR="003B7027" w:rsidRPr="0028514E" w:rsidRDefault="003B7027" w:rsidP="006E5F9A">
      <w:pPr>
        <w:pStyle w:val="a4"/>
        <w:ind w:left="0"/>
      </w:pPr>
    </w:p>
    <w:p w14:paraId="13A2621D" w14:textId="77777777" w:rsidR="003B7027" w:rsidRPr="0028514E" w:rsidRDefault="00296A74" w:rsidP="006E5F9A">
      <w:pPr>
        <w:pStyle w:val="a4"/>
        <w:ind w:left="0"/>
      </w:pPr>
      <w:r w:rsidRPr="0028514E">
        <w:t>Kaksoissokkoutetussa kontrollivaiheessa ja pitkäaikaisessa altistumisessa havaittiin ALAT-/ASAT- arvojen nousseen vastaavalla tavalla ja ilmaantuvuudella kuin kuusi kuukautta kestäneissä kontrolloiduissa tutkimuksissa.</w:t>
      </w:r>
    </w:p>
    <w:p w14:paraId="579AA7BC" w14:textId="77777777" w:rsidR="00C549F7" w:rsidRPr="0028514E" w:rsidRDefault="00C549F7" w:rsidP="006E5F9A">
      <w:pPr>
        <w:pStyle w:val="a4"/>
        <w:ind w:left="0"/>
      </w:pPr>
    </w:p>
    <w:p w14:paraId="6321AFC9" w14:textId="77777777" w:rsidR="003B7027" w:rsidRPr="00CA43F5" w:rsidRDefault="00296A74" w:rsidP="006E5F9A">
      <w:pPr>
        <w:rPr>
          <w:i/>
          <w:lang w:val="fi-FI"/>
        </w:rPr>
      </w:pPr>
      <w:r w:rsidRPr="00CA43F5">
        <w:rPr>
          <w:i/>
          <w:lang w:val="fi-FI"/>
        </w:rPr>
        <w:t>Veren rasva-arvot</w:t>
      </w:r>
    </w:p>
    <w:p w14:paraId="1E619FB8" w14:textId="5E250337" w:rsidR="003B7027" w:rsidRPr="0028514E" w:rsidRDefault="00296A74" w:rsidP="006E5F9A">
      <w:pPr>
        <w:pStyle w:val="a4"/>
        <w:ind w:left="0"/>
      </w:pPr>
      <w:r w:rsidRPr="0028514E">
        <w:t xml:space="preserve">Kuusi kuukautta kestäneissä kontrolloiduissa tutkimuksissa on raportoitu yleisesti veren rasva-arvojen, kuten kokonaiskolesterolin, triglyseridien, LDL- ja/tai HDL-kolesterolin, nousua. Tavanomaisessa laboratorioseurannassa noin 24 %:lla potilaista, jotka saivat </w:t>
      </w:r>
      <w:r w:rsidR="003F37BF">
        <w:t xml:space="preserve">tosilitsumabia </w:t>
      </w:r>
      <w:r w:rsidRPr="0028514E">
        <w:t>kliinisissä tutkimuksissa, todettiin pysyvästi kohonneita kokonaiskolesteroliarvoja (≥ 6,2 mmol/l). 15 %:lla potilaista havaittiin pysyvästi kohonneita LDL-kolesteroliarvoja (≥ 4,1 mmol/l). Kohonneet veren rasva-arvot saatiin hallintaan kolesterolia alentavilla lääkkeillä.</w:t>
      </w:r>
    </w:p>
    <w:p w14:paraId="22390653" w14:textId="77777777" w:rsidR="00C549F7" w:rsidRPr="0028514E" w:rsidRDefault="00C549F7" w:rsidP="006E5F9A">
      <w:pPr>
        <w:pStyle w:val="a4"/>
        <w:ind w:left="0"/>
      </w:pPr>
    </w:p>
    <w:p w14:paraId="00B465A3" w14:textId="77777777" w:rsidR="003B7027" w:rsidRPr="0028514E" w:rsidRDefault="00296A74" w:rsidP="006E5F9A">
      <w:pPr>
        <w:pStyle w:val="a4"/>
        <w:ind w:left="0"/>
      </w:pPr>
      <w:r w:rsidRPr="0028514E">
        <w:t>Kaksoissokkoutetussa kontrollivaiheessa ja pitkäaikaisessa altistumisessa havaittiin veren rasva- arvojen kohonneen vastaavalla tavalla ja ilmaantuvuudella kuin kuusi kuukautta kestäneissä kontrolloiduissa tutkimuksissa.</w:t>
      </w:r>
    </w:p>
    <w:p w14:paraId="23ABDCA2" w14:textId="77777777" w:rsidR="003B7027" w:rsidRPr="0028514E" w:rsidRDefault="003B7027" w:rsidP="006E5F9A">
      <w:pPr>
        <w:pStyle w:val="a4"/>
        <w:ind w:left="0"/>
      </w:pPr>
    </w:p>
    <w:p w14:paraId="133BF218" w14:textId="77777777" w:rsidR="003B7027" w:rsidRPr="00CA43F5" w:rsidRDefault="00296A74" w:rsidP="006E5F9A">
      <w:pPr>
        <w:rPr>
          <w:i/>
          <w:lang w:val="fi-FI"/>
        </w:rPr>
      </w:pPr>
      <w:r w:rsidRPr="00CA43F5">
        <w:rPr>
          <w:i/>
          <w:lang w:val="fi-FI"/>
        </w:rPr>
        <w:t>Maligniteetti</w:t>
      </w:r>
    </w:p>
    <w:p w14:paraId="7DC34D62" w14:textId="4CF9436D" w:rsidR="003B7027" w:rsidRPr="0028514E" w:rsidRDefault="00296A74" w:rsidP="006E5F9A">
      <w:pPr>
        <w:pStyle w:val="a4"/>
        <w:ind w:left="0"/>
      </w:pPr>
      <w:r w:rsidRPr="0028514E">
        <w:t xml:space="preserve">Kliiniset tiedot eivät ole riittäviä, jotta voitaisiin arvioida pahanlaatuisten kasvainten mahdollista ilmaantuvuutta </w:t>
      </w:r>
      <w:r w:rsidR="003F37BF">
        <w:t>tosilitsumabi</w:t>
      </w:r>
      <w:r w:rsidRPr="0028514E">
        <w:t>altistuksen jälkeen. Pitkäaikainen turvallisuusarviointi on meneillään.</w:t>
      </w:r>
    </w:p>
    <w:p w14:paraId="487C95CF" w14:textId="77777777" w:rsidR="003B7027" w:rsidRPr="0028514E" w:rsidRDefault="003B7027" w:rsidP="006E5F9A">
      <w:pPr>
        <w:pStyle w:val="a4"/>
        <w:ind w:left="0"/>
      </w:pPr>
    </w:p>
    <w:p w14:paraId="6E8C0954" w14:textId="77777777" w:rsidR="003B7027" w:rsidRPr="00CA43F5" w:rsidRDefault="00296A74" w:rsidP="006E5F9A">
      <w:pPr>
        <w:rPr>
          <w:i/>
          <w:lang w:val="fi-FI"/>
        </w:rPr>
      </w:pPr>
      <w:r w:rsidRPr="00CA43F5">
        <w:rPr>
          <w:i/>
          <w:color w:val="1C1C1C"/>
          <w:lang w:val="fi-FI"/>
        </w:rPr>
        <w:t>Ihoreaktiot</w:t>
      </w:r>
    </w:p>
    <w:p w14:paraId="0D4EC146" w14:textId="77777777" w:rsidR="003B7027" w:rsidRPr="0028514E" w:rsidRDefault="00296A74" w:rsidP="006E5F9A">
      <w:pPr>
        <w:pStyle w:val="a4"/>
        <w:ind w:left="0"/>
      </w:pPr>
      <w:r w:rsidRPr="0028514E">
        <w:t xml:space="preserve">Myyntiluvan myöntämisen jälkeisessä seurannassa on harvoin raportoitu </w:t>
      </w:r>
      <w:r w:rsidRPr="0028514E">
        <w:rPr>
          <w:color w:val="1C1C1C"/>
        </w:rPr>
        <w:t>Stevens-Johnsonin oireyhtymää</w:t>
      </w:r>
      <w:r w:rsidRPr="0028514E">
        <w:t>.</w:t>
      </w:r>
    </w:p>
    <w:p w14:paraId="21594152" w14:textId="77777777" w:rsidR="00C549F7" w:rsidRDefault="00C549F7" w:rsidP="006E5F9A">
      <w:pPr>
        <w:pStyle w:val="a4"/>
        <w:ind w:left="0"/>
      </w:pPr>
    </w:p>
    <w:p w14:paraId="4C46C205" w14:textId="77777777" w:rsidR="003F37BF" w:rsidRPr="00C70B85" w:rsidRDefault="003F37BF" w:rsidP="003F37BF">
      <w:pPr>
        <w:pStyle w:val="a4"/>
        <w:ind w:left="0"/>
        <w:rPr>
          <w:u w:val="single"/>
        </w:rPr>
      </w:pPr>
      <w:r>
        <w:rPr>
          <w:u w:val="single"/>
        </w:rPr>
        <w:t>Immunogeenisuus</w:t>
      </w:r>
    </w:p>
    <w:p w14:paraId="3A824A63" w14:textId="518E29C2" w:rsidR="003F37BF" w:rsidRDefault="003F37BF" w:rsidP="003F37BF">
      <w:pPr>
        <w:pStyle w:val="a4"/>
        <w:ind w:left="0"/>
      </w:pPr>
      <w:r>
        <w:t>Tosilitsumabihoidon aikana voi kehittyä anti-tosilitsumabivasta-aineita. V</w:t>
      </w:r>
      <w:r w:rsidRPr="0028514E">
        <w:t>asta-aineiden muodostumisen ja kliinisen hoitovasteen tai haittatapahtumien välillä</w:t>
      </w:r>
      <w:r>
        <w:t xml:space="preserve"> voidaan havaita yhteys.</w:t>
      </w:r>
    </w:p>
    <w:p w14:paraId="2BFBF695" w14:textId="77777777" w:rsidR="003F37BF" w:rsidRPr="0028514E" w:rsidRDefault="003F37BF" w:rsidP="006E5F9A">
      <w:pPr>
        <w:pStyle w:val="a4"/>
        <w:ind w:left="0"/>
      </w:pPr>
    </w:p>
    <w:p w14:paraId="782BA4AD" w14:textId="77777777" w:rsidR="003B7027" w:rsidRPr="0028514E" w:rsidRDefault="00296A74" w:rsidP="006E5F9A">
      <w:pPr>
        <w:pStyle w:val="a4"/>
        <w:ind w:left="0"/>
      </w:pPr>
      <w:r w:rsidRPr="0028514E">
        <w:rPr>
          <w:u w:val="single"/>
        </w:rPr>
        <w:t>Epäillyistä haittavaikutuksista ilmoittaminen</w:t>
      </w:r>
    </w:p>
    <w:p w14:paraId="3D598266" w14:textId="77777777" w:rsidR="003B7027" w:rsidRPr="0028514E" w:rsidRDefault="00296A74" w:rsidP="006E5F9A">
      <w:pPr>
        <w:pStyle w:val="a4"/>
        <w:ind w:left="0"/>
      </w:pPr>
      <w:r w:rsidRPr="0028514E">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fldChar w:fldCharType="begin"/>
      </w:r>
      <w:r>
        <w:instrText>HYPERLINK "https://www.ema.europa.eu/documents/template-form/appendix-v-adverse-drug-reaction-reporting-details_en.doc" \h</w:instrText>
      </w:r>
      <w:r>
        <w:fldChar w:fldCharType="separate"/>
      </w:r>
      <w:r w:rsidRPr="0028514E">
        <w:rPr>
          <w:color w:val="0000FF"/>
          <w:u w:val="single" w:color="0000FF"/>
          <w:shd w:val="clear" w:color="auto" w:fill="C1C1C1"/>
        </w:rPr>
        <w:t>liitteessä V</w:t>
      </w:r>
      <w:r>
        <w:fldChar w:fldCharType="end"/>
      </w:r>
      <w:r w:rsidRPr="0028514E">
        <w:rPr>
          <w:color w:val="0000FF"/>
          <w:u w:val="single" w:color="0000FF"/>
          <w:shd w:val="clear" w:color="auto" w:fill="C1C1C1"/>
        </w:rPr>
        <w:t xml:space="preserve"> </w:t>
      </w:r>
      <w:r w:rsidRPr="0028514E">
        <w:rPr>
          <w:color w:val="000000"/>
          <w:shd w:val="clear" w:color="auto" w:fill="C1C1C1"/>
        </w:rPr>
        <w:t>luetellun kansallisen ilmoitusjärjestelmän kautta.</w:t>
      </w:r>
    </w:p>
    <w:p w14:paraId="2DEC5F25" w14:textId="77777777" w:rsidR="003B7027" w:rsidRPr="0028514E" w:rsidRDefault="003B7027" w:rsidP="006E5F9A">
      <w:pPr>
        <w:pStyle w:val="a4"/>
        <w:ind w:left="0"/>
      </w:pPr>
    </w:p>
    <w:p w14:paraId="600ACAFB" w14:textId="77777777" w:rsidR="003B7027" w:rsidRPr="0028514E" w:rsidRDefault="00296A74" w:rsidP="006E5F9A">
      <w:pPr>
        <w:pStyle w:val="2"/>
      </w:pPr>
      <w:r w:rsidRPr="0028514E">
        <w:t>4.9</w:t>
      </w:r>
      <w:r w:rsidRPr="0028514E">
        <w:tab/>
        <w:t>Yliannostus</w:t>
      </w:r>
    </w:p>
    <w:p w14:paraId="1919F666" w14:textId="77777777" w:rsidR="00C549F7" w:rsidRPr="0028514E" w:rsidRDefault="00C549F7" w:rsidP="001C1F69"/>
    <w:p w14:paraId="140E5A29" w14:textId="119C7C66" w:rsidR="003B7027" w:rsidRPr="0028514E" w:rsidRDefault="00296A74" w:rsidP="006E5F9A">
      <w:pPr>
        <w:pStyle w:val="a4"/>
        <w:ind w:left="0"/>
      </w:pPr>
      <w:r w:rsidRPr="0028514E">
        <w:t xml:space="preserve">Tietoja </w:t>
      </w:r>
      <w:r w:rsidR="003F37BF">
        <w:t>tosilitsumabin</w:t>
      </w:r>
      <w:r w:rsidR="003F37BF" w:rsidRPr="0028514E">
        <w:t xml:space="preserve"> </w:t>
      </w:r>
      <w:r w:rsidRPr="0028514E">
        <w:t>yliannostuksesta on rajoitetusti. Yksi tahaton yliannostustapaus on raportoitu. Siinä multippelia myeloomaa sairastava potilas sai kerta-annoksena laskimoon 40 mg/kg.</w:t>
      </w:r>
      <w:r w:rsidR="00C549F7" w:rsidRPr="0028514E">
        <w:t xml:space="preserve"> </w:t>
      </w:r>
      <w:r w:rsidRPr="0028514E">
        <w:t>Haittavaikutuksia ei havaittu.</w:t>
      </w:r>
    </w:p>
    <w:p w14:paraId="05A585BB" w14:textId="77777777" w:rsidR="00C549F7" w:rsidRPr="0028514E" w:rsidRDefault="00C549F7" w:rsidP="006E5F9A">
      <w:pPr>
        <w:pStyle w:val="a4"/>
        <w:ind w:left="0"/>
      </w:pPr>
    </w:p>
    <w:p w14:paraId="3A07F834" w14:textId="77777777" w:rsidR="003B7027" w:rsidRPr="0028514E" w:rsidRDefault="00296A74" w:rsidP="006E5F9A">
      <w:pPr>
        <w:pStyle w:val="a4"/>
        <w:ind w:left="0"/>
      </w:pPr>
      <w:r w:rsidRPr="0028514E">
        <w:t>Vakavia haittavaikutuksia ei havaittu, kun terveille koehenkilöille annettiin kerta-annoksena enintään 28 mg/kg, mutta annostusta rajoittavaa neutropeniaa todettiin.</w:t>
      </w:r>
    </w:p>
    <w:p w14:paraId="5EC9AF3E" w14:textId="77777777" w:rsidR="003B7027" w:rsidRPr="0028514E" w:rsidRDefault="003B7027" w:rsidP="006E5F9A">
      <w:pPr>
        <w:pStyle w:val="a4"/>
        <w:ind w:left="0"/>
      </w:pPr>
    </w:p>
    <w:p w14:paraId="7A54BAE1" w14:textId="77777777" w:rsidR="003B7027" w:rsidRPr="0028514E" w:rsidRDefault="003B7027" w:rsidP="006E5F9A">
      <w:pPr>
        <w:pStyle w:val="a4"/>
        <w:ind w:left="0"/>
      </w:pPr>
    </w:p>
    <w:p w14:paraId="1F925662" w14:textId="77777777" w:rsidR="003B7027" w:rsidRPr="0028514E" w:rsidRDefault="00296A74" w:rsidP="00BF3213">
      <w:pPr>
        <w:pStyle w:val="1"/>
      </w:pPr>
      <w:r w:rsidRPr="0028514E">
        <w:t>5.</w:t>
      </w:r>
      <w:r w:rsidRPr="0028514E">
        <w:tab/>
        <w:t>FARMAKOLOGISET OMINAISUUDET</w:t>
      </w:r>
    </w:p>
    <w:p w14:paraId="4C089ED4" w14:textId="77777777" w:rsidR="003B7027" w:rsidRPr="0028514E" w:rsidRDefault="003B7027" w:rsidP="006E5F9A">
      <w:pPr>
        <w:pStyle w:val="a4"/>
        <w:ind w:left="0"/>
        <w:rPr>
          <w:b/>
        </w:rPr>
      </w:pPr>
    </w:p>
    <w:p w14:paraId="01C211D2" w14:textId="77777777" w:rsidR="003B7027" w:rsidRPr="0028514E" w:rsidRDefault="00296A74" w:rsidP="006E5F9A">
      <w:pPr>
        <w:pStyle w:val="2"/>
      </w:pPr>
      <w:r w:rsidRPr="0028514E">
        <w:t>5.1</w:t>
      </w:r>
      <w:r w:rsidRPr="0028514E">
        <w:tab/>
        <w:t>Farmakodynamiikka</w:t>
      </w:r>
    </w:p>
    <w:p w14:paraId="0D3260DC" w14:textId="77777777" w:rsidR="00C549F7" w:rsidRPr="009A3CB5" w:rsidRDefault="00C549F7" w:rsidP="001C1F69">
      <w:pPr>
        <w:rPr>
          <w:lang w:val="fi-FI"/>
        </w:rPr>
      </w:pPr>
    </w:p>
    <w:p w14:paraId="60BA9AE9" w14:textId="77777777" w:rsidR="003B7027" w:rsidRPr="0028514E" w:rsidRDefault="00296A74" w:rsidP="006E5F9A">
      <w:pPr>
        <w:pStyle w:val="a4"/>
        <w:ind w:left="0"/>
      </w:pPr>
      <w:r w:rsidRPr="0028514E">
        <w:t>Farmakoterapeuttinen ryhmä: Immunosuppressiiviset lääkeaineet, interleukiinin estäjät, ATC-koodi: L04AC07.</w:t>
      </w:r>
    </w:p>
    <w:p w14:paraId="71D5B5F2" w14:textId="77777777" w:rsidR="003B7027" w:rsidRDefault="003B7027" w:rsidP="006E5F9A">
      <w:pPr>
        <w:pStyle w:val="a4"/>
        <w:ind w:left="0"/>
      </w:pPr>
    </w:p>
    <w:p w14:paraId="6FDF75FC" w14:textId="01B0D629" w:rsidR="003F37BF" w:rsidRDefault="003F37BF" w:rsidP="006E5F9A">
      <w:pPr>
        <w:pStyle w:val="a4"/>
        <w:ind w:left="0"/>
      </w:pPr>
      <w:r>
        <w:t xml:space="preserve">Avtozma </w:t>
      </w:r>
      <w:r w:rsidRPr="00AF361E">
        <w:t xml:space="preserve">on ns. biosimilaari lääkevalmiste. Yksityiskohtaisempaa tietoa on saatavilla Euroopan </w:t>
      </w:r>
      <w:r w:rsidRPr="00E42192">
        <w:t>lääkeviraston verkkosivulta:</w:t>
      </w:r>
      <w:r w:rsidRPr="00C70B85">
        <w:t xml:space="preserve"> </w:t>
      </w:r>
      <w:hyperlink r:id="rId15" w:history="1">
        <w:r w:rsidRPr="0057197A">
          <w:rPr>
            <w:rStyle w:val="ad"/>
            <w:rFonts w:eastAsia="SimSun"/>
          </w:rPr>
          <w:t>https://www.ema.europa.eu</w:t>
        </w:r>
      </w:hyperlink>
      <w:r w:rsidRPr="00E42192">
        <w:t>.</w:t>
      </w:r>
    </w:p>
    <w:p w14:paraId="01BB7793" w14:textId="77777777" w:rsidR="003F37BF" w:rsidRPr="0028514E" w:rsidRDefault="003F37BF" w:rsidP="006E5F9A">
      <w:pPr>
        <w:pStyle w:val="a4"/>
        <w:ind w:left="0"/>
      </w:pPr>
    </w:p>
    <w:p w14:paraId="2EB2099D" w14:textId="77777777" w:rsidR="003B7027" w:rsidRPr="0028514E" w:rsidRDefault="00296A74" w:rsidP="00DE1F8E">
      <w:pPr>
        <w:pStyle w:val="a4"/>
        <w:keepNext/>
        <w:ind w:left="0"/>
      </w:pPr>
      <w:r w:rsidRPr="0028514E">
        <w:rPr>
          <w:u w:val="single"/>
        </w:rPr>
        <w:t>Vaikutusmekanismi</w:t>
      </w:r>
    </w:p>
    <w:p w14:paraId="7F2799E2" w14:textId="77777777" w:rsidR="003B7027" w:rsidRPr="0028514E" w:rsidRDefault="00296A74" w:rsidP="006E5F9A">
      <w:pPr>
        <w:pStyle w:val="a4"/>
        <w:ind w:left="0"/>
      </w:pPr>
      <w:r w:rsidRPr="0028514E">
        <w:t>Tosilitsumabi sitoutuu spesifisesti sekä liukoisiin että kalvoon sitoutuneisiin IL-6-reseptoreihin (sIL-6 ja mIL-6R). Tosilitsumabin on osoitettu estävän sIL-6R- ja mIL-6R-reseptorien kautta tapahtuvaa signaalinvälitystä. IL-6 on pleiotrooppinen tulehdusta vahvistava sytokiini, jota tuottavat useat eri solutyypit, kuten T- ja B-solut, monosyytit ja fibroblastit. IL-6 osallistuu erilaisiin fysiologisiin tapahtumaketjuihin, joita ovat esimerkiksi T-solun aktivoituminen, immunoglobuliinierityksen käynnistyminen, akuutin vaiheen proteiinisynteesin käynnistyminen maksassa ja hematopoieesin stimuloituminen. IL-6 on yhdistetty erilaisten sairauksien, kuten tulehdussairauksien, osteoporoosin ja kasvainten, patogeneesiin.</w:t>
      </w:r>
    </w:p>
    <w:p w14:paraId="2D4768BE" w14:textId="77777777" w:rsidR="003B7027" w:rsidRPr="0028514E" w:rsidRDefault="003B7027" w:rsidP="006E5F9A">
      <w:pPr>
        <w:pStyle w:val="a4"/>
        <w:ind w:left="0"/>
      </w:pPr>
    </w:p>
    <w:p w14:paraId="2789FB65" w14:textId="77777777" w:rsidR="003B7027" w:rsidRPr="0028514E" w:rsidRDefault="00296A74" w:rsidP="006E5F9A">
      <w:pPr>
        <w:pStyle w:val="a4"/>
        <w:ind w:left="0"/>
      </w:pPr>
      <w:r w:rsidRPr="0028514E">
        <w:rPr>
          <w:u w:val="single"/>
        </w:rPr>
        <w:t>Farmakodynaamiset vaikutukset</w:t>
      </w:r>
    </w:p>
    <w:p w14:paraId="737E1845" w14:textId="090464D8" w:rsidR="003B7027" w:rsidRPr="0028514E" w:rsidRDefault="003F37BF" w:rsidP="006E5F9A">
      <w:pPr>
        <w:pStyle w:val="a4"/>
        <w:ind w:left="0"/>
      </w:pPr>
      <w:r>
        <w:t>Tosilitsumabilla</w:t>
      </w:r>
      <w:r w:rsidRPr="0028514E">
        <w:t xml:space="preserve"> </w:t>
      </w:r>
      <w:r w:rsidR="00296A74" w:rsidRPr="0028514E">
        <w:t xml:space="preserve">tehdyissä kliinisissä tutkimuksissa havaittiin CRP:n (C-reaktiivisen proteiinin), laskon (La), seerumin amyloidi A:n (SAA) ja fibrinogeenin nopea lasku. Akuutin vaiheen proteiineihin kohdistuvan vaikutuksen mukaisesti </w:t>
      </w:r>
      <w:r>
        <w:t>tosilitsumabi</w:t>
      </w:r>
      <w:r w:rsidR="00296A74" w:rsidRPr="0028514E">
        <w:t xml:space="preserve">hoitoon liittyi myös trombosyyttiarvon lasku normaalialueen sisällä. Hemoglobiiniarvon nousua havaittiin, sillä </w:t>
      </w:r>
      <w:r>
        <w:t xml:space="preserve">tosilitsumabi </w:t>
      </w:r>
      <w:r w:rsidR="00296A74" w:rsidRPr="0028514E">
        <w:t xml:space="preserve">heikentää IL-6:n vaikutuksia hepsidiinin tuotantoon, mikä lisää raudan saatavuutta. </w:t>
      </w:r>
      <w:r>
        <w:t>Tosilitsumabi</w:t>
      </w:r>
      <w:r w:rsidR="00296A74" w:rsidRPr="0028514E">
        <w:t>hoitoa saaneilla potilailla CRP-arvon lasku normaalialueelle havaittiin jo toisella hoitoviikolla, ja lasku säilyi koko hoidon ajan.</w:t>
      </w:r>
    </w:p>
    <w:p w14:paraId="47761351" w14:textId="77777777" w:rsidR="003B7027" w:rsidRPr="0028514E" w:rsidRDefault="003B7027" w:rsidP="006E5F9A">
      <w:pPr>
        <w:pStyle w:val="a4"/>
        <w:ind w:left="0"/>
      </w:pPr>
    </w:p>
    <w:p w14:paraId="17CFD4D5" w14:textId="19376845" w:rsidR="003B7027" w:rsidRPr="0028514E" w:rsidRDefault="003F37BF" w:rsidP="006E5F9A">
      <w:pPr>
        <w:pStyle w:val="a4"/>
        <w:ind w:left="0"/>
      </w:pPr>
      <w:r>
        <w:t>Tosilitsumabilla</w:t>
      </w:r>
      <w:r w:rsidRPr="0028514E">
        <w:t xml:space="preserve"> </w:t>
      </w:r>
      <w:r w:rsidR="00296A74" w:rsidRPr="0028514E">
        <w:t xml:space="preserve">tehdyssä kliinisessä jättisoluarteriittitutkimuksessa (WA28119) havaittiin samankaltainen CRP:n ja laskon nopea lasku sekä keskimääräisen hemoglobiinipitoisuuden lievää suurenemista. Kun </w:t>
      </w:r>
      <w:r>
        <w:t xml:space="preserve">tosilitsumabia </w:t>
      </w:r>
      <w:r w:rsidR="00296A74" w:rsidRPr="0028514E">
        <w:t>annettiin annoksilla 2–28 mg/kg laskimoon tai 81–162 mg ihon alle terveille vapaaehtoisille koehenkilöille, heidän neutrofiiliarvonsa laskivat alimmalle tasolleen 2–5 päivän kuluttua annostelusta. Sen jälkeen neutrofiiliarvot palautuivat hoitoa edeltävälle tasolle annosriippuvaisesti.</w:t>
      </w:r>
    </w:p>
    <w:p w14:paraId="1B24B105" w14:textId="77777777" w:rsidR="00C549F7" w:rsidRPr="0028514E" w:rsidRDefault="00C549F7" w:rsidP="006E5F9A">
      <w:pPr>
        <w:pStyle w:val="a4"/>
        <w:ind w:left="0"/>
      </w:pPr>
    </w:p>
    <w:p w14:paraId="69A7C4C9" w14:textId="7DA7E14D" w:rsidR="003B7027" w:rsidRPr="0028514E" w:rsidRDefault="00296A74" w:rsidP="006E5F9A">
      <w:pPr>
        <w:pStyle w:val="a4"/>
        <w:ind w:left="0"/>
      </w:pPr>
      <w:r w:rsidRPr="0028514E">
        <w:t xml:space="preserve">Potilailla havaittiin neutrofiiliarvojen laskevan vastaavalla tavalla kuin terveillä vapaaehtoisilla </w:t>
      </w:r>
      <w:r w:rsidR="003F37BF">
        <w:t xml:space="preserve">tosilitsumabin </w:t>
      </w:r>
      <w:r w:rsidRPr="0028514E">
        <w:t>annon jälkeen (ks. kohta 4.8).</w:t>
      </w:r>
    </w:p>
    <w:p w14:paraId="64354728" w14:textId="77777777" w:rsidR="00C549F7" w:rsidRPr="0028514E" w:rsidRDefault="00C549F7" w:rsidP="006E5F9A">
      <w:pPr>
        <w:pStyle w:val="a4"/>
        <w:ind w:left="0"/>
      </w:pPr>
    </w:p>
    <w:p w14:paraId="6AF7B833" w14:textId="77777777" w:rsidR="00C549F7" w:rsidRPr="00CA43F5" w:rsidRDefault="00296A74" w:rsidP="006E5F9A">
      <w:pPr>
        <w:rPr>
          <w:lang w:val="fi-FI"/>
        </w:rPr>
      </w:pPr>
      <w:r w:rsidRPr="00CA43F5">
        <w:rPr>
          <w:u w:val="single"/>
          <w:lang w:val="fi-FI"/>
        </w:rPr>
        <w:t>Ihonalainen annostelu</w:t>
      </w:r>
    </w:p>
    <w:p w14:paraId="3C62613B" w14:textId="77777777" w:rsidR="00C549F7" w:rsidRPr="00CA43F5" w:rsidRDefault="00296A74" w:rsidP="006E5F9A">
      <w:pPr>
        <w:rPr>
          <w:b/>
          <w:lang w:val="fi-FI"/>
        </w:rPr>
      </w:pPr>
      <w:r w:rsidRPr="00CA43F5">
        <w:rPr>
          <w:b/>
          <w:u w:val="single"/>
          <w:lang w:val="fi-FI"/>
        </w:rPr>
        <w:t>Nivelreuma</w:t>
      </w:r>
    </w:p>
    <w:p w14:paraId="2538F312" w14:textId="77777777" w:rsidR="003B7027" w:rsidRPr="00CA43F5" w:rsidRDefault="00296A74" w:rsidP="006E5F9A">
      <w:pPr>
        <w:rPr>
          <w:lang w:val="fi-FI"/>
        </w:rPr>
      </w:pPr>
      <w:r w:rsidRPr="00CA43F5">
        <w:rPr>
          <w:u w:val="single"/>
          <w:lang w:val="fi-FI"/>
        </w:rPr>
        <w:t>Kliininen teho</w:t>
      </w:r>
    </w:p>
    <w:p w14:paraId="14D1BCD4" w14:textId="2C7B36B1" w:rsidR="003B7027" w:rsidRPr="0028514E" w:rsidRDefault="00296A74" w:rsidP="006E5F9A">
      <w:pPr>
        <w:pStyle w:val="a4"/>
        <w:ind w:left="0"/>
      </w:pPr>
      <w:r w:rsidRPr="0028514E">
        <w:t xml:space="preserve">Ihon alle annosteltavan </w:t>
      </w:r>
      <w:r w:rsidR="003F37BF">
        <w:t xml:space="preserve">tosilitsumabin </w:t>
      </w:r>
      <w:r w:rsidRPr="0028514E">
        <w:t>tehoa nivelreuman oireiden lieventämisessä ja radiologisen vasteen saamisessa on tutkittu kahdessa satunnaistetussa kaksoissokkoutetussa kontrolloidussa monikeskustutkimuksessa. Tutkimuksessa I (SC-I) potilaiden piti olla iältään &gt; 18-vuotiaita ja sairastaa keskivaikeaa tai vaikeaa aktiivista nivelreumaa, joka oli diagnosoitu ACR-kriteerien mukaan. Lisäksi heillä piti olla lähtötilanteessa vähintään 4 arkaa ja 4 turvonnutta niveltä. Kaikki potilaat saivat peruslääkityksenä yhtä tai useampaa tautiprosessia hidastavaa reumalääkettä (DMARD).</w:t>
      </w:r>
    </w:p>
    <w:p w14:paraId="4D45C8D6" w14:textId="77777777" w:rsidR="003B7027" w:rsidRPr="0028514E" w:rsidRDefault="00296A74" w:rsidP="006E5F9A">
      <w:pPr>
        <w:pStyle w:val="a4"/>
        <w:ind w:left="0"/>
      </w:pPr>
      <w:r w:rsidRPr="0028514E">
        <w:t>Tutkimuksessa II (SC-II) potilaiden piti olla iältään &gt; 18-vuotiaita ja sairastaa keskivaikeaa tai vaikeaa aktiivista nivelreumaa, joka oli diagnosoitu ACR-kriteerien mukaan. Lisäksi heillä piti olla lähtötilanteessa vähintään 8 arkaa ja 6 turvonnutta niveltä.</w:t>
      </w:r>
    </w:p>
    <w:p w14:paraId="09369FF3" w14:textId="77777777" w:rsidR="00C549F7" w:rsidRPr="0028514E" w:rsidRDefault="00C549F7" w:rsidP="006E5F9A">
      <w:pPr>
        <w:pStyle w:val="a4"/>
        <w:ind w:left="0"/>
      </w:pPr>
    </w:p>
    <w:p w14:paraId="0FA2D777" w14:textId="77777777" w:rsidR="003B7027" w:rsidRPr="0028514E" w:rsidRDefault="00296A74" w:rsidP="006E5F9A">
      <w:pPr>
        <w:pStyle w:val="a4"/>
        <w:ind w:left="0"/>
      </w:pPr>
      <w:r w:rsidRPr="0028514E">
        <w:t>Potilaan altistuminen lääkkeelle muuttuu vaihdettaessa laskimonsisäisestä annostelusta (8 mg/kg joka neljäs viikko) ihonalaiseen annosteluun (162 mg ihon alle kerran viikossa). Altistumisen suuruus vaihtelee potilaan painon mukaan (lisääntyy keveämmillä potilailla ja vähenee painavammilla potilailla), mutta kliininen vaste on yhdenmukainen laskimonsisäistä hoitoa saaneiden potilaiden kanssa.</w:t>
      </w:r>
    </w:p>
    <w:p w14:paraId="7530ADD2" w14:textId="77777777" w:rsidR="00C549F7" w:rsidRPr="0028514E" w:rsidRDefault="00C549F7" w:rsidP="006E5F9A">
      <w:pPr>
        <w:pStyle w:val="a4"/>
        <w:ind w:left="0"/>
      </w:pPr>
    </w:p>
    <w:p w14:paraId="678936F7" w14:textId="77777777" w:rsidR="003B7027" w:rsidRPr="0028514E" w:rsidRDefault="00296A74" w:rsidP="006E5F9A">
      <w:pPr>
        <w:pStyle w:val="a4"/>
        <w:ind w:left="0"/>
      </w:pPr>
      <w:r w:rsidRPr="0028514E">
        <w:rPr>
          <w:u w:val="single"/>
        </w:rPr>
        <w:t>Kliininen vaste</w:t>
      </w:r>
    </w:p>
    <w:p w14:paraId="160E8E4E" w14:textId="7D3E8821" w:rsidR="003B7027" w:rsidRPr="0028514E" w:rsidRDefault="00296A74" w:rsidP="006E5F9A">
      <w:pPr>
        <w:pStyle w:val="a4"/>
        <w:ind w:left="0"/>
      </w:pPr>
      <w:r w:rsidRPr="0028514E">
        <w:t xml:space="preserve">Tutkimuksessa SC-I oli mukana keskivaikeaa tai vaikeaa aktiivista nivelreumaa sairastavia potilaita, joiden kliininen hoitovaste senhetkiseen hoitoon, johon kuului yksi tai useampi DMARD, oli riittämätön ja joista noin 20 % ei ollut aiemmin saanut riittävää vastetta yhdellä tai useammalla TNF:n estäjällä. Tutkimuksessa SC-I satunnaistettiin 1262 potilasta suhteessa 1:1 saamaan </w:t>
      </w:r>
      <w:r w:rsidR="003F37BF">
        <w:t xml:space="preserve">tosilitsumabia </w:t>
      </w:r>
      <w:r w:rsidRPr="0028514E">
        <w:t xml:space="preserve">ihon alle annoksena 162 mg viikoittain tai </w:t>
      </w:r>
      <w:r w:rsidR="003F37BF">
        <w:t xml:space="preserve">tosilitsumabia </w:t>
      </w:r>
      <w:r w:rsidRPr="0028514E">
        <w:t>laskimoon annoksena 8 mg/kg neljän viikon välein yhdistelmänä yhden tai useamman ei-biologisen DMARD-lääkkeen kanssa. Tutkimuksen ensisijainen päätetapahtuma oli ero niiden potilaiden osuudessa, jotka saivat ACR20-vasteen viikolla 24.</w:t>
      </w:r>
      <w:r w:rsidR="00C549F7" w:rsidRPr="0028514E">
        <w:t xml:space="preserve"> </w:t>
      </w:r>
      <w:r w:rsidRPr="0028514E">
        <w:t>Tutkimuksen SC-I tulokset esitetään taulukossa 2.</w:t>
      </w:r>
    </w:p>
    <w:p w14:paraId="47760161" w14:textId="77777777" w:rsidR="00C549F7" w:rsidRPr="0028514E" w:rsidRDefault="00C549F7" w:rsidP="006E5F9A">
      <w:pPr>
        <w:pStyle w:val="a4"/>
        <w:ind w:left="0"/>
      </w:pPr>
    </w:p>
    <w:p w14:paraId="151FC52D" w14:textId="77777777" w:rsidR="003B7027" w:rsidRPr="00CA43F5" w:rsidRDefault="00296A74" w:rsidP="002A56B1">
      <w:pPr>
        <w:pStyle w:val="Tabletitle"/>
        <w:keepNext/>
        <w:rPr>
          <w:lang w:val="fi-FI"/>
        </w:rPr>
      </w:pPr>
      <w:r w:rsidRPr="00CA43F5">
        <w:rPr>
          <w:lang w:val="fi-FI"/>
        </w:rPr>
        <w:t>Taulukko 2.</w:t>
      </w:r>
      <w:r w:rsidR="00C549F7" w:rsidRPr="00CA43F5">
        <w:rPr>
          <w:lang w:val="fi-FI"/>
        </w:rPr>
        <w:tab/>
      </w:r>
      <w:r w:rsidRPr="00CA43F5">
        <w:rPr>
          <w:lang w:val="fi-FI"/>
        </w:rPr>
        <w:t>ACR-vasteosuudet tutkimuksessa SC-I (% potilaista) viikolla 24</w:t>
      </w:r>
    </w:p>
    <w:p w14:paraId="7EDC0824" w14:textId="77777777" w:rsidR="00C549F7" w:rsidRPr="00CA43F5" w:rsidRDefault="00C549F7" w:rsidP="002A56B1">
      <w:pPr>
        <w:keepNext/>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719"/>
        <w:gridCol w:w="2801"/>
        <w:gridCol w:w="3402"/>
      </w:tblGrid>
      <w:tr w:rsidR="003B7027" w:rsidRPr="00777B93" w14:paraId="54C43FFD" w14:textId="77777777" w:rsidTr="00DE1F8E">
        <w:trPr>
          <w:trHeight w:val="20"/>
        </w:trPr>
        <w:tc>
          <w:tcPr>
            <w:tcW w:w="2719" w:type="dxa"/>
          </w:tcPr>
          <w:p w14:paraId="5A314124" w14:textId="77777777" w:rsidR="003B7027" w:rsidRPr="0028514E" w:rsidRDefault="003B7027" w:rsidP="006E5F9A">
            <w:pPr>
              <w:pStyle w:val="TableParagraph"/>
              <w:keepNext/>
              <w:keepLines/>
            </w:pPr>
          </w:p>
        </w:tc>
        <w:tc>
          <w:tcPr>
            <w:tcW w:w="6203" w:type="dxa"/>
            <w:gridSpan w:val="2"/>
          </w:tcPr>
          <w:p w14:paraId="2E9CE9DB" w14:textId="77777777" w:rsidR="003B7027" w:rsidRPr="0028514E" w:rsidRDefault="00296A74" w:rsidP="006E5F9A">
            <w:pPr>
              <w:pStyle w:val="TableParagraph"/>
              <w:keepNext/>
              <w:keepLines/>
              <w:jc w:val="center"/>
            </w:pPr>
            <w:r w:rsidRPr="0028514E">
              <w:t>SC-I</w:t>
            </w:r>
            <w:r w:rsidRPr="0028514E">
              <w:rPr>
                <w:vertAlign w:val="superscript"/>
              </w:rPr>
              <w:t>a</w:t>
            </w:r>
          </w:p>
        </w:tc>
      </w:tr>
      <w:tr w:rsidR="003B7027" w:rsidRPr="00777B93" w14:paraId="38BDA1D1" w14:textId="77777777" w:rsidTr="00DE1F8E">
        <w:trPr>
          <w:trHeight w:val="20"/>
        </w:trPr>
        <w:tc>
          <w:tcPr>
            <w:tcW w:w="2719" w:type="dxa"/>
          </w:tcPr>
          <w:p w14:paraId="07D7A70D" w14:textId="77777777" w:rsidR="003B7027" w:rsidRPr="0028514E" w:rsidRDefault="003B7027" w:rsidP="006E5F9A">
            <w:pPr>
              <w:pStyle w:val="TableParagraph"/>
            </w:pPr>
          </w:p>
        </w:tc>
        <w:tc>
          <w:tcPr>
            <w:tcW w:w="2801" w:type="dxa"/>
          </w:tcPr>
          <w:p w14:paraId="773064E7" w14:textId="77777777" w:rsidR="003B7027" w:rsidRPr="0028514E" w:rsidRDefault="00296A74" w:rsidP="006E5F9A">
            <w:pPr>
              <w:pStyle w:val="TableParagraph"/>
              <w:jc w:val="center"/>
            </w:pPr>
            <w:r w:rsidRPr="0028514E">
              <w:t>TCZ ihon alle viikoittain annoksena 162 mg</w:t>
            </w:r>
            <w:r w:rsidR="00201DF4" w:rsidRPr="0028514E">
              <w:t xml:space="preserve"> </w:t>
            </w:r>
            <w:r w:rsidRPr="0028514E">
              <w:t>+ DMARD</w:t>
            </w:r>
          </w:p>
          <w:p w14:paraId="169BE130" w14:textId="77777777" w:rsidR="003B7027" w:rsidRPr="0028514E" w:rsidRDefault="00296A74" w:rsidP="006E5F9A">
            <w:pPr>
              <w:pStyle w:val="TableParagraph"/>
              <w:jc w:val="center"/>
            </w:pPr>
            <w:r w:rsidRPr="0028514E">
              <w:t>N = 558</w:t>
            </w:r>
          </w:p>
        </w:tc>
        <w:tc>
          <w:tcPr>
            <w:tcW w:w="3402" w:type="dxa"/>
          </w:tcPr>
          <w:p w14:paraId="751ABE3C" w14:textId="77777777" w:rsidR="003B7027" w:rsidRPr="0028514E" w:rsidRDefault="00296A74" w:rsidP="006E5F9A">
            <w:pPr>
              <w:pStyle w:val="TableParagraph"/>
              <w:jc w:val="center"/>
            </w:pPr>
            <w:r w:rsidRPr="0028514E">
              <w:t>TCZ laskimoon annoksena 8 mg/kg</w:t>
            </w:r>
            <w:r w:rsidR="00C549F7" w:rsidRPr="0028514E">
              <w:t xml:space="preserve"> </w:t>
            </w:r>
            <w:r w:rsidRPr="0028514E">
              <w:t>+ DMARD</w:t>
            </w:r>
          </w:p>
          <w:p w14:paraId="24D5CA46" w14:textId="77777777" w:rsidR="003B7027" w:rsidRPr="0028514E" w:rsidRDefault="00296A74" w:rsidP="006E5F9A">
            <w:pPr>
              <w:pStyle w:val="TableParagraph"/>
              <w:jc w:val="center"/>
            </w:pPr>
            <w:r w:rsidRPr="0028514E">
              <w:t>N=537</w:t>
            </w:r>
          </w:p>
        </w:tc>
      </w:tr>
      <w:tr w:rsidR="003B7027" w:rsidRPr="00777B93" w14:paraId="713C0088" w14:textId="77777777" w:rsidTr="00DE1F8E">
        <w:trPr>
          <w:trHeight w:val="20"/>
        </w:trPr>
        <w:tc>
          <w:tcPr>
            <w:tcW w:w="2719" w:type="dxa"/>
          </w:tcPr>
          <w:p w14:paraId="5DF5A637" w14:textId="77777777" w:rsidR="003B7027" w:rsidRPr="0028514E" w:rsidRDefault="00296A74" w:rsidP="006E5F9A">
            <w:pPr>
              <w:pStyle w:val="TableParagraph"/>
              <w:jc w:val="right"/>
            </w:pPr>
            <w:r w:rsidRPr="0028514E">
              <w:t>ACR20 viikolla 24</w:t>
            </w:r>
          </w:p>
        </w:tc>
        <w:tc>
          <w:tcPr>
            <w:tcW w:w="2801" w:type="dxa"/>
          </w:tcPr>
          <w:p w14:paraId="33F67D46" w14:textId="77777777" w:rsidR="003B7027" w:rsidRPr="0028514E" w:rsidRDefault="00296A74" w:rsidP="006E5F9A">
            <w:pPr>
              <w:pStyle w:val="TableParagraph"/>
              <w:jc w:val="center"/>
            </w:pPr>
            <w:r w:rsidRPr="0028514E">
              <w:t>69,4 %</w:t>
            </w:r>
          </w:p>
        </w:tc>
        <w:tc>
          <w:tcPr>
            <w:tcW w:w="3402" w:type="dxa"/>
          </w:tcPr>
          <w:p w14:paraId="1230B27C" w14:textId="77777777" w:rsidR="003B7027" w:rsidRPr="0028514E" w:rsidRDefault="00296A74" w:rsidP="006E5F9A">
            <w:pPr>
              <w:pStyle w:val="TableParagraph"/>
              <w:jc w:val="center"/>
            </w:pPr>
            <w:r w:rsidRPr="0028514E">
              <w:t>73,4 %</w:t>
            </w:r>
          </w:p>
        </w:tc>
      </w:tr>
      <w:tr w:rsidR="003B7027" w:rsidRPr="00777B93" w14:paraId="77051E01" w14:textId="77777777" w:rsidTr="00DE1F8E">
        <w:trPr>
          <w:trHeight w:val="20"/>
        </w:trPr>
        <w:tc>
          <w:tcPr>
            <w:tcW w:w="2719" w:type="dxa"/>
          </w:tcPr>
          <w:p w14:paraId="25ED582B" w14:textId="77777777" w:rsidR="003B7027" w:rsidRPr="0028514E" w:rsidRDefault="00296A74" w:rsidP="006E5F9A">
            <w:pPr>
              <w:pStyle w:val="TableParagraph"/>
              <w:jc w:val="right"/>
            </w:pPr>
            <w:r w:rsidRPr="0028514E">
              <w:t>Painotettu ero (95 % CI)</w:t>
            </w:r>
          </w:p>
        </w:tc>
        <w:tc>
          <w:tcPr>
            <w:tcW w:w="6203" w:type="dxa"/>
            <w:gridSpan w:val="2"/>
          </w:tcPr>
          <w:p w14:paraId="1D5C3FB7" w14:textId="77777777" w:rsidR="003B7027" w:rsidRPr="0028514E" w:rsidRDefault="00296A74" w:rsidP="006E5F9A">
            <w:pPr>
              <w:pStyle w:val="TableParagraph"/>
              <w:jc w:val="center"/>
            </w:pPr>
            <w:r w:rsidRPr="0028514E">
              <w:t>-4,0 (-9,2, 1,2)</w:t>
            </w:r>
          </w:p>
        </w:tc>
      </w:tr>
      <w:tr w:rsidR="003B7027" w:rsidRPr="00777B93" w14:paraId="67D269F7" w14:textId="77777777" w:rsidTr="00DE1F8E">
        <w:trPr>
          <w:trHeight w:val="20"/>
        </w:trPr>
        <w:tc>
          <w:tcPr>
            <w:tcW w:w="2719" w:type="dxa"/>
          </w:tcPr>
          <w:p w14:paraId="1A5CF3FE" w14:textId="77777777" w:rsidR="003B7027" w:rsidRPr="0028514E" w:rsidRDefault="00296A74" w:rsidP="006E5F9A">
            <w:pPr>
              <w:pStyle w:val="TableParagraph"/>
              <w:jc w:val="right"/>
            </w:pPr>
            <w:r w:rsidRPr="0028514E">
              <w:t>ACR50 viikolla 24</w:t>
            </w:r>
          </w:p>
        </w:tc>
        <w:tc>
          <w:tcPr>
            <w:tcW w:w="2801" w:type="dxa"/>
          </w:tcPr>
          <w:p w14:paraId="7B0912D7" w14:textId="77777777" w:rsidR="003B7027" w:rsidRPr="0028514E" w:rsidRDefault="00296A74" w:rsidP="006E5F9A">
            <w:pPr>
              <w:pStyle w:val="TableParagraph"/>
              <w:jc w:val="center"/>
            </w:pPr>
            <w:r w:rsidRPr="0028514E">
              <w:t>47,0 %</w:t>
            </w:r>
          </w:p>
        </w:tc>
        <w:tc>
          <w:tcPr>
            <w:tcW w:w="3402" w:type="dxa"/>
          </w:tcPr>
          <w:p w14:paraId="2624AB75" w14:textId="77777777" w:rsidR="003B7027" w:rsidRPr="0028514E" w:rsidRDefault="00296A74" w:rsidP="006E5F9A">
            <w:pPr>
              <w:pStyle w:val="TableParagraph"/>
              <w:jc w:val="center"/>
            </w:pPr>
            <w:r w:rsidRPr="0028514E">
              <w:t>48,6 %</w:t>
            </w:r>
          </w:p>
        </w:tc>
      </w:tr>
      <w:tr w:rsidR="003B7027" w:rsidRPr="00777B93" w14:paraId="08DCC30F" w14:textId="77777777" w:rsidTr="00DE1F8E">
        <w:trPr>
          <w:trHeight w:val="20"/>
        </w:trPr>
        <w:tc>
          <w:tcPr>
            <w:tcW w:w="2719" w:type="dxa"/>
          </w:tcPr>
          <w:p w14:paraId="0E3806FE" w14:textId="77777777" w:rsidR="003B7027" w:rsidRPr="0028514E" w:rsidRDefault="00296A74" w:rsidP="006E5F9A">
            <w:pPr>
              <w:pStyle w:val="TableParagraph"/>
              <w:jc w:val="right"/>
            </w:pPr>
            <w:r w:rsidRPr="0028514E">
              <w:t>Painotettu ero (95 % CI)</w:t>
            </w:r>
          </w:p>
        </w:tc>
        <w:tc>
          <w:tcPr>
            <w:tcW w:w="6203" w:type="dxa"/>
            <w:gridSpan w:val="2"/>
          </w:tcPr>
          <w:p w14:paraId="16710515" w14:textId="77777777" w:rsidR="003B7027" w:rsidRPr="0028514E" w:rsidRDefault="00296A74" w:rsidP="006E5F9A">
            <w:pPr>
              <w:pStyle w:val="TableParagraph"/>
              <w:jc w:val="center"/>
            </w:pPr>
            <w:r w:rsidRPr="0028514E">
              <w:t>-1,8 (-7,5, 4,0)</w:t>
            </w:r>
          </w:p>
        </w:tc>
      </w:tr>
      <w:tr w:rsidR="003B7027" w:rsidRPr="00777B93" w14:paraId="1D04319E" w14:textId="77777777" w:rsidTr="00DE1F8E">
        <w:trPr>
          <w:trHeight w:val="20"/>
        </w:trPr>
        <w:tc>
          <w:tcPr>
            <w:tcW w:w="2719" w:type="dxa"/>
          </w:tcPr>
          <w:p w14:paraId="1833D46B" w14:textId="77777777" w:rsidR="003B7027" w:rsidRPr="0028514E" w:rsidRDefault="00296A74" w:rsidP="006E5F9A">
            <w:pPr>
              <w:pStyle w:val="TableParagraph"/>
              <w:jc w:val="right"/>
            </w:pPr>
            <w:r w:rsidRPr="0028514E">
              <w:t>ACR70 viikolla 24</w:t>
            </w:r>
          </w:p>
        </w:tc>
        <w:tc>
          <w:tcPr>
            <w:tcW w:w="2801" w:type="dxa"/>
          </w:tcPr>
          <w:p w14:paraId="1768C8AB" w14:textId="77777777" w:rsidR="003B7027" w:rsidRPr="0028514E" w:rsidRDefault="00296A74" w:rsidP="006E5F9A">
            <w:pPr>
              <w:pStyle w:val="TableParagraph"/>
              <w:jc w:val="center"/>
            </w:pPr>
            <w:r w:rsidRPr="0028514E">
              <w:t>24,0 %</w:t>
            </w:r>
          </w:p>
        </w:tc>
        <w:tc>
          <w:tcPr>
            <w:tcW w:w="3402" w:type="dxa"/>
          </w:tcPr>
          <w:p w14:paraId="29E6F9A6" w14:textId="77777777" w:rsidR="003B7027" w:rsidRPr="0028514E" w:rsidRDefault="00296A74" w:rsidP="006E5F9A">
            <w:pPr>
              <w:pStyle w:val="TableParagraph"/>
              <w:jc w:val="center"/>
            </w:pPr>
            <w:r w:rsidRPr="0028514E">
              <w:t>27,9 %</w:t>
            </w:r>
          </w:p>
        </w:tc>
      </w:tr>
      <w:tr w:rsidR="003B7027" w:rsidRPr="00777B93" w14:paraId="306C6604" w14:textId="77777777" w:rsidTr="00DE1F8E">
        <w:trPr>
          <w:trHeight w:val="20"/>
        </w:trPr>
        <w:tc>
          <w:tcPr>
            <w:tcW w:w="2719" w:type="dxa"/>
          </w:tcPr>
          <w:p w14:paraId="44F04BD8" w14:textId="77777777" w:rsidR="003B7027" w:rsidRPr="0028514E" w:rsidRDefault="00296A74" w:rsidP="006E5F9A">
            <w:pPr>
              <w:pStyle w:val="TableParagraph"/>
              <w:jc w:val="right"/>
            </w:pPr>
            <w:r w:rsidRPr="0028514E">
              <w:t>Painotettu ero (95 % CI)</w:t>
            </w:r>
          </w:p>
        </w:tc>
        <w:tc>
          <w:tcPr>
            <w:tcW w:w="6203" w:type="dxa"/>
            <w:gridSpan w:val="2"/>
          </w:tcPr>
          <w:p w14:paraId="519A8851" w14:textId="77777777" w:rsidR="003B7027" w:rsidRPr="0028514E" w:rsidRDefault="00296A74" w:rsidP="006E5F9A">
            <w:pPr>
              <w:pStyle w:val="TableParagraph"/>
              <w:jc w:val="center"/>
            </w:pPr>
            <w:r w:rsidRPr="0028514E">
              <w:t>-3,8 (-9,0, 1,3)</w:t>
            </w:r>
          </w:p>
        </w:tc>
      </w:tr>
    </w:tbl>
    <w:p w14:paraId="49927215" w14:textId="77777777" w:rsidR="003B7027" w:rsidRPr="0028514E" w:rsidRDefault="00296A74" w:rsidP="006E5F9A">
      <w:pPr>
        <w:rPr>
          <w:sz w:val="18"/>
        </w:rPr>
      </w:pPr>
      <w:r w:rsidRPr="0028514E">
        <w:rPr>
          <w:sz w:val="18"/>
        </w:rPr>
        <w:t xml:space="preserve">TCZ = </w:t>
      </w:r>
      <w:proofErr w:type="spellStart"/>
      <w:r w:rsidRPr="0028514E">
        <w:rPr>
          <w:sz w:val="18"/>
        </w:rPr>
        <w:t>tosilitsumabi</w:t>
      </w:r>
      <w:proofErr w:type="spellEnd"/>
    </w:p>
    <w:p w14:paraId="122F662D" w14:textId="77777777" w:rsidR="003B7027" w:rsidRPr="0028514E" w:rsidRDefault="00296A74" w:rsidP="006E5F9A">
      <w:pPr>
        <w:rPr>
          <w:sz w:val="18"/>
        </w:rPr>
      </w:pPr>
      <w:r w:rsidRPr="0028514E">
        <w:rPr>
          <w:sz w:val="18"/>
        </w:rPr>
        <w:t>a = Per Protocol -</w:t>
      </w:r>
      <w:proofErr w:type="spellStart"/>
      <w:r w:rsidRPr="0028514E">
        <w:rPr>
          <w:sz w:val="18"/>
        </w:rPr>
        <w:t>potilasjoukko</w:t>
      </w:r>
      <w:proofErr w:type="spellEnd"/>
    </w:p>
    <w:p w14:paraId="3F6F77F5" w14:textId="77777777" w:rsidR="003B7027" w:rsidRPr="0028514E" w:rsidRDefault="003B7027" w:rsidP="006E5F9A">
      <w:pPr>
        <w:pStyle w:val="a4"/>
        <w:ind w:left="0"/>
        <w:rPr>
          <w:sz w:val="18"/>
        </w:rPr>
      </w:pPr>
    </w:p>
    <w:p w14:paraId="3259C0E8" w14:textId="77777777" w:rsidR="003B7027" w:rsidRPr="0028514E" w:rsidRDefault="00296A74" w:rsidP="006E5F9A">
      <w:pPr>
        <w:pStyle w:val="a4"/>
        <w:ind w:left="0"/>
      </w:pPr>
      <w:r w:rsidRPr="0028514E">
        <w:t>Tutkimuksessa SC-I mukana olleiden potilaiden DAS28-indeksin keskiarvo tutkimuksen alkaessa oli 6,6 tosilitsumabia ihon alle saaneiden ryhmässä ja 6,7 tosilitsumabia laskimoon saaneiden ryhmässä. Viikolla 24 havaittiin kummassakin hoitohaarassa DAS28-indeksin merkitsevä 3,5 yksikön lasku lähtötilanteesta (keskimääräinen paraneminen), ja yhtäläinen osuus potilaista tosilitsumabia ihon alle (38,4 %) ja laskimoon (36,9 %) saaneiden ryhmässä oli saavuttanut DAS28-indeksillä osoitetun kliinisen remission (DAS28 &lt; 2,6).</w:t>
      </w:r>
    </w:p>
    <w:p w14:paraId="384A4206" w14:textId="77777777" w:rsidR="00C549F7" w:rsidRPr="0028514E" w:rsidRDefault="00C549F7" w:rsidP="006E5F9A">
      <w:pPr>
        <w:pStyle w:val="a4"/>
        <w:ind w:left="0"/>
      </w:pPr>
    </w:p>
    <w:p w14:paraId="13D3AD6F" w14:textId="77777777" w:rsidR="003B7027" w:rsidRPr="00CA43F5" w:rsidRDefault="00296A74" w:rsidP="006E5F9A">
      <w:pPr>
        <w:rPr>
          <w:i/>
          <w:lang w:val="fi-FI"/>
        </w:rPr>
      </w:pPr>
      <w:r w:rsidRPr="00CA43F5">
        <w:rPr>
          <w:i/>
          <w:lang w:val="fi-FI"/>
        </w:rPr>
        <w:t>Radiologinen hoitovaste</w:t>
      </w:r>
    </w:p>
    <w:p w14:paraId="3AB13937" w14:textId="0FCFC08A" w:rsidR="003B7027" w:rsidRPr="0028514E" w:rsidRDefault="00296A74" w:rsidP="006E5F9A">
      <w:pPr>
        <w:pStyle w:val="a4"/>
        <w:ind w:left="0"/>
      </w:pPr>
      <w:r w:rsidRPr="0028514E">
        <w:t xml:space="preserve">Radiologista hoitovastetta ihon alle annettuun </w:t>
      </w:r>
      <w:r w:rsidR="003F37BF">
        <w:t xml:space="preserve">tosilitsumabiin </w:t>
      </w:r>
      <w:r w:rsidRPr="0028514E">
        <w:t>arvioitiin kaksoissokkoutetussa, kontrolloidussa, monikeskustutkimuksessa aktiivista nivelreumaa sairastavilla potilailla (SC-II). Tutkimuksessa SC-II arvioitiin keskivaikeaa tai vaikeaa aktiivista nivelreumaa sairastavia potilaita, joiden kliininen vaste senhetkiseen reumahoitoon, johon kuului yksi tai useampi DMARD, oli riittämätön ja joista noin 20 % ei ollut saanut riittävää vastetta yhdellä tai useammalla TNF-estäjällä. Potilaiden piti olla iältään &gt; 18-vuotiaita ja sairastaa ACR-kriteerien mukaan diagnosoitua aktiivista nivelreumaa. Lisäksi heillä piti olla lähtötilanteessa vähintään 8 arkaa ja 6 turvonnutta niveltä.</w:t>
      </w:r>
      <w:r w:rsidR="00C549F7" w:rsidRPr="0028514E">
        <w:t xml:space="preserve"> </w:t>
      </w:r>
      <w:r w:rsidRPr="0028514E">
        <w:t xml:space="preserve">Tutkimuksessa SC-II satunnaistettiin 656 potilasta suhteessa 2:1 saamaan joko </w:t>
      </w:r>
      <w:r w:rsidR="003F37BF">
        <w:t xml:space="preserve">tosilitsumabia </w:t>
      </w:r>
      <w:r w:rsidRPr="0028514E">
        <w:t>ihon alle annoksella 162 mg kerran kahdessa viikossa tai lumevalmistetta yhdistelmänä yhden tai useamman ei- biologisen DMARD-lääkkeen kanssa.</w:t>
      </w:r>
    </w:p>
    <w:p w14:paraId="3BECCE2B" w14:textId="77777777" w:rsidR="003B7027" w:rsidRPr="0028514E" w:rsidRDefault="003B7027" w:rsidP="006E5F9A">
      <w:pPr>
        <w:pStyle w:val="a4"/>
        <w:ind w:left="0"/>
      </w:pPr>
    </w:p>
    <w:p w14:paraId="06AE23A3" w14:textId="74EA1674" w:rsidR="003B7027" w:rsidRPr="0028514E" w:rsidRDefault="00296A74" w:rsidP="006E5F9A">
      <w:pPr>
        <w:pStyle w:val="a4"/>
        <w:ind w:left="0"/>
      </w:pPr>
      <w:r w:rsidRPr="0028514E">
        <w:t xml:space="preserve">Tutkimuksessa SC-II niveltuhon estymistä arvioitiin radiologisesti ja se ilmaistiin mTSS-pisteiden (van der Heijde modified mean total Sharp score) muutoksena lähtötilanteesta. Viikolla 24 </w:t>
      </w:r>
      <w:r w:rsidR="003F37BF">
        <w:t xml:space="preserve">tosilitsumabia </w:t>
      </w:r>
      <w:r w:rsidRPr="0028514E">
        <w:t>ihon alle saaneilla potilailla osoitettiin merkitsevästi vähemmän radiologista etenemistä verrattuna lumevalmistetta saaneisiin potilaisiin (keskimääräiset mTSS-pisteet 0,62 vs. 1,23,</w:t>
      </w:r>
      <w:r w:rsidR="00C549F7" w:rsidRPr="0028514E">
        <w:t xml:space="preserve"> </w:t>
      </w:r>
      <w:r w:rsidRPr="0028514E">
        <w:t xml:space="preserve">p = 0,0149 (van Elteren). Nämä tulokset ovat yhdenmukaiset </w:t>
      </w:r>
      <w:r w:rsidR="003F37BF">
        <w:t xml:space="preserve">tosilitsumabia </w:t>
      </w:r>
      <w:r w:rsidRPr="0028514E">
        <w:t>laskimoon saaneilla potilailla todettujen tulosten kanssa.</w:t>
      </w:r>
    </w:p>
    <w:p w14:paraId="6199D9C9" w14:textId="77777777" w:rsidR="003B7027" w:rsidRPr="0028514E" w:rsidRDefault="003B7027" w:rsidP="006E5F9A">
      <w:pPr>
        <w:pStyle w:val="a4"/>
        <w:ind w:left="0"/>
      </w:pPr>
    </w:p>
    <w:p w14:paraId="6644EF59" w14:textId="536C5C5F" w:rsidR="003B7027" w:rsidRPr="0028514E" w:rsidRDefault="00296A74" w:rsidP="006E5F9A">
      <w:pPr>
        <w:pStyle w:val="a4"/>
        <w:ind w:left="0"/>
      </w:pPr>
      <w:r w:rsidRPr="0028514E">
        <w:t xml:space="preserve">Tutkimuksessa SC-II </w:t>
      </w:r>
      <w:r w:rsidR="003F37BF">
        <w:t xml:space="preserve">tosilitsumabia </w:t>
      </w:r>
      <w:r w:rsidRPr="0028514E">
        <w:t>ihon alle kerran kahdessa viikossa saaneiden potilaiden ACR- vasteet viikolla 24 olivat ACR20 60,9 %, ACR50 39,8 % ja ACR70 19,7 %. Lumevalmistetta saaneiden ryhmässä vastaavat luvut olivat ACR20 31,5 %, ACR50 12,3 % ja ACR70 5,0 %. Potilaiden DAS28-indeksin keskiarvo tutkimuksen alkaessa oli 6,7 tosilitsumabia ihon alle saaneiden ryhmässä ja 6,6 lumevalmistetta saaneiden ryhmässä. Viikolla 24 havaittiin tosilitsumabia ihon alle saaneiden hoitohaarassa DAS28-indeksin merkitsevä 3,1 yksikön lasku lähtötilanteesta kun lumevalmistetta saaneiden haarassa lasku oli 1,7 yksikköä. Tosilitsumabia ihon alle saaneiden haarassa 32,0 % potilaista saavutti DAS28 &lt; 2,6 ja lumevalmistetta saaneiden haarassa osuus oli 4,0 %.</w:t>
      </w:r>
    </w:p>
    <w:p w14:paraId="7D9F28C8" w14:textId="77777777" w:rsidR="00C549F7" w:rsidRPr="0028514E" w:rsidRDefault="00C549F7" w:rsidP="006E5F9A">
      <w:pPr>
        <w:pStyle w:val="a4"/>
        <w:ind w:left="0"/>
      </w:pPr>
    </w:p>
    <w:p w14:paraId="5DEC7FBC" w14:textId="77777777" w:rsidR="003B7027" w:rsidRPr="00CA43F5" w:rsidRDefault="00296A74" w:rsidP="006E5F9A">
      <w:pPr>
        <w:keepNext/>
        <w:keepLines/>
        <w:rPr>
          <w:i/>
          <w:lang w:val="fi-FI"/>
        </w:rPr>
      </w:pPr>
      <w:r w:rsidRPr="00CA43F5">
        <w:rPr>
          <w:i/>
          <w:lang w:val="fi-FI"/>
        </w:rPr>
        <w:t>Terveydentilaa ja elämänlaatua kuvaavat tulokset</w:t>
      </w:r>
    </w:p>
    <w:p w14:paraId="54ED2B88" w14:textId="77777777" w:rsidR="003B7027" w:rsidRPr="0028514E" w:rsidRDefault="00296A74" w:rsidP="006E5F9A">
      <w:pPr>
        <w:pStyle w:val="a4"/>
        <w:ind w:left="0"/>
      </w:pPr>
      <w:r w:rsidRPr="0028514E">
        <w:t>Viikkoon 24 mennessä HAQ-DI laski tutkimuksessa SC-I keskimäärin 0,6 yksikköä lähtötilanteesta tosilitsumabia ihon alle ja laskimoon saaneiden ryhmissä. Myös niiden potilaiden osuus, joiden HAQ- DI:n tulos osoitti kliinisesti merkitsevää parannusta viikolla 24 (muutos lähtötilanteesta</w:t>
      </w:r>
      <w:r w:rsidR="00C549F7" w:rsidRPr="0028514E">
        <w:t xml:space="preserve"> </w:t>
      </w:r>
      <w:r w:rsidRPr="0028514E">
        <w:t>≥ 0,3 yksikköä) oli yhtäläinen valmistetta ihon alle (65,2 %) ja laskimoon (67,4 %) saaneiden ryhmissä. Osuuksien painotettu ero oli -2,3 % (95 %:n CI -8,1, 3,4). SF-36-kyselyssä keskimuutos lähtötilanteesta viikolla 24 psyykkisen osion pisteissä oli 6,22 pistettä valmistetta ihon alle saaneiden ryhmässä ja 6,54 pistettä valmistetta laskimoon saaneiden ryhmässä. Myös fyysisen osion pisteet olivat samankaltaiset, 9,49 pistettä valmistetta ihon alle saaneiden ryhmässä ja 9,65 pistettä valmistetta laskimoon saaneiden ryhmässä.</w:t>
      </w:r>
    </w:p>
    <w:p w14:paraId="29ABF140" w14:textId="77777777" w:rsidR="00C549F7" w:rsidRPr="0028514E" w:rsidRDefault="00C549F7" w:rsidP="006E5F9A">
      <w:pPr>
        <w:pStyle w:val="a4"/>
        <w:ind w:left="0"/>
      </w:pPr>
    </w:p>
    <w:p w14:paraId="4452ECDB" w14:textId="58D81681" w:rsidR="003B7027" w:rsidRPr="0028514E" w:rsidRDefault="00296A74" w:rsidP="006E5F9A">
      <w:pPr>
        <w:pStyle w:val="a4"/>
        <w:ind w:left="0"/>
      </w:pPr>
      <w:r w:rsidRPr="0028514E">
        <w:t xml:space="preserve">Viikkoon 24 mennessä HAQ-DI laski tutkimuksessa SC-II huomattavasti enemmän potilailla, joita hoidettiin ihonalaisella </w:t>
      </w:r>
      <w:r w:rsidR="003F37BF">
        <w:t xml:space="preserve">tosilitsumabilla </w:t>
      </w:r>
      <w:r w:rsidRPr="0028514E">
        <w:t xml:space="preserve">kerrran kahdessa viikossa (0,4) verrattuna lumevalmisteella hoidettuihin potilaisiin (0,3). Niiden potilaiden osuus, joiden HAQ-DI:n tulos osoitti kliinisesti merkitsevää parannusta viikolla 24 (muutos lähtötilanteesta ≥ 0,3 yksikköä) oli suurempi ryhmässä, joka sai ihonalaista </w:t>
      </w:r>
      <w:r w:rsidR="003F37BF">
        <w:t xml:space="preserve">tosilitsumabia </w:t>
      </w:r>
      <w:r w:rsidRPr="0028514E">
        <w:t xml:space="preserve">kerran kahdessa viikossa (58 %) verrattuna lumevalmistetta saaneiden ryhmään (46,8 %). SF-36 elämänlaatumittarilla (keskimääräinen muutos psyykkisissä ja fyysisissä elämänlaadun osa-alueissa) saatu tulos oli huomattavasti parempi ryhmässä, joka sai ihonalaista </w:t>
      </w:r>
      <w:r w:rsidR="003F37BF">
        <w:t>tosilitsumabia</w:t>
      </w:r>
      <w:r w:rsidR="003F37BF" w:rsidRPr="0028514E" w:rsidDel="003F37BF">
        <w:t xml:space="preserve"> </w:t>
      </w:r>
      <w:r w:rsidRPr="0028514E">
        <w:t>(6,5 ja 5,3) kuin lumevalmistetta saaneiden ryhmässä (3,8 ja 2,9).</w:t>
      </w:r>
    </w:p>
    <w:p w14:paraId="3C5567C6" w14:textId="77777777" w:rsidR="003B7027" w:rsidRPr="0028514E" w:rsidRDefault="003B7027" w:rsidP="006E5F9A">
      <w:pPr>
        <w:pStyle w:val="a4"/>
        <w:ind w:left="0"/>
      </w:pPr>
    </w:p>
    <w:p w14:paraId="355250B0" w14:textId="77777777" w:rsidR="000577C7" w:rsidRPr="00CA43F5" w:rsidRDefault="00296A74" w:rsidP="00D57B3C">
      <w:pPr>
        <w:keepNext/>
        <w:keepLines/>
        <w:rPr>
          <w:b/>
          <w:lang w:val="fi-FI"/>
        </w:rPr>
      </w:pPr>
      <w:r w:rsidRPr="00CA43F5">
        <w:rPr>
          <w:b/>
          <w:u w:val="single"/>
          <w:lang w:val="fi-FI"/>
        </w:rPr>
        <w:lastRenderedPageBreak/>
        <w:t>Yleisoireista lastenreumaa sairastavat lapsipotilaat</w:t>
      </w:r>
      <w:r w:rsidRPr="00CA43F5">
        <w:rPr>
          <w:b/>
          <w:lang w:val="fi-FI"/>
        </w:rPr>
        <w:t xml:space="preserve"> </w:t>
      </w:r>
    </w:p>
    <w:p w14:paraId="337AE515" w14:textId="13656EA4" w:rsidR="003B7027" w:rsidRPr="00CA43F5" w:rsidRDefault="00296A74" w:rsidP="006E5F9A">
      <w:pPr>
        <w:rPr>
          <w:b/>
          <w:lang w:val="fi-FI"/>
        </w:rPr>
      </w:pPr>
      <w:r w:rsidRPr="00CA43F5">
        <w:rPr>
          <w:b/>
          <w:u w:val="single"/>
          <w:lang w:val="fi-FI"/>
        </w:rPr>
        <w:t>Ihonalainen annostelu</w:t>
      </w:r>
    </w:p>
    <w:p w14:paraId="0CB31B6B" w14:textId="77777777" w:rsidR="003B7027" w:rsidRPr="0028514E" w:rsidRDefault="00296A74" w:rsidP="006E5F9A">
      <w:pPr>
        <w:pStyle w:val="a4"/>
        <w:ind w:left="0"/>
      </w:pPr>
      <w:r w:rsidRPr="0028514E">
        <w:rPr>
          <w:u w:val="single"/>
        </w:rPr>
        <w:t>Kliininen teho</w:t>
      </w:r>
    </w:p>
    <w:p w14:paraId="4E2F819B" w14:textId="74E42821" w:rsidR="003B7027" w:rsidRPr="0028514E" w:rsidRDefault="00296A74" w:rsidP="006E5F9A">
      <w:pPr>
        <w:pStyle w:val="a4"/>
        <w:ind w:left="0"/>
      </w:pPr>
      <w:r w:rsidRPr="0028514E">
        <w:t xml:space="preserve">52 viikkoa kestäneessä avoimessa farmakokinetiikkaa, farmakodynamiikkaa ja turvallisuutta koskeneessa monikeskustutkimuksessa (WA28118) oli mukana iältään 1–17-vuotiaita yleisoireista lastenreumaa sairastavia lapsipotilaita. Tutkimuksessa määritettiin sopiva ihon alle annettava </w:t>
      </w:r>
      <w:r w:rsidR="003F37BF">
        <w:t>tosilitsumabi</w:t>
      </w:r>
      <w:r w:rsidRPr="0028514E">
        <w:t>annos, jonka farmakokinetiikka ja farmakodynamiikka sekä turvallisuusprofiili ovat verrannolliset valmisteen laskimoon antoon nähden.</w:t>
      </w:r>
    </w:p>
    <w:p w14:paraId="0F8BF7D2" w14:textId="77777777" w:rsidR="00C549F7" w:rsidRPr="0028514E" w:rsidRDefault="00C549F7" w:rsidP="006E5F9A">
      <w:pPr>
        <w:pStyle w:val="a4"/>
        <w:ind w:left="0"/>
      </w:pPr>
    </w:p>
    <w:p w14:paraId="07AEE4F8" w14:textId="59ED03F9" w:rsidR="003B7027" w:rsidRPr="005175E0" w:rsidRDefault="00296A74" w:rsidP="006E5F9A">
      <w:pPr>
        <w:pStyle w:val="a4"/>
        <w:ind w:left="0"/>
      </w:pPr>
      <w:r w:rsidRPr="005175E0">
        <w:t xml:space="preserve">Tutkimukseen mukaan soveltuneet potilaat saivat painonmukaisia </w:t>
      </w:r>
      <w:r w:rsidR="003F37BF">
        <w:t>tosilitsumabi</w:t>
      </w:r>
      <w:r w:rsidRPr="005175E0">
        <w:t xml:space="preserve">annoksia: ≥ 30 kg:n painoiset potilaat (n </w:t>
      </w:r>
      <w:r w:rsidR="005175E0" w:rsidRPr="001C67F0">
        <w:t>=</w:t>
      </w:r>
      <w:r w:rsidRPr="005175E0">
        <w:t xml:space="preserve"> 26) saivat 162 mg </w:t>
      </w:r>
      <w:r w:rsidR="003F37BF">
        <w:t xml:space="preserve">tosilitsumabia </w:t>
      </w:r>
      <w:r w:rsidRPr="005175E0">
        <w:t>joka viikko ja alle 30 kg:n painoiset potilaat</w:t>
      </w:r>
      <w:r w:rsidR="00C549F7" w:rsidRPr="005175E0">
        <w:t xml:space="preserve"> </w:t>
      </w:r>
      <w:r w:rsidRPr="005175E0">
        <w:t xml:space="preserve">(n </w:t>
      </w:r>
      <w:r w:rsidR="005175E0" w:rsidRPr="001C67F0">
        <w:t>=</w:t>
      </w:r>
      <w:r w:rsidRPr="005175E0">
        <w:t xml:space="preserve"> 25) saivat 162 mg </w:t>
      </w:r>
      <w:r w:rsidR="003F37BF">
        <w:t xml:space="preserve">tosilitsumabia </w:t>
      </w:r>
      <w:r w:rsidRPr="005175E0">
        <w:t xml:space="preserve">10 päivän välein (n = 8) tai joka toinen viikko (n = 17) 52 viikon ajan. Näistä 51 potilaasta 26 (51 %) potilasta ei ollut saanut </w:t>
      </w:r>
      <w:r w:rsidR="003F37BF">
        <w:t xml:space="preserve">tosilitsumabia </w:t>
      </w:r>
      <w:r w:rsidRPr="005175E0">
        <w:t>aiemmin ja</w:t>
      </w:r>
      <w:r w:rsidR="00C549F7" w:rsidRPr="005175E0">
        <w:t xml:space="preserve"> </w:t>
      </w:r>
      <w:r w:rsidRPr="005175E0">
        <w:t xml:space="preserve">25 (49 %) potilasta oli saanut </w:t>
      </w:r>
      <w:r w:rsidR="003F37BF">
        <w:t xml:space="preserve">tosilitsumabia </w:t>
      </w:r>
      <w:r w:rsidRPr="005175E0">
        <w:t xml:space="preserve">laskimoon ja siirtyi lähtötilanteessa ihon alle annettavaan </w:t>
      </w:r>
      <w:r w:rsidR="003F37BF">
        <w:t>tosilitsumabi</w:t>
      </w:r>
      <w:r w:rsidRPr="005175E0">
        <w:t>hoitoon.</w:t>
      </w:r>
    </w:p>
    <w:p w14:paraId="5B92C1FA" w14:textId="77777777" w:rsidR="00C549F7" w:rsidRPr="005175E0" w:rsidRDefault="00C549F7" w:rsidP="006E5F9A">
      <w:pPr>
        <w:pStyle w:val="a4"/>
        <w:ind w:left="0"/>
      </w:pPr>
    </w:p>
    <w:p w14:paraId="28288364" w14:textId="5A209093" w:rsidR="003B7027" w:rsidRPr="0028514E" w:rsidRDefault="00296A74" w:rsidP="006E5F9A">
      <w:pPr>
        <w:pStyle w:val="a4"/>
        <w:ind w:left="0"/>
      </w:pPr>
      <w:r w:rsidRPr="0028514E">
        <w:t xml:space="preserve">Eksploratiiviset tehon tulokset osoittivat, että ihon alle annettu </w:t>
      </w:r>
      <w:r w:rsidR="003F37BF">
        <w:t xml:space="preserve">tosilitsumabi </w:t>
      </w:r>
      <w:r w:rsidRPr="0028514E">
        <w:t xml:space="preserve">paransi kaikkia eksploratiivisia tehoa koskevia parametreja, mukaan lukien lastenreuman aktiivisuutta osoittavia pisteitä (Juvenile Arthritis Disease Activity Score [JADAS]-71) potilailla, jotka eivät olleet saaneet tosilitsumabia aikaisemmin, ja piti kaikki eksploratiiviset tehoa koskevat parametrit ennallaan koko hoitojakson ajan kummassakin painoryhmässä (alle 30 kg ja ≥ 30 kg) niillä potilailla, jotka siirtyivät laskimoon annetusta </w:t>
      </w:r>
      <w:r w:rsidR="003F37BF">
        <w:t>tosilitsumabi</w:t>
      </w:r>
      <w:r w:rsidRPr="0028514E">
        <w:t xml:space="preserve">hoidosta ihon alle annettavaan </w:t>
      </w:r>
      <w:r w:rsidR="003F37BF">
        <w:t>tosilitsumabi</w:t>
      </w:r>
      <w:r w:rsidRPr="0028514E">
        <w:t>hoitoon.</w:t>
      </w:r>
    </w:p>
    <w:p w14:paraId="35455890" w14:textId="77777777" w:rsidR="003B7027" w:rsidRPr="0028514E" w:rsidRDefault="003B7027" w:rsidP="006E5F9A">
      <w:pPr>
        <w:pStyle w:val="a4"/>
        <w:ind w:left="0"/>
      </w:pPr>
    </w:p>
    <w:p w14:paraId="40635FDC" w14:textId="77777777" w:rsidR="003B7027" w:rsidRPr="00CA43F5" w:rsidRDefault="00296A74" w:rsidP="006E5F9A">
      <w:pPr>
        <w:rPr>
          <w:b/>
          <w:lang w:val="fi-FI"/>
        </w:rPr>
      </w:pPr>
      <w:r w:rsidRPr="00CA43F5">
        <w:rPr>
          <w:b/>
          <w:u w:val="single"/>
          <w:lang w:val="fi-FI"/>
        </w:rPr>
        <w:t>Polyartriittia sairastavat lapsipotilaat</w:t>
      </w:r>
    </w:p>
    <w:p w14:paraId="3F6142B4" w14:textId="2E573A29" w:rsidR="003B7027" w:rsidRPr="0028514E" w:rsidRDefault="00296A74" w:rsidP="006E5F9A">
      <w:pPr>
        <w:pStyle w:val="a4"/>
        <w:ind w:left="0"/>
      </w:pPr>
      <w:r w:rsidRPr="0028514E">
        <w:t xml:space="preserve">52 viikkoa kestäneessä avoimessa farmakokinetiikkaa, farmakodynamiikkaa ja turvallisuutta koskeneessa monikeskustutkimuksessa oli mukana iältään 1–17-vuotiaita aktiivista polyartriittia sairastavia lapsipotilaita. Tutkimuksessa määritettiin sopiva ihon alle annettava </w:t>
      </w:r>
      <w:r w:rsidR="003F37BF">
        <w:t>tosilitsumabi</w:t>
      </w:r>
      <w:r w:rsidRPr="0028514E">
        <w:t>annos, jonka farmakokinetiikka ja farmakodynamiikka sekä turvallisuusprofiili ovat verrannolliset valmisteen laskimoon antoon nähden.</w:t>
      </w:r>
    </w:p>
    <w:p w14:paraId="1148CDAF" w14:textId="77777777" w:rsidR="00C549F7" w:rsidRPr="0028514E" w:rsidRDefault="00C549F7" w:rsidP="006E5F9A">
      <w:pPr>
        <w:pStyle w:val="a4"/>
        <w:ind w:left="0"/>
      </w:pPr>
    </w:p>
    <w:p w14:paraId="31076155" w14:textId="29EB2D45" w:rsidR="003B7027" w:rsidRPr="005175E0" w:rsidRDefault="00296A74" w:rsidP="006E5F9A">
      <w:pPr>
        <w:pStyle w:val="a4"/>
        <w:ind w:left="0"/>
      </w:pPr>
      <w:r w:rsidRPr="005175E0">
        <w:t xml:space="preserve">Tutkimukseen mukaan soveltuneet potilaat saivat painonmukaisia tosilitsumabiannoksia: ≥ 30 kg:n painoiset potilaat (n </w:t>
      </w:r>
      <w:r w:rsidR="005175E0" w:rsidRPr="001C67F0">
        <w:t>=</w:t>
      </w:r>
      <w:r w:rsidRPr="005175E0">
        <w:t xml:space="preserve"> 25) saivat 162 mg </w:t>
      </w:r>
      <w:r w:rsidR="003F37BF">
        <w:t xml:space="preserve">tosilitsumabia </w:t>
      </w:r>
      <w:r w:rsidRPr="005175E0">
        <w:t xml:space="preserve">joka toinen viikko ja alle 30 kg:n painoiset potilaat (n </w:t>
      </w:r>
      <w:r w:rsidR="005175E0" w:rsidRPr="001C67F0">
        <w:t>=</w:t>
      </w:r>
      <w:r w:rsidRPr="005175E0">
        <w:t xml:space="preserve"> 27) saivat 162 mg </w:t>
      </w:r>
      <w:r w:rsidR="003F37BF">
        <w:t xml:space="preserve">tosilitsumabia </w:t>
      </w:r>
      <w:r w:rsidRPr="005175E0">
        <w:t xml:space="preserve">joka kolmas viikko 52 viikon ajan. Näistä 52 potilaasta 37 (71 %) potilasta ei ollut saanut </w:t>
      </w:r>
      <w:r w:rsidR="003F37BF">
        <w:t xml:space="preserve">tosilitsumabia </w:t>
      </w:r>
      <w:r w:rsidRPr="005175E0">
        <w:t xml:space="preserve">aiemmin ja 15 (29 %) potilasta oli saanut </w:t>
      </w:r>
      <w:r w:rsidR="003F37BF">
        <w:t xml:space="preserve">tosilitsumabia </w:t>
      </w:r>
      <w:r w:rsidRPr="005175E0">
        <w:t xml:space="preserve">laskimoon ja siirtyi lähtötilanteessa ihon alle annettavaan </w:t>
      </w:r>
      <w:r w:rsidR="003F37BF">
        <w:t>tosilitsumabi</w:t>
      </w:r>
      <w:r w:rsidRPr="005175E0">
        <w:t>hoitoon.</w:t>
      </w:r>
    </w:p>
    <w:p w14:paraId="032DBA8C" w14:textId="77777777" w:rsidR="00C549F7" w:rsidRPr="0028514E" w:rsidRDefault="00C549F7" w:rsidP="006E5F9A">
      <w:pPr>
        <w:pStyle w:val="a4"/>
        <w:ind w:left="0"/>
      </w:pPr>
    </w:p>
    <w:p w14:paraId="0C5A36F9" w14:textId="0092BB58" w:rsidR="003B7027" w:rsidRPr="0028514E" w:rsidRDefault="00296A74" w:rsidP="006E5F9A">
      <w:pPr>
        <w:pStyle w:val="a4"/>
        <w:ind w:left="0"/>
      </w:pPr>
      <w:r w:rsidRPr="0028514E">
        <w:t xml:space="preserve">Kun ihon alle annettavaa </w:t>
      </w:r>
      <w:r w:rsidR="003F37BF">
        <w:t xml:space="preserve">tosilitsumabia </w:t>
      </w:r>
      <w:r w:rsidRPr="0028514E">
        <w:t xml:space="preserve">annetaan alle 30 kg:n painoisille potilaille 162 mg joka kolmas viikko ja ≥ 30 kg:n painoisille potilaille 162 mg joka toinen viikko, tehoa ja turvallisuutta koskevat hoitotulokset ovat farmakokineettisen altistuksen ja farmakodynaamisten vasteiden perusteella samankaltaiset kuin lasten aktiivisen polyartriitin hoitoon hyväksytyllä laskimoon annettavalla </w:t>
      </w:r>
      <w:r w:rsidR="003F37BF">
        <w:t>tosilitsumabilla</w:t>
      </w:r>
      <w:r w:rsidRPr="0028514E">
        <w:t>.</w:t>
      </w:r>
    </w:p>
    <w:p w14:paraId="7BFBA514" w14:textId="77777777" w:rsidR="00C549F7" w:rsidRPr="0028514E" w:rsidRDefault="00C549F7" w:rsidP="006E5F9A">
      <w:pPr>
        <w:pStyle w:val="a4"/>
        <w:ind w:left="0"/>
      </w:pPr>
    </w:p>
    <w:p w14:paraId="7FF8F10E" w14:textId="557C7437" w:rsidR="003B7027" w:rsidRPr="0028514E" w:rsidRDefault="00296A74" w:rsidP="006E5F9A">
      <w:pPr>
        <w:pStyle w:val="a4"/>
        <w:ind w:left="0"/>
      </w:pPr>
      <w:r w:rsidRPr="0028514E">
        <w:t xml:space="preserve">Eksploratiiviset tehon tulokset osoittivat, että ihon alle annettu </w:t>
      </w:r>
      <w:r w:rsidR="003F37BF">
        <w:t xml:space="preserve">tosilitsumabi </w:t>
      </w:r>
      <w:r w:rsidRPr="0028514E">
        <w:t xml:space="preserve">paransi lastenreuman aktiivisuutta osoittavien pisteiden (Juvenile Arthritis Disease Activity Score [JADAS]-71) mediaania potilailla, jotka eivät olleet saaneet </w:t>
      </w:r>
      <w:r w:rsidR="003F37BF">
        <w:t xml:space="preserve">tosilitsumabia </w:t>
      </w:r>
      <w:r w:rsidRPr="0028514E">
        <w:t xml:space="preserve">aikaisemmin, ja piti JADAS-71-pisteiden mediaanin ennallaan koko hoitojakson ajan kummassakin painoryhmässä (alle 30 kg ja ≥ 30 kg) niillä potilailla, jotka siirtyivät laskimoon annetusta </w:t>
      </w:r>
      <w:r w:rsidR="003F37BF">
        <w:t>tosilitsumabi</w:t>
      </w:r>
      <w:r w:rsidRPr="0028514E">
        <w:t xml:space="preserve">hoidosta ihon alle annettavaan </w:t>
      </w:r>
      <w:r w:rsidR="006443E2">
        <w:t>tosilitsumabi</w:t>
      </w:r>
      <w:r w:rsidRPr="0028514E">
        <w:t>hoitoon.</w:t>
      </w:r>
    </w:p>
    <w:p w14:paraId="0C44A04C" w14:textId="77777777" w:rsidR="003B7027" w:rsidRPr="0028514E" w:rsidRDefault="003B7027" w:rsidP="006E5F9A">
      <w:pPr>
        <w:pStyle w:val="a4"/>
        <w:ind w:left="0"/>
      </w:pPr>
    </w:p>
    <w:p w14:paraId="19FC3239" w14:textId="77777777" w:rsidR="000577C7" w:rsidRPr="00CA43F5" w:rsidRDefault="00296A74" w:rsidP="006E5F9A">
      <w:pPr>
        <w:rPr>
          <w:b/>
          <w:u w:val="single"/>
          <w:lang w:val="fi-FI"/>
        </w:rPr>
      </w:pPr>
      <w:r w:rsidRPr="00CA43F5">
        <w:rPr>
          <w:b/>
          <w:u w:val="single"/>
          <w:lang w:val="fi-FI"/>
        </w:rPr>
        <w:t xml:space="preserve">Jättisoluarteriitti </w:t>
      </w:r>
    </w:p>
    <w:p w14:paraId="3FC640FA" w14:textId="31EE31E0" w:rsidR="00C549F7" w:rsidRPr="00CA43F5" w:rsidRDefault="00296A74" w:rsidP="006E5F9A">
      <w:pPr>
        <w:rPr>
          <w:b/>
          <w:u w:val="single"/>
          <w:lang w:val="fi-FI"/>
        </w:rPr>
      </w:pPr>
      <w:r w:rsidRPr="00CA43F5">
        <w:rPr>
          <w:b/>
          <w:u w:val="single"/>
          <w:lang w:val="fi-FI"/>
        </w:rPr>
        <w:t>Ihonalainen annostelu</w:t>
      </w:r>
    </w:p>
    <w:p w14:paraId="33B78798" w14:textId="77777777" w:rsidR="003B7027" w:rsidRPr="00CA43F5" w:rsidRDefault="00296A74" w:rsidP="006E5F9A">
      <w:pPr>
        <w:rPr>
          <w:u w:val="single"/>
          <w:lang w:val="fi-FI"/>
        </w:rPr>
      </w:pPr>
      <w:r w:rsidRPr="00CA43F5">
        <w:rPr>
          <w:u w:val="single"/>
          <w:lang w:val="fi-FI"/>
        </w:rPr>
        <w:t>Kliininen teho</w:t>
      </w:r>
    </w:p>
    <w:p w14:paraId="22D9A4B8" w14:textId="22833DB2" w:rsidR="003B7027" w:rsidRPr="0028514E" w:rsidRDefault="003F37BF" w:rsidP="006E5F9A">
      <w:pPr>
        <w:pStyle w:val="a4"/>
        <w:ind w:left="0"/>
      </w:pPr>
      <w:r>
        <w:t>Tosilitsumabin</w:t>
      </w:r>
      <w:r w:rsidR="00296A74" w:rsidRPr="0028514E">
        <w:t xml:space="preserve"> tehon ja turvallisuuden paremmuutta (superiority) jättisoluarteriitin hoidossa on tutkittu vaiheen III satunnaistetussa kaksoissokkoutetussa lumekontrolloidussa monikeskustutkimuksessa (WA28119).</w:t>
      </w:r>
    </w:p>
    <w:p w14:paraId="1290D9CC" w14:textId="77777777" w:rsidR="003B7027" w:rsidRPr="0028514E" w:rsidRDefault="003B7027" w:rsidP="006E5F9A">
      <w:pPr>
        <w:pStyle w:val="a4"/>
        <w:ind w:left="0"/>
      </w:pPr>
    </w:p>
    <w:p w14:paraId="5A002E5D" w14:textId="3D811715" w:rsidR="003B7027" w:rsidRPr="0028514E" w:rsidRDefault="00296A74" w:rsidP="006E5F9A">
      <w:pPr>
        <w:pStyle w:val="a4"/>
        <w:ind w:left="0"/>
      </w:pPr>
      <w:r w:rsidRPr="0028514E">
        <w:t>Tutkimukseen osallistui yhteensä 251 vastadiagnosoitua tai relapsoitunutta potilasta. Potilaat satunnaistettiin neljään tutkimushaaraan. Tutkimus käsitti 52 viikon pituisen sokkoutetun jakson</w:t>
      </w:r>
      <w:r w:rsidR="00C549F7" w:rsidRPr="0028514E">
        <w:t xml:space="preserve"> </w:t>
      </w:r>
      <w:r w:rsidRPr="0028514E">
        <w:t xml:space="preserve">(osa </w:t>
      </w:r>
      <w:r w:rsidRPr="0028514E">
        <w:lastRenderedPageBreak/>
        <w:t xml:space="preserve">1), jota seurasi 104 viikon pituinen avoin jatkotutkimus (osa 2). Osassa 2 määritettiin </w:t>
      </w:r>
      <w:r w:rsidR="003F37BF">
        <w:t>tosilitsumabi</w:t>
      </w:r>
      <w:r w:rsidRPr="0028514E">
        <w:t xml:space="preserve">hoidon pitkäaikaisturvallisuutta ja tehon säilymistä 52 viikon </w:t>
      </w:r>
      <w:r w:rsidR="003F37BF">
        <w:t>tosilitsumabi</w:t>
      </w:r>
      <w:r w:rsidRPr="0028514E">
        <w:t xml:space="preserve">hoidon jälkeen sekä relapsien osuutta, mahdollista pidemmän </w:t>
      </w:r>
      <w:r w:rsidR="003F37BF">
        <w:t>tosilitsumabi</w:t>
      </w:r>
      <w:r w:rsidRPr="0028514E">
        <w:t xml:space="preserve">hoidon tarvetta ja </w:t>
      </w:r>
      <w:r w:rsidR="00664A1D">
        <w:t>tosilitsumabi</w:t>
      </w:r>
      <w:r w:rsidRPr="0028514E">
        <w:t>hoidon mahdollisia vaikutuksia steroidien pitkäaikaisen käytön vähentämiseen.</w:t>
      </w:r>
    </w:p>
    <w:p w14:paraId="53FF9C05" w14:textId="77777777" w:rsidR="003B7027" w:rsidRPr="0028514E" w:rsidRDefault="003B7027" w:rsidP="006E5F9A">
      <w:pPr>
        <w:pStyle w:val="a4"/>
        <w:ind w:left="0"/>
      </w:pPr>
    </w:p>
    <w:p w14:paraId="10115DC9" w14:textId="1C5F5A9F" w:rsidR="003B7027" w:rsidRPr="0028514E" w:rsidRDefault="003F37BF" w:rsidP="006E5F9A">
      <w:pPr>
        <w:pStyle w:val="a4"/>
        <w:ind w:left="0"/>
      </w:pPr>
      <w:r>
        <w:t>Tosilitsumabin</w:t>
      </w:r>
      <w:r w:rsidR="00296A74" w:rsidRPr="0028514E">
        <w:t xml:space="preserve"> kahta ihon alle annettavaa annostusta (162 mg joka viikko ja 162 mg joka toinen viikko) verrattiin kahteen erilliseen lumekontrolloituun ryhmään. Potilaat oli satunnaistettu eri ryhmiin suhteessa 2:1:1:1.</w:t>
      </w:r>
    </w:p>
    <w:p w14:paraId="0547A610" w14:textId="77777777" w:rsidR="00C549F7" w:rsidRPr="0028514E" w:rsidRDefault="00C549F7" w:rsidP="006E5F9A">
      <w:pPr>
        <w:pStyle w:val="a4"/>
        <w:ind w:left="0"/>
      </w:pPr>
    </w:p>
    <w:p w14:paraId="28BA7693" w14:textId="11243F03" w:rsidR="003B7027" w:rsidRPr="0028514E" w:rsidRDefault="00296A74" w:rsidP="006E5F9A">
      <w:pPr>
        <w:pStyle w:val="a4"/>
        <w:ind w:left="0"/>
      </w:pPr>
      <w:r w:rsidRPr="0028514E">
        <w:t xml:space="preserve">Kaikki potilaat saivat perushoitona glukokortikoideja (prednisonia). Kummassakin </w:t>
      </w:r>
      <w:r w:rsidR="003F37BF">
        <w:t>tosilitsumabi</w:t>
      </w:r>
      <w:r w:rsidRPr="0028514E">
        <w:t>ryhmässä ja toisessa lumeryhmässä prednisonihoito lopetettiin asteittain ennakolta määritellysti</w:t>
      </w:r>
      <w:r w:rsidR="00C549F7" w:rsidRPr="0028514E">
        <w:t xml:space="preserve"> </w:t>
      </w:r>
      <w:r w:rsidRPr="0028514E">
        <w:t>26 viikon aikana. Toisessa lumeryhmässä prednisonihoito lopetettiin asteittain ennakolta määritellysti 52 viikon aikana.</w:t>
      </w:r>
    </w:p>
    <w:p w14:paraId="1463B92D" w14:textId="77777777" w:rsidR="00C549F7" w:rsidRPr="0028514E" w:rsidRDefault="00C549F7" w:rsidP="006E5F9A">
      <w:pPr>
        <w:pStyle w:val="a4"/>
        <w:ind w:left="0"/>
      </w:pPr>
    </w:p>
    <w:p w14:paraId="50C3A9AC" w14:textId="369200E0" w:rsidR="003B7027" w:rsidRPr="0028514E" w:rsidRDefault="00296A74" w:rsidP="006E5F9A">
      <w:pPr>
        <w:pStyle w:val="a4"/>
        <w:ind w:left="0"/>
      </w:pPr>
      <w:r w:rsidRPr="0028514E">
        <w:t xml:space="preserve">Glukokortikoidihoidon kesto oli seulontavaiheessa ja ennen </w:t>
      </w:r>
      <w:r w:rsidR="003F37BF">
        <w:t>tosilitsumabi</w:t>
      </w:r>
      <w:r w:rsidRPr="0028514E">
        <w:t>hoidon (tai lumehoidon) aloittamista samankaltainen kaikissa neljässä hoitoryhmissä (ks. taulukko 3).</w:t>
      </w:r>
    </w:p>
    <w:p w14:paraId="7D50F968" w14:textId="77777777" w:rsidR="003B7027" w:rsidRPr="0028514E" w:rsidRDefault="003B7027" w:rsidP="006E5F9A">
      <w:pPr>
        <w:pStyle w:val="a4"/>
        <w:ind w:left="0"/>
      </w:pPr>
    </w:p>
    <w:p w14:paraId="267D0764" w14:textId="77777777" w:rsidR="003B7027" w:rsidRPr="00CA43F5" w:rsidRDefault="00296A74" w:rsidP="00470998">
      <w:pPr>
        <w:pStyle w:val="Tabletitle"/>
        <w:keepNext/>
        <w:rPr>
          <w:lang w:val="fi-FI"/>
        </w:rPr>
      </w:pPr>
      <w:r w:rsidRPr="00CA43F5">
        <w:rPr>
          <w:lang w:val="fi-FI"/>
        </w:rPr>
        <w:t>Taulukko 3.</w:t>
      </w:r>
      <w:r w:rsidR="00C549F7" w:rsidRPr="00CA43F5">
        <w:rPr>
          <w:lang w:val="fi-FI"/>
        </w:rPr>
        <w:tab/>
      </w:r>
      <w:r w:rsidRPr="00CA43F5">
        <w:rPr>
          <w:lang w:val="fi-FI"/>
        </w:rPr>
        <w:t>Kortikosteroidihoidon kesto tutkimuksen WA28119 seulonnan aikana</w:t>
      </w:r>
    </w:p>
    <w:p w14:paraId="25913D81" w14:textId="77777777" w:rsidR="00C549F7" w:rsidRPr="00CA43F5" w:rsidRDefault="00C549F7" w:rsidP="00C974BF">
      <w:pPr>
        <w:keepNext/>
        <w:rPr>
          <w:lang w:val="fi-FI"/>
        </w:rPr>
      </w:pPr>
    </w:p>
    <w:tbl>
      <w:tblPr>
        <w:tblW w:w="4804" w:type="pct"/>
        <w:tblInd w:w="113" w:type="dxa"/>
        <w:tblLayout w:type="fixed"/>
        <w:tblCellMar>
          <w:top w:w="29" w:type="dxa"/>
          <w:bottom w:w="29" w:type="dxa"/>
        </w:tblCellMar>
        <w:tblLook w:val="01E0" w:firstRow="1" w:lastRow="1" w:firstColumn="1" w:lastColumn="1" w:noHBand="0" w:noVBand="0"/>
      </w:tblPr>
      <w:tblGrid>
        <w:gridCol w:w="1655"/>
        <w:gridCol w:w="1798"/>
        <w:gridCol w:w="1798"/>
        <w:gridCol w:w="1660"/>
        <w:gridCol w:w="1798"/>
      </w:tblGrid>
      <w:tr w:rsidR="003B7027" w:rsidRPr="00BB5A61" w14:paraId="5ABA2BEC" w14:textId="77777777" w:rsidTr="00C974BF">
        <w:trPr>
          <w:trHeight w:val="20"/>
        </w:trPr>
        <w:tc>
          <w:tcPr>
            <w:tcW w:w="1696" w:type="dxa"/>
            <w:tcBorders>
              <w:top w:val="single" w:sz="8" w:space="0" w:color="000000"/>
              <w:left w:val="single" w:sz="4" w:space="0" w:color="000000"/>
              <w:bottom w:val="single" w:sz="8" w:space="0" w:color="000000"/>
              <w:right w:val="single" w:sz="4" w:space="0" w:color="auto"/>
            </w:tcBorders>
          </w:tcPr>
          <w:p w14:paraId="4FF13DDA" w14:textId="77777777" w:rsidR="003B7027" w:rsidRPr="0028514E" w:rsidRDefault="003B7027" w:rsidP="00C974BF">
            <w:pPr>
              <w:pStyle w:val="TableParagraph"/>
              <w:keepNext/>
            </w:pPr>
          </w:p>
        </w:tc>
        <w:tc>
          <w:tcPr>
            <w:tcW w:w="1843" w:type="dxa"/>
            <w:tcBorders>
              <w:top w:val="single" w:sz="4" w:space="0" w:color="auto"/>
              <w:left w:val="single" w:sz="4" w:space="0" w:color="auto"/>
              <w:bottom w:val="single" w:sz="4" w:space="0" w:color="auto"/>
              <w:right w:val="single" w:sz="4" w:space="0" w:color="auto"/>
            </w:tcBorders>
          </w:tcPr>
          <w:p w14:paraId="74DEB2AD" w14:textId="77777777" w:rsidR="003B7027" w:rsidRPr="0028514E" w:rsidRDefault="00296A74" w:rsidP="00C974BF">
            <w:pPr>
              <w:pStyle w:val="TableParagraph"/>
              <w:keepNext/>
              <w:jc w:val="center"/>
              <w:rPr>
                <w:b/>
              </w:rPr>
            </w:pPr>
            <w:r w:rsidRPr="0028514E">
              <w:rPr>
                <w:b/>
              </w:rPr>
              <w:t>Lume +</w:t>
            </w:r>
            <w:r w:rsidR="00201DF4" w:rsidRPr="0028514E">
              <w:rPr>
                <w:b/>
              </w:rPr>
              <w:t xml:space="preserve"> </w:t>
            </w:r>
            <w:r w:rsidRPr="0028514E">
              <w:rPr>
                <w:b/>
              </w:rPr>
              <w:t>26 viikon aikana asteittain lopetettava prednisonihoito</w:t>
            </w:r>
            <w:r w:rsidR="00201DF4" w:rsidRPr="0028514E">
              <w:rPr>
                <w:b/>
              </w:rPr>
              <w:t xml:space="preserve"> </w:t>
            </w:r>
            <w:r w:rsidRPr="0028514E">
              <w:rPr>
                <w:b/>
              </w:rPr>
              <w:t>N = 50</w:t>
            </w:r>
          </w:p>
        </w:tc>
        <w:tc>
          <w:tcPr>
            <w:tcW w:w="1843" w:type="dxa"/>
            <w:tcBorders>
              <w:top w:val="single" w:sz="4" w:space="0" w:color="auto"/>
              <w:left w:val="single" w:sz="4" w:space="0" w:color="auto"/>
              <w:bottom w:val="single" w:sz="4" w:space="0" w:color="auto"/>
              <w:right w:val="single" w:sz="4" w:space="0" w:color="auto"/>
            </w:tcBorders>
          </w:tcPr>
          <w:p w14:paraId="1E7998ED" w14:textId="77777777" w:rsidR="003B7027" w:rsidRPr="0028514E" w:rsidRDefault="00296A74" w:rsidP="00C974BF">
            <w:pPr>
              <w:pStyle w:val="TableParagraph"/>
              <w:keepNext/>
              <w:jc w:val="center"/>
              <w:rPr>
                <w:b/>
              </w:rPr>
            </w:pPr>
            <w:r w:rsidRPr="0028514E">
              <w:rPr>
                <w:b/>
              </w:rPr>
              <w:t>Lume + 52 viikon aikana asteittain lopetettava</w:t>
            </w:r>
            <w:r w:rsidR="00201DF4" w:rsidRPr="0028514E">
              <w:rPr>
                <w:b/>
              </w:rPr>
              <w:t xml:space="preserve"> </w:t>
            </w:r>
            <w:r w:rsidRPr="0028514E">
              <w:rPr>
                <w:b/>
              </w:rPr>
              <w:t>prednisonihoito N = 51</w:t>
            </w:r>
          </w:p>
        </w:tc>
        <w:tc>
          <w:tcPr>
            <w:tcW w:w="1701" w:type="dxa"/>
            <w:tcBorders>
              <w:top w:val="single" w:sz="4" w:space="0" w:color="auto"/>
              <w:left w:val="single" w:sz="4" w:space="0" w:color="auto"/>
              <w:bottom w:val="single" w:sz="4" w:space="0" w:color="auto"/>
              <w:right w:val="single" w:sz="4" w:space="0" w:color="auto"/>
            </w:tcBorders>
          </w:tcPr>
          <w:p w14:paraId="39EC7C29" w14:textId="1A38605A" w:rsidR="003B7027" w:rsidRPr="0028514E" w:rsidRDefault="003F37BF" w:rsidP="00C974BF">
            <w:pPr>
              <w:pStyle w:val="TableParagraph"/>
              <w:keepNext/>
              <w:jc w:val="center"/>
              <w:rPr>
                <w:b/>
              </w:rPr>
            </w:pPr>
            <w:r>
              <w:rPr>
                <w:b/>
              </w:rPr>
              <w:t>Tosilitsumabi</w:t>
            </w:r>
            <w:r w:rsidRPr="0028514E">
              <w:rPr>
                <w:b/>
              </w:rPr>
              <w:t xml:space="preserve"> </w:t>
            </w:r>
            <w:r w:rsidR="00D440EB">
              <w:rPr>
                <w:b/>
              </w:rPr>
              <w:br/>
            </w:r>
            <w:r w:rsidR="00296A74" w:rsidRPr="0028514E">
              <w:rPr>
                <w:b/>
              </w:rPr>
              <w:t>162 mg</w:t>
            </w:r>
            <w:r w:rsidR="00201DF4" w:rsidRPr="0028514E">
              <w:rPr>
                <w:b/>
              </w:rPr>
              <w:t xml:space="preserve"> </w:t>
            </w:r>
            <w:r w:rsidR="00296A74" w:rsidRPr="0028514E">
              <w:rPr>
                <w:b/>
              </w:rPr>
              <w:t>s.c. kerran viikossa</w:t>
            </w:r>
            <w:r w:rsidR="00201DF4" w:rsidRPr="0028514E">
              <w:rPr>
                <w:b/>
              </w:rPr>
              <w:t xml:space="preserve"> </w:t>
            </w:r>
            <w:r w:rsidR="00296A74" w:rsidRPr="0028514E">
              <w:rPr>
                <w:b/>
              </w:rPr>
              <w:t>+ 26 viikon aikana asteittain lopetettava prednisonihoito</w:t>
            </w:r>
            <w:r w:rsidR="005175E0">
              <w:rPr>
                <w:b/>
              </w:rPr>
              <w:t xml:space="preserve"> </w:t>
            </w:r>
            <w:r w:rsidR="005175E0">
              <w:rPr>
                <w:b/>
              </w:rPr>
              <w:br/>
            </w:r>
            <w:r w:rsidR="00296A74" w:rsidRPr="0028514E">
              <w:rPr>
                <w:b/>
              </w:rPr>
              <w:t>N = 100</w:t>
            </w:r>
          </w:p>
        </w:tc>
        <w:tc>
          <w:tcPr>
            <w:tcW w:w="1843" w:type="dxa"/>
            <w:tcBorders>
              <w:top w:val="single" w:sz="4" w:space="0" w:color="auto"/>
              <w:left w:val="single" w:sz="4" w:space="0" w:color="auto"/>
              <w:bottom w:val="single" w:sz="4" w:space="0" w:color="auto"/>
              <w:right w:val="single" w:sz="4" w:space="0" w:color="auto"/>
            </w:tcBorders>
          </w:tcPr>
          <w:p w14:paraId="40641659" w14:textId="7FD52167" w:rsidR="003B7027" w:rsidRPr="0028514E" w:rsidRDefault="003F37BF" w:rsidP="00C974BF">
            <w:pPr>
              <w:pStyle w:val="TableParagraph"/>
              <w:keepNext/>
              <w:jc w:val="center"/>
              <w:rPr>
                <w:b/>
              </w:rPr>
            </w:pPr>
            <w:r>
              <w:rPr>
                <w:b/>
              </w:rPr>
              <w:t>Tosilitsumabi</w:t>
            </w:r>
            <w:r w:rsidRPr="0028514E">
              <w:rPr>
                <w:b/>
              </w:rPr>
              <w:t xml:space="preserve"> </w:t>
            </w:r>
            <w:r w:rsidR="00D440EB">
              <w:rPr>
                <w:b/>
              </w:rPr>
              <w:br/>
            </w:r>
            <w:r w:rsidR="00296A74" w:rsidRPr="0028514E">
              <w:rPr>
                <w:b/>
              </w:rPr>
              <w:t>162 mg s.c. joka toinen viikko + 26 viikon aikana</w:t>
            </w:r>
            <w:r w:rsidR="00201DF4" w:rsidRPr="0028514E">
              <w:rPr>
                <w:b/>
              </w:rPr>
              <w:t xml:space="preserve"> </w:t>
            </w:r>
            <w:r w:rsidR="00296A74" w:rsidRPr="0028514E">
              <w:rPr>
                <w:b/>
              </w:rPr>
              <w:t>asteittain lopetettava prednisonihoito</w:t>
            </w:r>
            <w:r w:rsidR="00C549F7" w:rsidRPr="0028514E">
              <w:rPr>
                <w:b/>
              </w:rPr>
              <w:t xml:space="preserve"> </w:t>
            </w:r>
            <w:r w:rsidR="00296A74" w:rsidRPr="0028514E">
              <w:rPr>
                <w:b/>
              </w:rPr>
              <w:t>N = 49</w:t>
            </w:r>
          </w:p>
        </w:tc>
      </w:tr>
      <w:tr w:rsidR="005175E0" w:rsidRPr="00777B93" w14:paraId="68ACE0B3" w14:textId="77777777" w:rsidTr="00C974BF">
        <w:trPr>
          <w:trHeight w:val="20"/>
        </w:trPr>
        <w:tc>
          <w:tcPr>
            <w:tcW w:w="8926" w:type="dxa"/>
            <w:gridSpan w:val="5"/>
            <w:tcBorders>
              <w:top w:val="single" w:sz="8" w:space="0" w:color="000000"/>
              <w:left w:val="single" w:sz="4" w:space="0" w:color="000000"/>
              <w:bottom w:val="single" w:sz="4" w:space="0" w:color="auto"/>
              <w:right w:val="single" w:sz="8" w:space="0" w:color="000000"/>
            </w:tcBorders>
          </w:tcPr>
          <w:p w14:paraId="3333E389" w14:textId="77777777" w:rsidR="005175E0" w:rsidRPr="0028514E" w:rsidRDefault="005175E0" w:rsidP="00C974BF">
            <w:pPr>
              <w:pStyle w:val="TableParagraph"/>
              <w:keepNext/>
            </w:pPr>
            <w:r w:rsidRPr="005175E0">
              <w:rPr>
                <w:b/>
                <w:bCs/>
              </w:rPr>
              <w:t>Kesto (vrk)</w:t>
            </w:r>
          </w:p>
        </w:tc>
      </w:tr>
      <w:tr w:rsidR="003B7027" w:rsidRPr="00777B93" w14:paraId="1A800050" w14:textId="77777777" w:rsidTr="00C974BF">
        <w:trPr>
          <w:trHeight w:val="20"/>
        </w:trPr>
        <w:tc>
          <w:tcPr>
            <w:tcW w:w="1696" w:type="dxa"/>
            <w:tcBorders>
              <w:top w:val="single" w:sz="4" w:space="0" w:color="auto"/>
              <w:left w:val="single" w:sz="4" w:space="0" w:color="auto"/>
              <w:bottom w:val="single" w:sz="4" w:space="0" w:color="auto"/>
              <w:right w:val="single" w:sz="4" w:space="0" w:color="auto"/>
            </w:tcBorders>
          </w:tcPr>
          <w:p w14:paraId="4B351C60" w14:textId="77777777" w:rsidR="003B7027" w:rsidRPr="0028514E" w:rsidRDefault="00296A74" w:rsidP="00C974BF">
            <w:pPr>
              <w:pStyle w:val="TableParagraph"/>
              <w:jc w:val="center"/>
            </w:pPr>
            <w:r w:rsidRPr="0028514E">
              <w:t>Keskiarvo (keskihajonta)</w:t>
            </w:r>
          </w:p>
        </w:tc>
        <w:tc>
          <w:tcPr>
            <w:tcW w:w="1843" w:type="dxa"/>
            <w:tcBorders>
              <w:top w:val="single" w:sz="4" w:space="0" w:color="auto"/>
              <w:left w:val="single" w:sz="4" w:space="0" w:color="auto"/>
              <w:bottom w:val="single" w:sz="4" w:space="0" w:color="auto"/>
              <w:right w:val="single" w:sz="4" w:space="0" w:color="auto"/>
            </w:tcBorders>
          </w:tcPr>
          <w:p w14:paraId="4F8E778D" w14:textId="77777777" w:rsidR="003B7027" w:rsidRPr="0028514E" w:rsidRDefault="00296A74" w:rsidP="006E5F9A">
            <w:pPr>
              <w:pStyle w:val="TableParagraph"/>
              <w:jc w:val="center"/>
            </w:pPr>
            <w:r w:rsidRPr="0028514E">
              <w:t>35,7 (11.5)</w:t>
            </w:r>
          </w:p>
        </w:tc>
        <w:tc>
          <w:tcPr>
            <w:tcW w:w="1843" w:type="dxa"/>
            <w:tcBorders>
              <w:top w:val="single" w:sz="4" w:space="0" w:color="auto"/>
              <w:left w:val="single" w:sz="4" w:space="0" w:color="auto"/>
              <w:bottom w:val="single" w:sz="4" w:space="0" w:color="auto"/>
              <w:right w:val="single" w:sz="4" w:space="0" w:color="auto"/>
            </w:tcBorders>
          </w:tcPr>
          <w:p w14:paraId="278D2C8C" w14:textId="77777777" w:rsidR="003B7027" w:rsidRPr="0028514E" w:rsidRDefault="00296A74" w:rsidP="006E5F9A">
            <w:pPr>
              <w:pStyle w:val="TableParagraph"/>
              <w:jc w:val="center"/>
            </w:pPr>
            <w:r w:rsidRPr="0028514E">
              <w:t>36,3 (12.5)</w:t>
            </w:r>
          </w:p>
        </w:tc>
        <w:tc>
          <w:tcPr>
            <w:tcW w:w="1701" w:type="dxa"/>
            <w:tcBorders>
              <w:top w:val="single" w:sz="4" w:space="0" w:color="auto"/>
              <w:left w:val="single" w:sz="4" w:space="0" w:color="auto"/>
              <w:bottom w:val="single" w:sz="4" w:space="0" w:color="auto"/>
              <w:right w:val="single" w:sz="4" w:space="0" w:color="auto"/>
            </w:tcBorders>
          </w:tcPr>
          <w:p w14:paraId="6DF2C5E8" w14:textId="77777777" w:rsidR="003B7027" w:rsidRPr="0028514E" w:rsidRDefault="00296A74" w:rsidP="006E5F9A">
            <w:pPr>
              <w:pStyle w:val="TableParagraph"/>
              <w:jc w:val="center"/>
            </w:pPr>
            <w:r w:rsidRPr="0028514E">
              <w:t>35,6 (13,2)</w:t>
            </w:r>
          </w:p>
        </w:tc>
        <w:tc>
          <w:tcPr>
            <w:tcW w:w="1843" w:type="dxa"/>
            <w:tcBorders>
              <w:top w:val="single" w:sz="4" w:space="0" w:color="auto"/>
              <w:left w:val="single" w:sz="4" w:space="0" w:color="auto"/>
              <w:bottom w:val="single" w:sz="4" w:space="0" w:color="auto"/>
              <w:right w:val="single" w:sz="4" w:space="0" w:color="auto"/>
            </w:tcBorders>
          </w:tcPr>
          <w:p w14:paraId="159F4753" w14:textId="77777777" w:rsidR="003B7027" w:rsidRPr="0028514E" w:rsidRDefault="00296A74" w:rsidP="006E5F9A">
            <w:pPr>
              <w:pStyle w:val="TableParagraph"/>
              <w:jc w:val="center"/>
            </w:pPr>
            <w:r w:rsidRPr="0028514E">
              <w:t>37,4 (14,4)</w:t>
            </w:r>
          </w:p>
        </w:tc>
      </w:tr>
      <w:tr w:rsidR="003B7027" w:rsidRPr="00777B93" w14:paraId="70FA4A6B" w14:textId="77777777" w:rsidTr="00C974BF">
        <w:trPr>
          <w:trHeight w:val="20"/>
        </w:trPr>
        <w:tc>
          <w:tcPr>
            <w:tcW w:w="1696" w:type="dxa"/>
            <w:tcBorders>
              <w:top w:val="single" w:sz="4" w:space="0" w:color="auto"/>
              <w:left w:val="single" w:sz="4" w:space="0" w:color="auto"/>
              <w:bottom w:val="single" w:sz="4" w:space="0" w:color="auto"/>
              <w:right w:val="single" w:sz="4" w:space="0" w:color="auto"/>
            </w:tcBorders>
          </w:tcPr>
          <w:p w14:paraId="3B98C9A4" w14:textId="77777777" w:rsidR="003B7027" w:rsidRPr="0028514E" w:rsidRDefault="00296A74" w:rsidP="00C974BF">
            <w:pPr>
              <w:pStyle w:val="TableParagraph"/>
              <w:jc w:val="center"/>
            </w:pPr>
            <w:r w:rsidRPr="0028514E">
              <w:t>Mediaani</w:t>
            </w:r>
          </w:p>
        </w:tc>
        <w:tc>
          <w:tcPr>
            <w:tcW w:w="1843" w:type="dxa"/>
            <w:tcBorders>
              <w:top w:val="single" w:sz="4" w:space="0" w:color="auto"/>
              <w:left w:val="single" w:sz="4" w:space="0" w:color="auto"/>
              <w:bottom w:val="single" w:sz="4" w:space="0" w:color="auto"/>
              <w:right w:val="single" w:sz="4" w:space="0" w:color="auto"/>
            </w:tcBorders>
          </w:tcPr>
          <w:p w14:paraId="6F7C647A" w14:textId="77777777" w:rsidR="003B7027" w:rsidRPr="0028514E" w:rsidRDefault="00296A74" w:rsidP="006E5F9A">
            <w:pPr>
              <w:pStyle w:val="TableParagraph"/>
              <w:jc w:val="center"/>
            </w:pPr>
            <w:r w:rsidRPr="0028514E">
              <w:t>42,0</w:t>
            </w:r>
          </w:p>
        </w:tc>
        <w:tc>
          <w:tcPr>
            <w:tcW w:w="1843" w:type="dxa"/>
            <w:tcBorders>
              <w:top w:val="single" w:sz="4" w:space="0" w:color="auto"/>
              <w:left w:val="single" w:sz="4" w:space="0" w:color="auto"/>
              <w:bottom w:val="single" w:sz="4" w:space="0" w:color="auto"/>
              <w:right w:val="single" w:sz="4" w:space="0" w:color="auto"/>
            </w:tcBorders>
          </w:tcPr>
          <w:p w14:paraId="12279C9A" w14:textId="77777777" w:rsidR="003B7027" w:rsidRPr="0028514E" w:rsidRDefault="00296A74" w:rsidP="006E5F9A">
            <w:pPr>
              <w:pStyle w:val="TableParagraph"/>
              <w:jc w:val="center"/>
            </w:pPr>
            <w:r w:rsidRPr="0028514E">
              <w:t>41,0</w:t>
            </w:r>
          </w:p>
        </w:tc>
        <w:tc>
          <w:tcPr>
            <w:tcW w:w="1701" w:type="dxa"/>
            <w:tcBorders>
              <w:top w:val="single" w:sz="4" w:space="0" w:color="auto"/>
              <w:left w:val="single" w:sz="4" w:space="0" w:color="auto"/>
              <w:bottom w:val="single" w:sz="4" w:space="0" w:color="auto"/>
              <w:right w:val="single" w:sz="4" w:space="0" w:color="auto"/>
            </w:tcBorders>
          </w:tcPr>
          <w:p w14:paraId="14AF723A" w14:textId="77777777" w:rsidR="003B7027" w:rsidRPr="0028514E" w:rsidRDefault="00296A74" w:rsidP="006E5F9A">
            <w:pPr>
              <w:pStyle w:val="TableParagraph"/>
              <w:jc w:val="center"/>
            </w:pPr>
            <w:r w:rsidRPr="0028514E">
              <w:t>41,0</w:t>
            </w:r>
          </w:p>
        </w:tc>
        <w:tc>
          <w:tcPr>
            <w:tcW w:w="1843" w:type="dxa"/>
            <w:tcBorders>
              <w:top w:val="single" w:sz="4" w:space="0" w:color="auto"/>
              <w:left w:val="single" w:sz="4" w:space="0" w:color="auto"/>
              <w:bottom w:val="single" w:sz="4" w:space="0" w:color="auto"/>
              <w:right w:val="single" w:sz="4" w:space="0" w:color="auto"/>
            </w:tcBorders>
          </w:tcPr>
          <w:p w14:paraId="29BDC9FA" w14:textId="77777777" w:rsidR="003B7027" w:rsidRPr="0028514E" w:rsidRDefault="00296A74" w:rsidP="006E5F9A">
            <w:pPr>
              <w:pStyle w:val="TableParagraph"/>
              <w:jc w:val="center"/>
            </w:pPr>
            <w:r w:rsidRPr="0028514E">
              <w:t>42,0</w:t>
            </w:r>
          </w:p>
        </w:tc>
      </w:tr>
      <w:tr w:rsidR="003B7027" w:rsidRPr="00777B93" w14:paraId="050FF25E" w14:textId="77777777" w:rsidTr="00C974BF">
        <w:trPr>
          <w:trHeight w:val="20"/>
        </w:trPr>
        <w:tc>
          <w:tcPr>
            <w:tcW w:w="1696" w:type="dxa"/>
            <w:tcBorders>
              <w:top w:val="single" w:sz="4" w:space="0" w:color="auto"/>
              <w:left w:val="single" w:sz="4" w:space="0" w:color="auto"/>
              <w:bottom w:val="single" w:sz="4" w:space="0" w:color="auto"/>
              <w:right w:val="single" w:sz="4" w:space="0" w:color="auto"/>
            </w:tcBorders>
          </w:tcPr>
          <w:p w14:paraId="4D05D977" w14:textId="77777777" w:rsidR="003B7027" w:rsidRPr="0028514E" w:rsidRDefault="00296A74" w:rsidP="00C974BF">
            <w:pPr>
              <w:pStyle w:val="TableParagraph"/>
              <w:jc w:val="center"/>
            </w:pPr>
            <w:r w:rsidRPr="0028514E">
              <w:t>Min - Max</w:t>
            </w:r>
          </w:p>
        </w:tc>
        <w:tc>
          <w:tcPr>
            <w:tcW w:w="1843" w:type="dxa"/>
            <w:tcBorders>
              <w:top w:val="single" w:sz="4" w:space="0" w:color="auto"/>
              <w:left w:val="single" w:sz="4" w:space="0" w:color="auto"/>
              <w:bottom w:val="single" w:sz="4" w:space="0" w:color="auto"/>
              <w:right w:val="single" w:sz="4" w:space="0" w:color="auto"/>
            </w:tcBorders>
          </w:tcPr>
          <w:p w14:paraId="747487F6" w14:textId="77777777" w:rsidR="003B7027" w:rsidRPr="0028514E" w:rsidRDefault="00296A74" w:rsidP="006E5F9A">
            <w:pPr>
              <w:pStyle w:val="TableParagraph"/>
              <w:jc w:val="center"/>
            </w:pPr>
            <w:r w:rsidRPr="0028514E">
              <w:t>6–63</w:t>
            </w:r>
          </w:p>
        </w:tc>
        <w:tc>
          <w:tcPr>
            <w:tcW w:w="1843" w:type="dxa"/>
            <w:tcBorders>
              <w:top w:val="single" w:sz="4" w:space="0" w:color="auto"/>
              <w:left w:val="single" w:sz="4" w:space="0" w:color="auto"/>
              <w:bottom w:val="single" w:sz="4" w:space="0" w:color="auto"/>
              <w:right w:val="single" w:sz="4" w:space="0" w:color="auto"/>
            </w:tcBorders>
          </w:tcPr>
          <w:p w14:paraId="3590F17D" w14:textId="77777777" w:rsidR="003B7027" w:rsidRPr="0028514E" w:rsidRDefault="00296A74" w:rsidP="006E5F9A">
            <w:pPr>
              <w:pStyle w:val="TableParagraph"/>
              <w:jc w:val="center"/>
            </w:pPr>
            <w:r w:rsidRPr="0028514E">
              <w:t>12–82</w:t>
            </w:r>
          </w:p>
        </w:tc>
        <w:tc>
          <w:tcPr>
            <w:tcW w:w="1701" w:type="dxa"/>
            <w:tcBorders>
              <w:top w:val="single" w:sz="4" w:space="0" w:color="auto"/>
              <w:left w:val="single" w:sz="4" w:space="0" w:color="auto"/>
              <w:bottom w:val="single" w:sz="4" w:space="0" w:color="auto"/>
              <w:right w:val="single" w:sz="4" w:space="0" w:color="auto"/>
            </w:tcBorders>
          </w:tcPr>
          <w:p w14:paraId="148D0B79" w14:textId="77777777" w:rsidR="003B7027" w:rsidRPr="0028514E" w:rsidRDefault="00296A74" w:rsidP="006E5F9A">
            <w:pPr>
              <w:pStyle w:val="TableParagraph"/>
              <w:jc w:val="center"/>
            </w:pPr>
            <w:r w:rsidRPr="0028514E">
              <w:t>1–87</w:t>
            </w:r>
          </w:p>
        </w:tc>
        <w:tc>
          <w:tcPr>
            <w:tcW w:w="1843" w:type="dxa"/>
            <w:tcBorders>
              <w:top w:val="single" w:sz="4" w:space="0" w:color="auto"/>
              <w:left w:val="single" w:sz="4" w:space="0" w:color="auto"/>
              <w:bottom w:val="single" w:sz="4" w:space="0" w:color="auto"/>
              <w:right w:val="single" w:sz="4" w:space="0" w:color="auto"/>
            </w:tcBorders>
          </w:tcPr>
          <w:p w14:paraId="01FDEA3E" w14:textId="77777777" w:rsidR="003B7027" w:rsidRPr="0028514E" w:rsidRDefault="00296A74" w:rsidP="006E5F9A">
            <w:pPr>
              <w:pStyle w:val="TableParagraph"/>
              <w:jc w:val="center"/>
            </w:pPr>
            <w:r w:rsidRPr="0028514E">
              <w:t>9–87</w:t>
            </w:r>
          </w:p>
        </w:tc>
      </w:tr>
    </w:tbl>
    <w:p w14:paraId="4FD1A936" w14:textId="77777777" w:rsidR="00C549F7" w:rsidRPr="0028514E" w:rsidRDefault="00C549F7" w:rsidP="006E5F9A">
      <w:pPr>
        <w:pStyle w:val="a4"/>
        <w:ind w:left="0"/>
      </w:pPr>
    </w:p>
    <w:p w14:paraId="39555BC4" w14:textId="2E6F5BEA" w:rsidR="003B7027" w:rsidRPr="0028514E" w:rsidRDefault="00296A74" w:rsidP="006E5F9A">
      <w:pPr>
        <w:pStyle w:val="a4"/>
        <w:ind w:left="0"/>
      </w:pPr>
      <w:r w:rsidRPr="0028514E">
        <w:t xml:space="preserve">Tehon ensisijainen päätetapahtuma oli niiden potilaiden osuus, jotka saavuttivat pitkäkestoisen remission ilman steroidihoitoa viikolla 52, kun </w:t>
      </w:r>
      <w:r w:rsidR="003F37BF">
        <w:t>tosilitsumabi</w:t>
      </w:r>
      <w:r w:rsidRPr="0028514E">
        <w:t>hoidon ja 26 viikon aikana asteittain lopetettavan prednisonihoidon yhdistelmää verrattiin lumevalmisteen ja 26 viikon aikana asteittain lopetettavan prednisonihoidon yhdistelmään. Tutkimuksen ensisijainen päätetapahtuma saavutettiin (taulukko 4).</w:t>
      </w:r>
    </w:p>
    <w:p w14:paraId="1AAE52FC" w14:textId="77777777" w:rsidR="00C549F7" w:rsidRPr="0028514E" w:rsidRDefault="00C549F7" w:rsidP="006E5F9A">
      <w:pPr>
        <w:pStyle w:val="a4"/>
        <w:ind w:left="0"/>
      </w:pPr>
    </w:p>
    <w:p w14:paraId="2CB24CCA" w14:textId="77777777" w:rsidR="003B7027" w:rsidRPr="0028514E" w:rsidRDefault="00296A74" w:rsidP="006E5F9A">
      <w:pPr>
        <w:pStyle w:val="a4"/>
        <w:ind w:left="0"/>
      </w:pPr>
      <w:r w:rsidRPr="0028514E">
        <w:t>Tehon toissijaisena päätetapahtumana oli niiden potilaiden osuus, jotka saavuttivat pitkäkestoisen remission viikolla 52, kun tosilitsumabi-hoidon ja 26 viikon aikana asteittain lopetettavan prednisonihoidon yhdistelmää verrattiin lumevalmisteen ja 52 viikon aikana asteittain lopetettavan prednisonihoidon yhdistelmään. Myös tutkimuksen toissijainen päätetapahtuma saavutettiin (taulukko 4).</w:t>
      </w:r>
    </w:p>
    <w:p w14:paraId="4F38A08C" w14:textId="77777777" w:rsidR="003B7027" w:rsidRPr="0028514E" w:rsidRDefault="003B7027" w:rsidP="006E5F9A">
      <w:pPr>
        <w:pStyle w:val="a4"/>
        <w:ind w:left="0"/>
      </w:pPr>
    </w:p>
    <w:p w14:paraId="4A73F96B" w14:textId="24CCFB19" w:rsidR="003B7027" w:rsidRPr="0028514E" w:rsidRDefault="00296A74" w:rsidP="006E5F9A">
      <w:pPr>
        <w:pStyle w:val="a4"/>
        <w:ind w:left="0"/>
      </w:pPr>
      <w:r w:rsidRPr="0028514E">
        <w:t xml:space="preserve">Hoidon tehoa tarkasteltaessa havaittiin, että </w:t>
      </w:r>
      <w:r w:rsidR="003F37BF">
        <w:t xml:space="preserve">tosilitsumabi </w:t>
      </w:r>
      <w:r w:rsidRPr="0028514E">
        <w:t xml:space="preserve">oli tilastollisesti merkitsevästi lumevalmistetta parempi remission saavuttamisessa ilman steroidihoitoa viikolla 52, kun </w:t>
      </w:r>
      <w:r w:rsidR="003F37BF">
        <w:t xml:space="preserve">tosilitsumabin </w:t>
      </w:r>
      <w:r w:rsidRPr="0028514E">
        <w:t>ja 26 viikon aikana asteittain lopetettavan prednisonihoidon yhdistelmää verrattiin lumevalmisteen ja 26 viikon aikana asteittain lopetettavan prednisonihoidon yhdistelmään sekä lumelääkkeen ja 52 viikon aikana asteittain lopetettavan prednisonihoidon yhdistelmään.</w:t>
      </w:r>
    </w:p>
    <w:p w14:paraId="5E34608D" w14:textId="77777777" w:rsidR="00C549F7" w:rsidRPr="0028514E" w:rsidRDefault="00C549F7" w:rsidP="006E5F9A">
      <w:pPr>
        <w:pStyle w:val="a4"/>
        <w:ind w:left="0"/>
      </w:pPr>
    </w:p>
    <w:p w14:paraId="1A68E388" w14:textId="77777777" w:rsidR="003B7027" w:rsidRPr="0028514E" w:rsidRDefault="00296A74" w:rsidP="006E5F9A">
      <w:pPr>
        <w:pStyle w:val="a4"/>
        <w:ind w:left="0"/>
      </w:pPr>
      <w:r w:rsidRPr="0028514E">
        <w:t>Pitkäkestoisen remission viikolla 52 saavuttaneiden potilaiden prosenttiosuudet esitetään taulukossa 4.</w:t>
      </w:r>
    </w:p>
    <w:p w14:paraId="44ED97DF" w14:textId="77777777" w:rsidR="003B7027" w:rsidRPr="0028514E" w:rsidRDefault="003B7027" w:rsidP="006E5F9A">
      <w:pPr>
        <w:pStyle w:val="a4"/>
        <w:ind w:left="0"/>
      </w:pPr>
    </w:p>
    <w:p w14:paraId="69E81A14" w14:textId="77777777" w:rsidR="003B7027" w:rsidRPr="00CA43F5" w:rsidRDefault="00296A74" w:rsidP="00D57B3C">
      <w:pPr>
        <w:keepNext/>
        <w:keepLines/>
        <w:rPr>
          <w:i/>
          <w:lang w:val="fi-FI"/>
        </w:rPr>
      </w:pPr>
      <w:r w:rsidRPr="00CA43F5">
        <w:rPr>
          <w:i/>
          <w:lang w:val="fi-FI"/>
        </w:rPr>
        <w:lastRenderedPageBreak/>
        <w:t>Toissijaiset päätetapahtumat</w:t>
      </w:r>
    </w:p>
    <w:p w14:paraId="083D69D4" w14:textId="51FF3C2E" w:rsidR="003B7027" w:rsidRPr="0028514E" w:rsidRDefault="00296A74" w:rsidP="006E5F9A">
      <w:pPr>
        <w:pStyle w:val="a4"/>
        <w:ind w:left="0"/>
      </w:pPr>
      <w:r w:rsidRPr="0028514E">
        <w:t xml:space="preserve">Arvioitaessa aikaa jättisoluarteriitin ensimmäiseen pahenemisvaiheeseen havaittiin, että pahenemisvaiheen riski oli merkittävästi pienempi </w:t>
      </w:r>
      <w:r w:rsidR="003F37BF">
        <w:t xml:space="preserve">tosilitsumabia </w:t>
      </w:r>
      <w:r w:rsidRPr="0028514E">
        <w:t xml:space="preserve">ihon alle viikoittain saaneessa ryhmässä verrattuna lumevalmisteen ja 26 viikon aikana asteittain lopetettavan prednisonihoidon yhdistelmään sekä lumevalmisteen ja 52 viikon aikana asteittain lopetettavan prednisonihoidon yhdistelmään. Riski oli samoin pienempi </w:t>
      </w:r>
      <w:r w:rsidR="003F37BF">
        <w:t xml:space="preserve">tosilitsumabia </w:t>
      </w:r>
      <w:r w:rsidRPr="0028514E">
        <w:t xml:space="preserve">ihon alle joka toinen viikko saaneessa ryhmässä verrattuna lumevalmisteen ja 26 viikon aikana asteittain lopetettavan prednisonihoidon yhdistelmää saaneeseen ryhmään (merkitsevyystasolla 0,01 verrattuna). </w:t>
      </w:r>
      <w:r w:rsidR="003F37BF">
        <w:t>Tosilitsumabi</w:t>
      </w:r>
      <w:r w:rsidRPr="0028514E">
        <w:t>annos ihon alle viikoittain pienensi pahenemisvaiheen riskiä kliinisesti merkittävästi verrattuna lumevalmisteen ja 26 viikon aikana asteittain lopetettavan prednisonihoidon yhdistelmään myös potilailla, joilla oli tutkimukseen</w:t>
      </w:r>
      <w:r w:rsidR="00C549F7" w:rsidRPr="0028514E">
        <w:t xml:space="preserve"> </w:t>
      </w:r>
      <w:r w:rsidRPr="0028514E">
        <w:t>tullessaan relapsoitunut jättisoluarteriitti, samoin kuin potilailla, joilla sairaus oli äskettäin diagnosoitu (taulukko 4).</w:t>
      </w:r>
    </w:p>
    <w:p w14:paraId="3711A775" w14:textId="77777777" w:rsidR="003B7027" w:rsidRPr="0028514E" w:rsidRDefault="003B7027" w:rsidP="006E5F9A">
      <w:pPr>
        <w:pStyle w:val="a4"/>
        <w:ind w:left="0"/>
      </w:pPr>
    </w:p>
    <w:p w14:paraId="3B520B3F" w14:textId="77777777" w:rsidR="003B7027" w:rsidRPr="00CA43F5" w:rsidRDefault="00296A74" w:rsidP="006E5F9A">
      <w:pPr>
        <w:rPr>
          <w:i/>
          <w:lang w:val="fi-FI"/>
        </w:rPr>
      </w:pPr>
      <w:r w:rsidRPr="00CA43F5">
        <w:rPr>
          <w:i/>
          <w:lang w:val="fi-FI"/>
        </w:rPr>
        <w:t>Kumulatiivinen glukokortikoidiannos</w:t>
      </w:r>
    </w:p>
    <w:p w14:paraId="55863E43" w14:textId="28EA0A8C" w:rsidR="003B7027" w:rsidRPr="0028514E" w:rsidRDefault="00296A74" w:rsidP="006E5F9A">
      <w:pPr>
        <w:pStyle w:val="a4"/>
        <w:ind w:left="0"/>
      </w:pPr>
      <w:r w:rsidRPr="0028514E">
        <w:t xml:space="preserve">Kumulatiivinen prednisoniannos oli viikolla 52 huomattavasti pienempi kahdessa </w:t>
      </w:r>
      <w:r w:rsidR="003F37BF">
        <w:t xml:space="preserve">tosilitsumabia </w:t>
      </w:r>
      <w:r w:rsidRPr="0028514E">
        <w:t xml:space="preserve">saaneessa ryhmässä verrattuna kahteen lumeryhmään (taulukko 4). Erillisessä analyysissä potilaista, jotka saivat jättisoluarteriitin äkillisen pahenemisvaiheen hoitoon prednisonia ensimmäisten 52 viikon aikana, kumulatiivinen prednisoniannos vaihteli huomattavasti. Pahenemisvaiheeseen hoitoa saaneiden potilaiden annosten mediaani oli </w:t>
      </w:r>
      <w:r w:rsidR="003F37BF">
        <w:t xml:space="preserve">tosilitsumabia </w:t>
      </w:r>
      <w:r w:rsidRPr="0028514E">
        <w:t xml:space="preserve">viikoittain saaneilla potilailla 3129,75 mg ja </w:t>
      </w:r>
      <w:r w:rsidR="003F37BF">
        <w:t xml:space="preserve">tosilitsumabia </w:t>
      </w:r>
      <w:r w:rsidRPr="0028514E">
        <w:t>joka toinen viikko saaneilla potilailla 3847 mg. Kumpikin on huomattavasti pienempi kuin lumevalmistetta ja 26 viikon aikana asteittain lopetettavaa prednisonihoitoa saaneessa ryhmässä (4023,5 mg) tai lumevalmistetta ja 52 viikon aikana asteittain lopetettavaa prednisonihoitoa saaneessa ryhmässä (5389,5 mg).</w:t>
      </w:r>
    </w:p>
    <w:p w14:paraId="1A0F6A08" w14:textId="77777777" w:rsidR="00C549F7" w:rsidRPr="0028514E" w:rsidRDefault="00C549F7" w:rsidP="006E5F9A">
      <w:pPr>
        <w:pStyle w:val="a4"/>
        <w:ind w:left="0"/>
      </w:pPr>
    </w:p>
    <w:p w14:paraId="5C6378A4" w14:textId="77777777" w:rsidR="003B7027" w:rsidRPr="00470998" w:rsidRDefault="00296A74" w:rsidP="00470998">
      <w:pPr>
        <w:pStyle w:val="TableParagraph"/>
        <w:ind w:left="1418" w:hanging="1418"/>
        <w:rPr>
          <w:i/>
          <w:iCs/>
        </w:rPr>
      </w:pPr>
      <w:r w:rsidRPr="00470998">
        <w:rPr>
          <w:i/>
          <w:iCs/>
        </w:rPr>
        <w:t>Taulukko 4.</w:t>
      </w:r>
      <w:r w:rsidR="00C549F7" w:rsidRPr="00470998">
        <w:rPr>
          <w:i/>
          <w:iCs/>
        </w:rPr>
        <w:tab/>
      </w:r>
      <w:r w:rsidRPr="00470998">
        <w:rPr>
          <w:i/>
          <w:iCs/>
        </w:rPr>
        <w:t>Tutkimuksen WA28119 tehoa koskevat tulokset</w:t>
      </w:r>
    </w:p>
    <w:p w14:paraId="6F180D35" w14:textId="77777777" w:rsidR="00C549F7" w:rsidRPr="00CA43F5" w:rsidRDefault="00C549F7" w:rsidP="002A56B1">
      <w:pPr>
        <w:rPr>
          <w:lang w:val="fi-FI"/>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2758"/>
        <w:gridCol w:w="1565"/>
        <w:gridCol w:w="1618"/>
        <w:gridCol w:w="1589"/>
        <w:gridCol w:w="1534"/>
      </w:tblGrid>
      <w:tr w:rsidR="00C549F7" w:rsidRPr="00777B93" w14:paraId="7653ED35" w14:textId="77777777" w:rsidTr="00C82B5A">
        <w:trPr>
          <w:trHeight w:val="20"/>
          <w:tblHeader/>
        </w:trPr>
        <w:tc>
          <w:tcPr>
            <w:tcW w:w="2830" w:type="dxa"/>
          </w:tcPr>
          <w:p w14:paraId="08BF9E19" w14:textId="77777777" w:rsidR="00C549F7" w:rsidRPr="002A56B1" w:rsidRDefault="00C549F7" w:rsidP="006E5F9A">
            <w:pPr>
              <w:pStyle w:val="TableParagraph"/>
              <w:jc w:val="center"/>
              <w:rPr>
                <w:b/>
                <w:sz w:val="20"/>
                <w:szCs w:val="20"/>
              </w:rPr>
            </w:pPr>
          </w:p>
        </w:tc>
        <w:tc>
          <w:tcPr>
            <w:tcW w:w="1603" w:type="dxa"/>
          </w:tcPr>
          <w:p w14:paraId="3A20D1AA" w14:textId="77777777" w:rsidR="00C549F7" w:rsidRPr="002A56B1" w:rsidRDefault="00C549F7" w:rsidP="006E5F9A">
            <w:pPr>
              <w:pStyle w:val="TableParagraph"/>
              <w:jc w:val="center"/>
              <w:rPr>
                <w:b/>
                <w:sz w:val="20"/>
                <w:szCs w:val="20"/>
              </w:rPr>
            </w:pPr>
            <w:r w:rsidRPr="002A56B1">
              <w:rPr>
                <w:b/>
                <w:sz w:val="20"/>
                <w:szCs w:val="20"/>
              </w:rPr>
              <w:t>Lumevalmiste + 26 viikon aikana asteittain lopetettava prednisonihoito</w:t>
            </w:r>
          </w:p>
          <w:p w14:paraId="18184386" w14:textId="77777777" w:rsidR="00C549F7" w:rsidRPr="002A56B1" w:rsidRDefault="00C549F7" w:rsidP="006E5F9A">
            <w:pPr>
              <w:pStyle w:val="TableParagraph"/>
              <w:jc w:val="center"/>
              <w:rPr>
                <w:b/>
                <w:sz w:val="20"/>
                <w:szCs w:val="20"/>
              </w:rPr>
            </w:pPr>
            <w:r w:rsidRPr="002A56B1">
              <w:rPr>
                <w:b/>
                <w:sz w:val="20"/>
                <w:szCs w:val="20"/>
              </w:rPr>
              <w:t>N = 50</w:t>
            </w:r>
          </w:p>
        </w:tc>
        <w:tc>
          <w:tcPr>
            <w:tcW w:w="1658" w:type="dxa"/>
          </w:tcPr>
          <w:p w14:paraId="75E31A35" w14:textId="77777777" w:rsidR="00C549F7" w:rsidRPr="002A56B1" w:rsidRDefault="00C549F7" w:rsidP="006E5F9A">
            <w:pPr>
              <w:pStyle w:val="TableParagraph"/>
              <w:jc w:val="center"/>
              <w:rPr>
                <w:b/>
                <w:sz w:val="20"/>
                <w:szCs w:val="20"/>
              </w:rPr>
            </w:pPr>
            <w:r w:rsidRPr="002A56B1">
              <w:rPr>
                <w:b/>
                <w:sz w:val="20"/>
                <w:szCs w:val="20"/>
              </w:rPr>
              <w:t>Lumevalmiste + 52 viikon aikana asteittain lopetettava prednisonihoito N = 51</w:t>
            </w:r>
          </w:p>
        </w:tc>
        <w:tc>
          <w:tcPr>
            <w:tcW w:w="1628" w:type="dxa"/>
          </w:tcPr>
          <w:p w14:paraId="24715BBE" w14:textId="35A35AD3" w:rsidR="00C549F7" w:rsidRPr="002A56B1" w:rsidRDefault="003F37BF" w:rsidP="006E5F9A">
            <w:pPr>
              <w:pStyle w:val="TableParagraph"/>
              <w:jc w:val="center"/>
              <w:rPr>
                <w:b/>
                <w:sz w:val="20"/>
                <w:szCs w:val="20"/>
              </w:rPr>
            </w:pPr>
            <w:r>
              <w:rPr>
                <w:b/>
                <w:sz w:val="20"/>
                <w:szCs w:val="20"/>
              </w:rPr>
              <w:t>Tosilitsumabi</w:t>
            </w:r>
            <w:r w:rsidRPr="002A56B1">
              <w:rPr>
                <w:b/>
                <w:sz w:val="20"/>
                <w:szCs w:val="20"/>
              </w:rPr>
              <w:t xml:space="preserve"> </w:t>
            </w:r>
            <w:r w:rsidR="00D440EB">
              <w:rPr>
                <w:b/>
                <w:sz w:val="20"/>
                <w:szCs w:val="20"/>
              </w:rPr>
              <w:br/>
            </w:r>
            <w:r w:rsidR="00C549F7" w:rsidRPr="002A56B1">
              <w:rPr>
                <w:b/>
                <w:sz w:val="20"/>
                <w:szCs w:val="20"/>
              </w:rPr>
              <w:t>162 mg ihon alle viikoittain + 26 viikon aikana asteittain lopetettava prednisonihoito</w:t>
            </w:r>
          </w:p>
          <w:p w14:paraId="2BD93E7F" w14:textId="77777777" w:rsidR="00C549F7" w:rsidRPr="002A56B1" w:rsidRDefault="00C549F7" w:rsidP="006E5F9A">
            <w:pPr>
              <w:pStyle w:val="TableParagraph"/>
              <w:jc w:val="center"/>
              <w:rPr>
                <w:b/>
                <w:sz w:val="20"/>
                <w:szCs w:val="20"/>
              </w:rPr>
            </w:pPr>
            <w:r w:rsidRPr="002A56B1">
              <w:rPr>
                <w:b/>
                <w:sz w:val="20"/>
                <w:szCs w:val="20"/>
              </w:rPr>
              <w:t>N = 100</w:t>
            </w:r>
          </w:p>
        </w:tc>
        <w:tc>
          <w:tcPr>
            <w:tcW w:w="1571" w:type="dxa"/>
          </w:tcPr>
          <w:p w14:paraId="483F6A00" w14:textId="56E032CF" w:rsidR="00C549F7" w:rsidRPr="002A56B1" w:rsidRDefault="003F37BF" w:rsidP="006E5F9A">
            <w:pPr>
              <w:pStyle w:val="TableParagraph"/>
              <w:jc w:val="center"/>
              <w:rPr>
                <w:b/>
                <w:sz w:val="20"/>
                <w:szCs w:val="20"/>
              </w:rPr>
            </w:pPr>
            <w:r>
              <w:rPr>
                <w:b/>
                <w:sz w:val="20"/>
                <w:szCs w:val="20"/>
              </w:rPr>
              <w:t>Tosilitsumabi</w:t>
            </w:r>
            <w:r w:rsidRPr="002A56B1">
              <w:rPr>
                <w:b/>
                <w:sz w:val="20"/>
                <w:szCs w:val="20"/>
              </w:rPr>
              <w:t xml:space="preserve"> </w:t>
            </w:r>
            <w:r w:rsidR="00D440EB">
              <w:rPr>
                <w:b/>
                <w:sz w:val="20"/>
                <w:szCs w:val="20"/>
              </w:rPr>
              <w:br/>
            </w:r>
            <w:r w:rsidR="00C549F7" w:rsidRPr="002A56B1">
              <w:rPr>
                <w:b/>
                <w:sz w:val="20"/>
                <w:szCs w:val="20"/>
              </w:rPr>
              <w:t>162 mg ihon alle joka toinen viikko + 26 viikon aikana asteittain lopetettava prednisonihoito</w:t>
            </w:r>
          </w:p>
          <w:p w14:paraId="43D25000" w14:textId="77777777" w:rsidR="00C549F7" w:rsidRPr="002A56B1" w:rsidRDefault="00C549F7" w:rsidP="006E5F9A">
            <w:pPr>
              <w:pStyle w:val="TableParagraph"/>
              <w:jc w:val="center"/>
              <w:rPr>
                <w:b/>
                <w:sz w:val="20"/>
                <w:szCs w:val="20"/>
              </w:rPr>
            </w:pPr>
            <w:r w:rsidRPr="002A56B1">
              <w:rPr>
                <w:b/>
                <w:sz w:val="20"/>
                <w:szCs w:val="20"/>
              </w:rPr>
              <w:t>N = 49</w:t>
            </w:r>
          </w:p>
        </w:tc>
      </w:tr>
      <w:tr w:rsidR="003B7027" w:rsidRPr="00777B93" w14:paraId="3E247ED6" w14:textId="77777777" w:rsidTr="00C82B5A">
        <w:trPr>
          <w:trHeight w:val="20"/>
        </w:trPr>
        <w:tc>
          <w:tcPr>
            <w:tcW w:w="9290" w:type="dxa"/>
            <w:gridSpan w:val="5"/>
          </w:tcPr>
          <w:p w14:paraId="0CC008F6" w14:textId="77777777" w:rsidR="003B7027" w:rsidRPr="002A56B1" w:rsidRDefault="00296A74" w:rsidP="006E5F9A">
            <w:pPr>
              <w:pStyle w:val="TableParagraph"/>
              <w:rPr>
                <w:b/>
                <w:sz w:val="20"/>
                <w:szCs w:val="20"/>
              </w:rPr>
            </w:pPr>
            <w:r w:rsidRPr="002A56B1">
              <w:rPr>
                <w:b/>
                <w:sz w:val="20"/>
                <w:szCs w:val="20"/>
              </w:rPr>
              <w:t>Ensisijainen päätetapahtuma</w:t>
            </w:r>
          </w:p>
        </w:tc>
      </w:tr>
      <w:tr w:rsidR="003B7027" w:rsidRPr="00ED6BAC" w14:paraId="64D7FDB8" w14:textId="77777777" w:rsidTr="00C82B5A">
        <w:trPr>
          <w:trHeight w:val="20"/>
        </w:trPr>
        <w:tc>
          <w:tcPr>
            <w:tcW w:w="9290" w:type="dxa"/>
            <w:gridSpan w:val="5"/>
          </w:tcPr>
          <w:p w14:paraId="1922BDCC" w14:textId="77777777" w:rsidR="003B7027" w:rsidRPr="002A56B1" w:rsidRDefault="00296A74" w:rsidP="006E5F9A">
            <w:pPr>
              <w:pStyle w:val="TableParagraph"/>
              <w:rPr>
                <w:sz w:val="20"/>
                <w:szCs w:val="20"/>
              </w:rPr>
            </w:pPr>
            <w:r w:rsidRPr="002A56B1">
              <w:rPr>
                <w:sz w:val="20"/>
                <w:szCs w:val="20"/>
              </w:rPr>
              <w:t>****Pitkäkestoinen remissio (tosilitsumabiryhmät vs lumevalmiste + 26)</w:t>
            </w:r>
          </w:p>
        </w:tc>
      </w:tr>
      <w:tr w:rsidR="003B7027" w:rsidRPr="00777B93" w14:paraId="1110D419" w14:textId="77777777" w:rsidTr="00C82B5A">
        <w:trPr>
          <w:trHeight w:val="20"/>
        </w:trPr>
        <w:tc>
          <w:tcPr>
            <w:tcW w:w="2830" w:type="dxa"/>
          </w:tcPr>
          <w:p w14:paraId="4D2D680A" w14:textId="77777777" w:rsidR="003B7027" w:rsidRPr="002A56B1" w:rsidRDefault="00296A74" w:rsidP="00C974BF">
            <w:pPr>
              <w:pStyle w:val="TableParagraph"/>
              <w:ind w:left="284"/>
              <w:rPr>
                <w:sz w:val="20"/>
                <w:szCs w:val="20"/>
              </w:rPr>
            </w:pPr>
            <w:r w:rsidRPr="002A56B1">
              <w:rPr>
                <w:sz w:val="20"/>
                <w:szCs w:val="20"/>
              </w:rPr>
              <w:t>Vasteen saaneita viikolla 52, n (%)</w:t>
            </w:r>
          </w:p>
        </w:tc>
        <w:tc>
          <w:tcPr>
            <w:tcW w:w="1603" w:type="dxa"/>
          </w:tcPr>
          <w:p w14:paraId="61FD2C8F" w14:textId="77777777" w:rsidR="003B7027" w:rsidRPr="002A56B1" w:rsidRDefault="00296A74" w:rsidP="006E5F9A">
            <w:pPr>
              <w:pStyle w:val="TableParagraph"/>
              <w:jc w:val="center"/>
              <w:rPr>
                <w:sz w:val="20"/>
                <w:szCs w:val="20"/>
              </w:rPr>
            </w:pPr>
            <w:r w:rsidRPr="002A56B1">
              <w:rPr>
                <w:sz w:val="20"/>
                <w:szCs w:val="20"/>
              </w:rPr>
              <w:t>7 (14 %)</w:t>
            </w:r>
          </w:p>
        </w:tc>
        <w:tc>
          <w:tcPr>
            <w:tcW w:w="1658" w:type="dxa"/>
          </w:tcPr>
          <w:p w14:paraId="48A35D7D" w14:textId="77777777" w:rsidR="003B7027" w:rsidRPr="002A56B1" w:rsidRDefault="00296A74" w:rsidP="006E5F9A">
            <w:pPr>
              <w:pStyle w:val="TableParagraph"/>
              <w:jc w:val="center"/>
              <w:rPr>
                <w:sz w:val="20"/>
                <w:szCs w:val="20"/>
              </w:rPr>
            </w:pPr>
            <w:r w:rsidRPr="002A56B1">
              <w:rPr>
                <w:sz w:val="20"/>
                <w:szCs w:val="20"/>
              </w:rPr>
              <w:t>9 (17,6 %)</w:t>
            </w:r>
          </w:p>
        </w:tc>
        <w:tc>
          <w:tcPr>
            <w:tcW w:w="1628" w:type="dxa"/>
          </w:tcPr>
          <w:p w14:paraId="3E4661B2" w14:textId="77777777" w:rsidR="003B7027" w:rsidRPr="002A56B1" w:rsidRDefault="00296A74" w:rsidP="006E5F9A">
            <w:pPr>
              <w:pStyle w:val="TableParagraph"/>
              <w:jc w:val="center"/>
              <w:rPr>
                <w:sz w:val="20"/>
                <w:szCs w:val="20"/>
              </w:rPr>
            </w:pPr>
            <w:r w:rsidRPr="002A56B1">
              <w:rPr>
                <w:sz w:val="20"/>
                <w:szCs w:val="20"/>
              </w:rPr>
              <w:t>56 (56 %)</w:t>
            </w:r>
          </w:p>
        </w:tc>
        <w:tc>
          <w:tcPr>
            <w:tcW w:w="1571" w:type="dxa"/>
          </w:tcPr>
          <w:p w14:paraId="2D1EC8F9" w14:textId="77777777" w:rsidR="003B7027" w:rsidRPr="002A56B1" w:rsidRDefault="00296A74" w:rsidP="006E5F9A">
            <w:pPr>
              <w:pStyle w:val="TableParagraph"/>
              <w:jc w:val="center"/>
              <w:rPr>
                <w:sz w:val="20"/>
                <w:szCs w:val="20"/>
              </w:rPr>
            </w:pPr>
            <w:r w:rsidRPr="002A56B1">
              <w:rPr>
                <w:sz w:val="20"/>
                <w:szCs w:val="20"/>
              </w:rPr>
              <w:t>26 (53,1 %)</w:t>
            </w:r>
          </w:p>
        </w:tc>
      </w:tr>
      <w:tr w:rsidR="00E67A24" w:rsidRPr="00777B93" w14:paraId="3BB86A71" w14:textId="77777777" w:rsidTr="00C82B5A">
        <w:trPr>
          <w:trHeight w:val="528"/>
        </w:trPr>
        <w:tc>
          <w:tcPr>
            <w:tcW w:w="2830" w:type="dxa"/>
          </w:tcPr>
          <w:p w14:paraId="4DA57C2D" w14:textId="77777777" w:rsidR="00E67A24" w:rsidRPr="002A56B1" w:rsidRDefault="00E67A24" w:rsidP="00C974BF">
            <w:pPr>
              <w:pStyle w:val="TableParagraph"/>
              <w:ind w:left="284"/>
              <w:rPr>
                <w:sz w:val="20"/>
                <w:szCs w:val="20"/>
              </w:rPr>
            </w:pPr>
            <w:r w:rsidRPr="002A56B1">
              <w:rPr>
                <w:sz w:val="20"/>
                <w:szCs w:val="20"/>
              </w:rPr>
              <w:t>Osuuksien korjaamaton ero</w:t>
            </w:r>
          </w:p>
          <w:p w14:paraId="6099B3EC" w14:textId="77777777" w:rsidR="00E67A24" w:rsidRPr="002A56B1" w:rsidRDefault="00E67A24" w:rsidP="00C974BF">
            <w:pPr>
              <w:pStyle w:val="TableParagraph"/>
              <w:ind w:left="284"/>
              <w:rPr>
                <w:sz w:val="20"/>
                <w:szCs w:val="20"/>
              </w:rPr>
            </w:pPr>
            <w:r w:rsidRPr="002A56B1">
              <w:rPr>
                <w:sz w:val="20"/>
                <w:szCs w:val="20"/>
              </w:rPr>
              <w:t>(99,5 %:n luottamusväli)</w:t>
            </w:r>
          </w:p>
        </w:tc>
        <w:tc>
          <w:tcPr>
            <w:tcW w:w="1603" w:type="dxa"/>
          </w:tcPr>
          <w:p w14:paraId="03983BF4" w14:textId="77777777" w:rsidR="00E67A24" w:rsidRPr="002A56B1" w:rsidRDefault="00E67A24" w:rsidP="006E5F9A">
            <w:pPr>
              <w:pStyle w:val="TableParagraph"/>
              <w:jc w:val="center"/>
              <w:rPr>
                <w:sz w:val="20"/>
                <w:szCs w:val="20"/>
              </w:rPr>
            </w:pPr>
            <w:r w:rsidRPr="002A56B1">
              <w:rPr>
                <w:sz w:val="20"/>
                <w:szCs w:val="20"/>
              </w:rPr>
              <w:t>N/A</w:t>
            </w:r>
          </w:p>
        </w:tc>
        <w:tc>
          <w:tcPr>
            <w:tcW w:w="1658" w:type="dxa"/>
          </w:tcPr>
          <w:p w14:paraId="0240C39B" w14:textId="77777777" w:rsidR="00E67A24" w:rsidRPr="002A56B1" w:rsidRDefault="00E67A24" w:rsidP="006E5F9A">
            <w:pPr>
              <w:pStyle w:val="TableParagraph"/>
              <w:jc w:val="center"/>
              <w:rPr>
                <w:sz w:val="20"/>
                <w:szCs w:val="20"/>
              </w:rPr>
            </w:pPr>
            <w:r w:rsidRPr="002A56B1">
              <w:rPr>
                <w:sz w:val="20"/>
                <w:szCs w:val="20"/>
              </w:rPr>
              <w:t>N/A</w:t>
            </w:r>
          </w:p>
        </w:tc>
        <w:tc>
          <w:tcPr>
            <w:tcW w:w="1628" w:type="dxa"/>
          </w:tcPr>
          <w:p w14:paraId="099CBB1F" w14:textId="77777777" w:rsidR="00E67A24" w:rsidRPr="002A56B1" w:rsidRDefault="00E67A24" w:rsidP="006E5F9A">
            <w:pPr>
              <w:pStyle w:val="TableParagraph"/>
              <w:jc w:val="center"/>
              <w:rPr>
                <w:sz w:val="20"/>
                <w:szCs w:val="20"/>
              </w:rPr>
            </w:pPr>
            <w:r w:rsidRPr="002A56B1">
              <w:rPr>
                <w:sz w:val="20"/>
                <w:szCs w:val="20"/>
              </w:rPr>
              <w:t>42 %*</w:t>
            </w:r>
          </w:p>
          <w:p w14:paraId="5CC35560" w14:textId="77777777" w:rsidR="00E67A24" w:rsidRPr="002A56B1" w:rsidRDefault="00E67A24" w:rsidP="006E5F9A">
            <w:pPr>
              <w:pStyle w:val="TableParagraph"/>
              <w:jc w:val="center"/>
              <w:rPr>
                <w:sz w:val="20"/>
                <w:szCs w:val="20"/>
              </w:rPr>
            </w:pPr>
            <w:r w:rsidRPr="002A56B1">
              <w:rPr>
                <w:sz w:val="20"/>
                <w:szCs w:val="20"/>
              </w:rPr>
              <w:t>(18,00, 66,00)</w:t>
            </w:r>
          </w:p>
        </w:tc>
        <w:tc>
          <w:tcPr>
            <w:tcW w:w="1571" w:type="dxa"/>
          </w:tcPr>
          <w:p w14:paraId="4CAF2ECA" w14:textId="77777777" w:rsidR="00E67A24" w:rsidRPr="002A56B1" w:rsidRDefault="00E67A24" w:rsidP="006E5F9A">
            <w:pPr>
              <w:pStyle w:val="TableParagraph"/>
              <w:jc w:val="center"/>
              <w:rPr>
                <w:sz w:val="20"/>
                <w:szCs w:val="20"/>
              </w:rPr>
            </w:pPr>
            <w:r w:rsidRPr="002A56B1">
              <w:rPr>
                <w:sz w:val="20"/>
                <w:szCs w:val="20"/>
              </w:rPr>
              <w:t>39,06 %*</w:t>
            </w:r>
          </w:p>
          <w:p w14:paraId="77A2CDA7" w14:textId="77777777" w:rsidR="00E67A24" w:rsidRPr="002A56B1" w:rsidRDefault="00E67A24" w:rsidP="006E5F9A">
            <w:pPr>
              <w:pStyle w:val="TableParagraph"/>
              <w:jc w:val="center"/>
              <w:rPr>
                <w:sz w:val="20"/>
                <w:szCs w:val="20"/>
              </w:rPr>
            </w:pPr>
            <w:r w:rsidRPr="002A56B1">
              <w:rPr>
                <w:sz w:val="20"/>
                <w:szCs w:val="20"/>
              </w:rPr>
              <w:t>(12,46, 65,66)</w:t>
            </w:r>
          </w:p>
        </w:tc>
      </w:tr>
      <w:tr w:rsidR="003B7027" w:rsidRPr="00777B93" w14:paraId="7FD2291A" w14:textId="77777777" w:rsidTr="00C82B5A">
        <w:trPr>
          <w:trHeight w:val="20"/>
        </w:trPr>
        <w:tc>
          <w:tcPr>
            <w:tcW w:w="9290" w:type="dxa"/>
            <w:gridSpan w:val="5"/>
          </w:tcPr>
          <w:p w14:paraId="2CD844BF" w14:textId="77777777" w:rsidR="003B7027" w:rsidRPr="002A56B1" w:rsidRDefault="00296A74" w:rsidP="00C82B5A">
            <w:pPr>
              <w:pStyle w:val="TableParagraph"/>
              <w:keepNext/>
              <w:rPr>
                <w:b/>
                <w:sz w:val="20"/>
                <w:szCs w:val="20"/>
              </w:rPr>
            </w:pPr>
            <w:r w:rsidRPr="002A56B1">
              <w:rPr>
                <w:b/>
                <w:sz w:val="20"/>
                <w:szCs w:val="20"/>
              </w:rPr>
              <w:t>Keskeinen toissijainen päätetapahtuma</w:t>
            </w:r>
          </w:p>
        </w:tc>
      </w:tr>
      <w:tr w:rsidR="003B7027" w:rsidRPr="00ED6BAC" w14:paraId="0C632181" w14:textId="77777777" w:rsidTr="00C82B5A">
        <w:trPr>
          <w:trHeight w:val="20"/>
        </w:trPr>
        <w:tc>
          <w:tcPr>
            <w:tcW w:w="9290" w:type="dxa"/>
            <w:gridSpan w:val="5"/>
          </w:tcPr>
          <w:p w14:paraId="3C7FC2DB" w14:textId="77777777" w:rsidR="003B7027" w:rsidRPr="002A56B1" w:rsidRDefault="00296A74" w:rsidP="006E5F9A">
            <w:pPr>
              <w:pStyle w:val="TableParagraph"/>
              <w:rPr>
                <w:sz w:val="20"/>
                <w:szCs w:val="20"/>
              </w:rPr>
            </w:pPr>
            <w:r w:rsidRPr="002A56B1">
              <w:rPr>
                <w:sz w:val="20"/>
                <w:szCs w:val="20"/>
              </w:rPr>
              <w:t>Pitkäkestoinen remissio (tosilitsumabiryhmät vs lumevalmiste + 52)</w:t>
            </w:r>
          </w:p>
        </w:tc>
      </w:tr>
      <w:tr w:rsidR="003B7027" w:rsidRPr="00777B93" w14:paraId="25AE670C" w14:textId="77777777" w:rsidTr="00C82B5A">
        <w:trPr>
          <w:trHeight w:val="20"/>
        </w:trPr>
        <w:tc>
          <w:tcPr>
            <w:tcW w:w="2830" w:type="dxa"/>
          </w:tcPr>
          <w:p w14:paraId="52091273" w14:textId="77777777" w:rsidR="003B7027" w:rsidRPr="002A56B1" w:rsidRDefault="00296A74" w:rsidP="00C974BF">
            <w:pPr>
              <w:pStyle w:val="TableParagraph"/>
              <w:ind w:left="284"/>
              <w:rPr>
                <w:sz w:val="20"/>
                <w:szCs w:val="20"/>
              </w:rPr>
            </w:pPr>
            <w:r w:rsidRPr="002A56B1">
              <w:rPr>
                <w:sz w:val="20"/>
                <w:szCs w:val="20"/>
              </w:rPr>
              <w:t>Vasteen saaneita viikolla 52, n (%)</w:t>
            </w:r>
          </w:p>
        </w:tc>
        <w:tc>
          <w:tcPr>
            <w:tcW w:w="1603" w:type="dxa"/>
          </w:tcPr>
          <w:p w14:paraId="4115B5A5" w14:textId="77777777" w:rsidR="003B7027" w:rsidRPr="002A56B1" w:rsidRDefault="00296A74" w:rsidP="006E5F9A">
            <w:pPr>
              <w:pStyle w:val="TableParagraph"/>
              <w:jc w:val="center"/>
              <w:rPr>
                <w:sz w:val="20"/>
                <w:szCs w:val="20"/>
              </w:rPr>
            </w:pPr>
            <w:r w:rsidRPr="002A56B1">
              <w:rPr>
                <w:sz w:val="20"/>
                <w:szCs w:val="20"/>
              </w:rPr>
              <w:t>7</w:t>
            </w:r>
            <w:r w:rsidR="00C549F7" w:rsidRPr="002A56B1">
              <w:rPr>
                <w:sz w:val="20"/>
                <w:szCs w:val="20"/>
              </w:rPr>
              <w:t xml:space="preserve"> </w:t>
            </w:r>
            <w:r w:rsidRPr="002A56B1">
              <w:rPr>
                <w:sz w:val="20"/>
                <w:szCs w:val="20"/>
              </w:rPr>
              <w:t>(14 %)</w:t>
            </w:r>
          </w:p>
        </w:tc>
        <w:tc>
          <w:tcPr>
            <w:tcW w:w="1658" w:type="dxa"/>
          </w:tcPr>
          <w:p w14:paraId="78E65C0C" w14:textId="77777777" w:rsidR="003B7027" w:rsidRPr="002A56B1" w:rsidRDefault="00296A74" w:rsidP="006E5F9A">
            <w:pPr>
              <w:pStyle w:val="TableParagraph"/>
              <w:jc w:val="center"/>
              <w:rPr>
                <w:sz w:val="20"/>
                <w:szCs w:val="20"/>
              </w:rPr>
            </w:pPr>
            <w:r w:rsidRPr="002A56B1">
              <w:rPr>
                <w:sz w:val="20"/>
                <w:szCs w:val="20"/>
              </w:rPr>
              <w:t>9 (17,6 %)</w:t>
            </w:r>
          </w:p>
        </w:tc>
        <w:tc>
          <w:tcPr>
            <w:tcW w:w="1628" w:type="dxa"/>
          </w:tcPr>
          <w:p w14:paraId="386621C9" w14:textId="77777777" w:rsidR="003B7027" w:rsidRPr="002A56B1" w:rsidRDefault="00296A74" w:rsidP="006E5F9A">
            <w:pPr>
              <w:pStyle w:val="TableParagraph"/>
              <w:jc w:val="center"/>
              <w:rPr>
                <w:sz w:val="20"/>
                <w:szCs w:val="20"/>
              </w:rPr>
            </w:pPr>
            <w:r w:rsidRPr="002A56B1">
              <w:rPr>
                <w:sz w:val="20"/>
                <w:szCs w:val="20"/>
              </w:rPr>
              <w:t>56 (56 %)</w:t>
            </w:r>
          </w:p>
        </w:tc>
        <w:tc>
          <w:tcPr>
            <w:tcW w:w="1571" w:type="dxa"/>
          </w:tcPr>
          <w:p w14:paraId="412AE560" w14:textId="77777777" w:rsidR="003B7027" w:rsidRPr="002A56B1" w:rsidRDefault="00296A74" w:rsidP="006E5F9A">
            <w:pPr>
              <w:pStyle w:val="TableParagraph"/>
              <w:jc w:val="center"/>
              <w:rPr>
                <w:sz w:val="20"/>
                <w:szCs w:val="20"/>
              </w:rPr>
            </w:pPr>
            <w:r w:rsidRPr="002A56B1">
              <w:rPr>
                <w:sz w:val="20"/>
                <w:szCs w:val="20"/>
              </w:rPr>
              <w:t>26 (53,1 %)</w:t>
            </w:r>
          </w:p>
        </w:tc>
      </w:tr>
      <w:tr w:rsidR="00E67A24" w:rsidRPr="00777B93" w14:paraId="706DC8EB" w14:textId="77777777" w:rsidTr="00C82B5A">
        <w:trPr>
          <w:trHeight w:val="528"/>
        </w:trPr>
        <w:tc>
          <w:tcPr>
            <w:tcW w:w="2830" w:type="dxa"/>
          </w:tcPr>
          <w:p w14:paraId="2EB402AA" w14:textId="77777777" w:rsidR="00E67A24" w:rsidRPr="002A56B1" w:rsidRDefault="00E67A24" w:rsidP="00C974BF">
            <w:pPr>
              <w:pStyle w:val="TableParagraph"/>
              <w:ind w:left="284"/>
              <w:rPr>
                <w:sz w:val="20"/>
                <w:szCs w:val="20"/>
              </w:rPr>
            </w:pPr>
            <w:r w:rsidRPr="002A56B1">
              <w:rPr>
                <w:sz w:val="20"/>
                <w:szCs w:val="20"/>
              </w:rPr>
              <w:t>Osuuksien korjaamaton ero</w:t>
            </w:r>
          </w:p>
          <w:p w14:paraId="4AD6FC4A" w14:textId="77777777" w:rsidR="00E67A24" w:rsidRPr="002A56B1" w:rsidRDefault="00E67A24" w:rsidP="00C974BF">
            <w:pPr>
              <w:pStyle w:val="TableParagraph"/>
              <w:ind w:left="284"/>
              <w:rPr>
                <w:sz w:val="20"/>
                <w:szCs w:val="20"/>
              </w:rPr>
            </w:pPr>
            <w:r w:rsidRPr="002A56B1">
              <w:rPr>
                <w:sz w:val="20"/>
                <w:szCs w:val="20"/>
              </w:rPr>
              <w:t>(99,5 %:n luottamusväli)</w:t>
            </w:r>
          </w:p>
        </w:tc>
        <w:tc>
          <w:tcPr>
            <w:tcW w:w="1603" w:type="dxa"/>
          </w:tcPr>
          <w:p w14:paraId="34997621" w14:textId="77777777" w:rsidR="00E67A24" w:rsidRPr="002A56B1" w:rsidRDefault="00E67A24" w:rsidP="006E5F9A">
            <w:pPr>
              <w:pStyle w:val="TableParagraph"/>
              <w:jc w:val="center"/>
              <w:rPr>
                <w:sz w:val="20"/>
                <w:szCs w:val="20"/>
              </w:rPr>
            </w:pPr>
            <w:r w:rsidRPr="002A56B1">
              <w:rPr>
                <w:sz w:val="20"/>
                <w:szCs w:val="20"/>
              </w:rPr>
              <w:t>N/A</w:t>
            </w:r>
          </w:p>
        </w:tc>
        <w:tc>
          <w:tcPr>
            <w:tcW w:w="1658" w:type="dxa"/>
          </w:tcPr>
          <w:p w14:paraId="7E55A242" w14:textId="77777777" w:rsidR="00E67A24" w:rsidRPr="002A56B1" w:rsidRDefault="00E67A24" w:rsidP="006E5F9A">
            <w:pPr>
              <w:pStyle w:val="TableParagraph"/>
              <w:jc w:val="center"/>
              <w:rPr>
                <w:sz w:val="20"/>
                <w:szCs w:val="20"/>
              </w:rPr>
            </w:pPr>
            <w:r w:rsidRPr="002A56B1">
              <w:rPr>
                <w:sz w:val="20"/>
                <w:szCs w:val="20"/>
              </w:rPr>
              <w:t>N/A</w:t>
            </w:r>
          </w:p>
        </w:tc>
        <w:tc>
          <w:tcPr>
            <w:tcW w:w="1628" w:type="dxa"/>
          </w:tcPr>
          <w:p w14:paraId="363EA8C0" w14:textId="77777777" w:rsidR="00E67A24" w:rsidRPr="002A56B1" w:rsidRDefault="00E67A24" w:rsidP="006E5F9A">
            <w:pPr>
              <w:pStyle w:val="TableParagraph"/>
              <w:jc w:val="center"/>
              <w:rPr>
                <w:sz w:val="20"/>
                <w:szCs w:val="20"/>
              </w:rPr>
            </w:pPr>
            <w:r w:rsidRPr="002A56B1">
              <w:rPr>
                <w:sz w:val="20"/>
                <w:szCs w:val="20"/>
              </w:rPr>
              <w:t>38,35 %*</w:t>
            </w:r>
          </w:p>
          <w:p w14:paraId="1CDCA173" w14:textId="77777777" w:rsidR="00E67A24" w:rsidRPr="002A56B1" w:rsidRDefault="00E67A24" w:rsidP="006E5F9A">
            <w:pPr>
              <w:pStyle w:val="TableParagraph"/>
              <w:jc w:val="center"/>
              <w:rPr>
                <w:sz w:val="20"/>
                <w:szCs w:val="20"/>
              </w:rPr>
            </w:pPr>
            <w:r w:rsidRPr="002A56B1">
              <w:rPr>
                <w:sz w:val="20"/>
                <w:szCs w:val="20"/>
              </w:rPr>
              <w:t>(17,89, 58,81)</w:t>
            </w:r>
          </w:p>
        </w:tc>
        <w:tc>
          <w:tcPr>
            <w:tcW w:w="1571" w:type="dxa"/>
          </w:tcPr>
          <w:p w14:paraId="572A6822" w14:textId="77777777" w:rsidR="00E67A24" w:rsidRPr="002A56B1" w:rsidRDefault="00E67A24" w:rsidP="006E5F9A">
            <w:pPr>
              <w:pStyle w:val="TableParagraph"/>
              <w:jc w:val="center"/>
              <w:rPr>
                <w:sz w:val="20"/>
                <w:szCs w:val="20"/>
              </w:rPr>
            </w:pPr>
            <w:r w:rsidRPr="002A56B1">
              <w:rPr>
                <w:sz w:val="20"/>
                <w:szCs w:val="20"/>
              </w:rPr>
              <w:t>35,41 %**</w:t>
            </w:r>
          </w:p>
          <w:p w14:paraId="10E9B267" w14:textId="77777777" w:rsidR="00E67A24" w:rsidRPr="002A56B1" w:rsidRDefault="00E67A24" w:rsidP="006E5F9A">
            <w:pPr>
              <w:pStyle w:val="TableParagraph"/>
              <w:jc w:val="center"/>
              <w:rPr>
                <w:sz w:val="20"/>
                <w:szCs w:val="20"/>
              </w:rPr>
            </w:pPr>
            <w:r w:rsidRPr="002A56B1">
              <w:rPr>
                <w:sz w:val="20"/>
                <w:szCs w:val="20"/>
              </w:rPr>
              <w:t>(10,41, 60,41)</w:t>
            </w:r>
          </w:p>
        </w:tc>
      </w:tr>
      <w:tr w:rsidR="003B7027" w:rsidRPr="00777B93" w14:paraId="2F96918C" w14:textId="77777777" w:rsidTr="00C82B5A">
        <w:trPr>
          <w:trHeight w:val="20"/>
        </w:trPr>
        <w:tc>
          <w:tcPr>
            <w:tcW w:w="9290" w:type="dxa"/>
            <w:gridSpan w:val="5"/>
          </w:tcPr>
          <w:p w14:paraId="3EC1E5B8" w14:textId="77777777" w:rsidR="003B7027" w:rsidRPr="002A56B1" w:rsidRDefault="00296A74" w:rsidP="00C974BF">
            <w:pPr>
              <w:pStyle w:val="TableParagraph"/>
              <w:keepNext/>
              <w:rPr>
                <w:b/>
                <w:sz w:val="20"/>
                <w:szCs w:val="20"/>
              </w:rPr>
            </w:pPr>
            <w:r w:rsidRPr="002A56B1">
              <w:rPr>
                <w:b/>
                <w:sz w:val="20"/>
                <w:szCs w:val="20"/>
              </w:rPr>
              <w:lastRenderedPageBreak/>
              <w:t>Muut toissijaiset päätetapahtumat</w:t>
            </w:r>
          </w:p>
        </w:tc>
      </w:tr>
      <w:tr w:rsidR="00E67A24" w:rsidRPr="00777B93" w14:paraId="36F53F5A" w14:textId="77777777" w:rsidTr="00C82B5A">
        <w:trPr>
          <w:trHeight w:val="7819"/>
        </w:trPr>
        <w:tc>
          <w:tcPr>
            <w:tcW w:w="2830" w:type="dxa"/>
          </w:tcPr>
          <w:p w14:paraId="3E5A6933" w14:textId="77777777" w:rsidR="00E67A24" w:rsidRPr="002A56B1" w:rsidRDefault="00E67A24" w:rsidP="006E5F9A">
            <w:pPr>
              <w:pStyle w:val="TableParagraph"/>
              <w:rPr>
                <w:sz w:val="20"/>
                <w:szCs w:val="20"/>
              </w:rPr>
            </w:pPr>
            <w:r w:rsidRPr="002A56B1">
              <w:rPr>
                <w:sz w:val="20"/>
                <w:szCs w:val="20"/>
              </w:rPr>
              <w:t>Aika jättisoluarteriitin ensimmäiseen pahenemisvaiheeseen¹ (tosilitsumabiryhmät vs lumevalmiste + 26)</w:t>
            </w:r>
          </w:p>
          <w:p w14:paraId="2D828BFD" w14:textId="77777777" w:rsidR="00E67A24" w:rsidRPr="002A56B1" w:rsidRDefault="00E67A24" w:rsidP="002A56B1">
            <w:pPr>
              <w:pStyle w:val="TableParagraph"/>
              <w:ind w:left="306"/>
              <w:rPr>
                <w:sz w:val="20"/>
                <w:szCs w:val="20"/>
              </w:rPr>
            </w:pPr>
            <w:r w:rsidRPr="002A56B1">
              <w:rPr>
                <w:sz w:val="20"/>
                <w:szCs w:val="20"/>
              </w:rPr>
              <w:t>Riskisuhde (99 %:n luottamusväli)</w:t>
            </w:r>
          </w:p>
          <w:p w14:paraId="0441472D" w14:textId="77777777" w:rsidR="00E67A24" w:rsidRPr="002A56B1" w:rsidRDefault="00E67A24" w:rsidP="006E5F9A">
            <w:pPr>
              <w:pStyle w:val="TableParagraph"/>
              <w:rPr>
                <w:sz w:val="20"/>
                <w:szCs w:val="20"/>
              </w:rPr>
            </w:pPr>
            <w:r w:rsidRPr="002A56B1">
              <w:rPr>
                <w:sz w:val="20"/>
                <w:szCs w:val="20"/>
              </w:rPr>
              <w:t>Aika jättisoluarteriitin ensimmäiseen pahenemisvaiheeseen¹ (tosilitsumabiryhmät vs lumevalmiste + 52)</w:t>
            </w:r>
          </w:p>
          <w:p w14:paraId="575429CA" w14:textId="77777777" w:rsidR="00E67A24" w:rsidRPr="002A56B1" w:rsidRDefault="00E67A24" w:rsidP="002A56B1">
            <w:pPr>
              <w:pStyle w:val="TableParagraph"/>
              <w:ind w:left="306"/>
              <w:rPr>
                <w:sz w:val="20"/>
                <w:szCs w:val="20"/>
              </w:rPr>
            </w:pPr>
            <w:r w:rsidRPr="002A56B1">
              <w:rPr>
                <w:sz w:val="20"/>
                <w:szCs w:val="20"/>
              </w:rPr>
              <w:t>Riskisuhde (99 %:n luottamusväli)</w:t>
            </w:r>
          </w:p>
          <w:p w14:paraId="52D41D2C" w14:textId="77777777" w:rsidR="00E67A24" w:rsidRPr="002A56B1" w:rsidRDefault="00E67A24" w:rsidP="006E5F9A">
            <w:pPr>
              <w:pStyle w:val="TableParagraph"/>
              <w:rPr>
                <w:sz w:val="20"/>
                <w:szCs w:val="20"/>
              </w:rPr>
            </w:pPr>
            <w:r w:rsidRPr="002A56B1">
              <w:rPr>
                <w:sz w:val="20"/>
                <w:szCs w:val="20"/>
              </w:rPr>
              <w:t>Aika jättisoluarteriitin ensimmäiseen pahenemisvaiheeseen¹ (relapsoituneet potilaat; tosilitsumabiryhmät vs lumevalmiste + 26), riskisuhde (99 %:n luottamusväli)</w:t>
            </w:r>
          </w:p>
          <w:p w14:paraId="2E700551" w14:textId="77777777" w:rsidR="00E67A24" w:rsidRPr="002A56B1" w:rsidRDefault="00E67A24" w:rsidP="006E5F9A">
            <w:pPr>
              <w:pStyle w:val="TableParagraph"/>
              <w:rPr>
                <w:sz w:val="20"/>
                <w:szCs w:val="20"/>
              </w:rPr>
            </w:pPr>
            <w:r w:rsidRPr="002A56B1">
              <w:rPr>
                <w:sz w:val="20"/>
                <w:szCs w:val="20"/>
              </w:rPr>
              <w:t>Aika jättisoluarteriitin ensimmäiseen pahenemisvaiheeseen¹ (relapsoituneet potilaat; tosilitsumabiryhmät vs lumevalmiste + 52), riskisuhde (99 %:n luottamusväli)</w:t>
            </w:r>
          </w:p>
          <w:p w14:paraId="1A88B039" w14:textId="77777777" w:rsidR="00E67A24" w:rsidRPr="002A56B1" w:rsidRDefault="00E67A24" w:rsidP="006E5F9A">
            <w:pPr>
              <w:pStyle w:val="TableParagraph"/>
              <w:rPr>
                <w:sz w:val="20"/>
                <w:szCs w:val="20"/>
              </w:rPr>
            </w:pPr>
            <w:r w:rsidRPr="002A56B1">
              <w:rPr>
                <w:sz w:val="20"/>
                <w:szCs w:val="20"/>
              </w:rPr>
              <w:t>Aika jättisoluarteriitin ensimmäiseen pahenemisvaiheeseen¹ (äskettäin sairastuneet potilaat; tosilitsumabiryhmät vs lumevalmiste +26), riskisuhde (99 %:n luottamusväli)</w:t>
            </w:r>
          </w:p>
          <w:p w14:paraId="08DD2C3D" w14:textId="77777777" w:rsidR="00E67A24" w:rsidRPr="002A56B1" w:rsidRDefault="00E67A24" w:rsidP="006E5F9A">
            <w:pPr>
              <w:pStyle w:val="TableParagraph"/>
              <w:rPr>
                <w:sz w:val="20"/>
                <w:szCs w:val="20"/>
              </w:rPr>
            </w:pPr>
            <w:r w:rsidRPr="002A56B1">
              <w:rPr>
                <w:sz w:val="20"/>
                <w:szCs w:val="20"/>
              </w:rPr>
              <w:t>Aika jättisoluarteriitin ensimmäiseen pahenemisvaiheeseen¹ (äskettäin sairastuneet potilaat; tosilitsumabiryhmät vs lumevalmiste + 52), riskisuhde (99 %:n luottamusväli)</w:t>
            </w:r>
          </w:p>
        </w:tc>
        <w:tc>
          <w:tcPr>
            <w:tcW w:w="1603" w:type="dxa"/>
          </w:tcPr>
          <w:p w14:paraId="27F6D61C" w14:textId="77777777" w:rsidR="00E67A24" w:rsidRPr="00CA43F5" w:rsidRDefault="00E67A24" w:rsidP="006E5F9A">
            <w:pPr>
              <w:pStyle w:val="TableParagraph"/>
              <w:jc w:val="center"/>
              <w:rPr>
                <w:sz w:val="20"/>
                <w:szCs w:val="20"/>
                <w:lang w:val="en-US"/>
              </w:rPr>
            </w:pPr>
            <w:r w:rsidRPr="00CA43F5">
              <w:rPr>
                <w:sz w:val="20"/>
                <w:szCs w:val="20"/>
                <w:lang w:val="en-US"/>
              </w:rPr>
              <w:t>N/A</w:t>
            </w:r>
          </w:p>
          <w:p w14:paraId="4380C19E" w14:textId="77777777" w:rsidR="00E67A24" w:rsidRPr="00CA43F5" w:rsidRDefault="00E67A24" w:rsidP="006E5F9A">
            <w:pPr>
              <w:pStyle w:val="TableParagraph"/>
              <w:jc w:val="center"/>
              <w:rPr>
                <w:sz w:val="20"/>
                <w:szCs w:val="20"/>
                <w:lang w:val="en-US"/>
              </w:rPr>
            </w:pPr>
          </w:p>
          <w:p w14:paraId="3D90B53F" w14:textId="77777777" w:rsidR="00E67A24" w:rsidRPr="00CA43F5" w:rsidRDefault="00E67A24" w:rsidP="006E5F9A">
            <w:pPr>
              <w:pStyle w:val="TableParagraph"/>
              <w:jc w:val="center"/>
              <w:rPr>
                <w:sz w:val="20"/>
                <w:szCs w:val="20"/>
                <w:lang w:val="en-US"/>
              </w:rPr>
            </w:pPr>
          </w:p>
          <w:p w14:paraId="73860C79" w14:textId="77777777" w:rsidR="00E67A24" w:rsidRPr="00CA43F5" w:rsidRDefault="00E67A24" w:rsidP="006E5F9A">
            <w:pPr>
              <w:pStyle w:val="TableParagraph"/>
              <w:jc w:val="center"/>
              <w:rPr>
                <w:sz w:val="20"/>
                <w:szCs w:val="20"/>
                <w:lang w:val="en-US"/>
              </w:rPr>
            </w:pPr>
          </w:p>
          <w:p w14:paraId="78996EF2" w14:textId="77777777" w:rsidR="00E67A24" w:rsidRPr="00CA43F5" w:rsidRDefault="00E67A24" w:rsidP="006E5F9A">
            <w:pPr>
              <w:pStyle w:val="TableParagraph"/>
              <w:jc w:val="center"/>
              <w:rPr>
                <w:sz w:val="20"/>
                <w:szCs w:val="20"/>
                <w:lang w:val="en-US"/>
              </w:rPr>
            </w:pPr>
          </w:p>
          <w:p w14:paraId="314236D2" w14:textId="77777777" w:rsidR="002A56B1" w:rsidRPr="00CA43F5" w:rsidRDefault="002A56B1" w:rsidP="006E5F9A">
            <w:pPr>
              <w:pStyle w:val="TableParagraph"/>
              <w:jc w:val="center"/>
              <w:rPr>
                <w:sz w:val="20"/>
                <w:szCs w:val="20"/>
                <w:lang w:val="en-US"/>
              </w:rPr>
            </w:pPr>
          </w:p>
          <w:p w14:paraId="2E7C491D" w14:textId="77777777" w:rsidR="00C82B5A" w:rsidRPr="00CA43F5" w:rsidRDefault="00C82B5A" w:rsidP="006E5F9A">
            <w:pPr>
              <w:pStyle w:val="TableParagraph"/>
              <w:jc w:val="center"/>
              <w:rPr>
                <w:sz w:val="20"/>
                <w:szCs w:val="20"/>
                <w:lang w:val="en-US"/>
              </w:rPr>
            </w:pPr>
          </w:p>
          <w:p w14:paraId="543DE856" w14:textId="7DF155FA" w:rsidR="00E67A24" w:rsidRPr="00CA43F5" w:rsidRDefault="00E67A24" w:rsidP="006E5F9A">
            <w:pPr>
              <w:pStyle w:val="TableParagraph"/>
              <w:jc w:val="center"/>
              <w:rPr>
                <w:sz w:val="20"/>
                <w:szCs w:val="20"/>
                <w:lang w:val="en-US"/>
              </w:rPr>
            </w:pPr>
            <w:r w:rsidRPr="00CA43F5">
              <w:rPr>
                <w:sz w:val="20"/>
                <w:szCs w:val="20"/>
                <w:lang w:val="en-US"/>
              </w:rPr>
              <w:t>N/A</w:t>
            </w:r>
          </w:p>
          <w:p w14:paraId="6607011C" w14:textId="77777777" w:rsidR="00E67A24" w:rsidRPr="00CA43F5" w:rsidRDefault="00E67A24" w:rsidP="006E5F9A">
            <w:pPr>
              <w:pStyle w:val="TableParagraph"/>
              <w:jc w:val="center"/>
              <w:rPr>
                <w:sz w:val="20"/>
                <w:szCs w:val="20"/>
                <w:lang w:val="en-US"/>
              </w:rPr>
            </w:pPr>
          </w:p>
          <w:p w14:paraId="35C26F28" w14:textId="77777777" w:rsidR="00E67A24" w:rsidRPr="00CA43F5" w:rsidRDefault="00E67A24" w:rsidP="006E5F9A">
            <w:pPr>
              <w:pStyle w:val="TableParagraph"/>
              <w:jc w:val="center"/>
              <w:rPr>
                <w:sz w:val="20"/>
                <w:szCs w:val="20"/>
                <w:lang w:val="en-US"/>
              </w:rPr>
            </w:pPr>
          </w:p>
          <w:p w14:paraId="7F2F1F27" w14:textId="77777777" w:rsidR="00E67A24" w:rsidRPr="00CA43F5" w:rsidRDefault="00E67A24" w:rsidP="006E5F9A">
            <w:pPr>
              <w:pStyle w:val="TableParagraph"/>
              <w:jc w:val="center"/>
              <w:rPr>
                <w:sz w:val="20"/>
                <w:szCs w:val="20"/>
                <w:lang w:val="en-US"/>
              </w:rPr>
            </w:pPr>
          </w:p>
          <w:p w14:paraId="4DCB2243" w14:textId="77777777" w:rsidR="00E67A24" w:rsidRPr="00CA43F5" w:rsidRDefault="00E67A24" w:rsidP="006E5F9A">
            <w:pPr>
              <w:pStyle w:val="TableParagraph"/>
              <w:jc w:val="center"/>
              <w:rPr>
                <w:sz w:val="20"/>
                <w:szCs w:val="20"/>
                <w:lang w:val="en-US"/>
              </w:rPr>
            </w:pPr>
          </w:p>
          <w:p w14:paraId="04EE515D" w14:textId="77777777" w:rsidR="002A56B1" w:rsidRPr="00CA43F5" w:rsidRDefault="002A56B1" w:rsidP="006E5F9A">
            <w:pPr>
              <w:pStyle w:val="TableParagraph"/>
              <w:jc w:val="center"/>
              <w:rPr>
                <w:sz w:val="20"/>
                <w:szCs w:val="20"/>
                <w:lang w:val="en-US"/>
              </w:rPr>
            </w:pPr>
          </w:p>
          <w:p w14:paraId="092F143F" w14:textId="77777777" w:rsidR="00C82B5A" w:rsidRPr="00CA43F5" w:rsidRDefault="00C82B5A" w:rsidP="006E5F9A">
            <w:pPr>
              <w:pStyle w:val="TableParagraph"/>
              <w:jc w:val="center"/>
              <w:rPr>
                <w:sz w:val="20"/>
                <w:szCs w:val="20"/>
                <w:lang w:val="en-US"/>
              </w:rPr>
            </w:pPr>
          </w:p>
          <w:p w14:paraId="45B41B46" w14:textId="365F82F0" w:rsidR="00E67A24" w:rsidRPr="00CA43F5" w:rsidRDefault="00E67A24" w:rsidP="006E5F9A">
            <w:pPr>
              <w:pStyle w:val="TableParagraph"/>
              <w:jc w:val="center"/>
              <w:rPr>
                <w:sz w:val="20"/>
                <w:szCs w:val="20"/>
                <w:lang w:val="en-US"/>
              </w:rPr>
            </w:pPr>
            <w:r w:rsidRPr="00CA43F5">
              <w:rPr>
                <w:sz w:val="20"/>
                <w:szCs w:val="20"/>
                <w:lang w:val="en-US"/>
              </w:rPr>
              <w:t>N/A</w:t>
            </w:r>
          </w:p>
          <w:p w14:paraId="29873901" w14:textId="77777777" w:rsidR="00E67A24" w:rsidRPr="00CA43F5" w:rsidRDefault="00E67A24" w:rsidP="006E5F9A">
            <w:pPr>
              <w:pStyle w:val="TableParagraph"/>
              <w:jc w:val="center"/>
              <w:rPr>
                <w:i/>
                <w:sz w:val="20"/>
                <w:szCs w:val="20"/>
                <w:lang w:val="en-US"/>
              </w:rPr>
            </w:pPr>
          </w:p>
          <w:p w14:paraId="43A29668" w14:textId="77777777" w:rsidR="00E67A24" w:rsidRPr="00CA43F5" w:rsidRDefault="00E67A24" w:rsidP="006E5F9A">
            <w:pPr>
              <w:pStyle w:val="TableParagraph"/>
              <w:jc w:val="center"/>
              <w:rPr>
                <w:sz w:val="20"/>
                <w:szCs w:val="20"/>
                <w:lang w:val="en-US"/>
              </w:rPr>
            </w:pPr>
          </w:p>
          <w:p w14:paraId="4F70F2B7" w14:textId="77777777" w:rsidR="00E67A24" w:rsidRPr="00CA43F5" w:rsidRDefault="00E67A24" w:rsidP="006E5F9A">
            <w:pPr>
              <w:pStyle w:val="TableParagraph"/>
              <w:jc w:val="center"/>
              <w:rPr>
                <w:sz w:val="20"/>
                <w:szCs w:val="20"/>
                <w:lang w:val="en-US"/>
              </w:rPr>
            </w:pPr>
          </w:p>
          <w:p w14:paraId="3B1C35A4" w14:textId="77777777" w:rsidR="00E67A24" w:rsidRPr="00CA43F5" w:rsidRDefault="00E67A24" w:rsidP="006E5F9A">
            <w:pPr>
              <w:pStyle w:val="TableParagraph"/>
              <w:jc w:val="center"/>
              <w:rPr>
                <w:sz w:val="20"/>
                <w:szCs w:val="20"/>
                <w:lang w:val="en-US"/>
              </w:rPr>
            </w:pPr>
          </w:p>
          <w:p w14:paraId="4442A247" w14:textId="77777777" w:rsidR="00E67A24" w:rsidRPr="00CA43F5" w:rsidRDefault="00E67A24" w:rsidP="006E5F9A">
            <w:pPr>
              <w:pStyle w:val="TableParagraph"/>
              <w:jc w:val="center"/>
              <w:rPr>
                <w:sz w:val="20"/>
                <w:szCs w:val="20"/>
                <w:lang w:val="en-US"/>
              </w:rPr>
            </w:pPr>
          </w:p>
          <w:p w14:paraId="490004F6" w14:textId="77777777" w:rsidR="00C82B5A" w:rsidRPr="00CA43F5" w:rsidRDefault="00C82B5A" w:rsidP="006E5F9A">
            <w:pPr>
              <w:pStyle w:val="TableParagraph"/>
              <w:jc w:val="center"/>
              <w:rPr>
                <w:sz w:val="20"/>
                <w:szCs w:val="20"/>
                <w:lang w:val="en-US"/>
              </w:rPr>
            </w:pPr>
          </w:p>
          <w:p w14:paraId="4B58657E" w14:textId="523B5385" w:rsidR="00E67A24" w:rsidRPr="00CA43F5" w:rsidRDefault="00E67A24" w:rsidP="006E5F9A">
            <w:pPr>
              <w:pStyle w:val="TableParagraph"/>
              <w:jc w:val="center"/>
              <w:rPr>
                <w:sz w:val="20"/>
                <w:szCs w:val="20"/>
                <w:lang w:val="en-US"/>
              </w:rPr>
            </w:pPr>
            <w:r w:rsidRPr="00CA43F5">
              <w:rPr>
                <w:sz w:val="20"/>
                <w:szCs w:val="20"/>
                <w:lang w:val="en-US"/>
              </w:rPr>
              <w:t>N/A</w:t>
            </w:r>
          </w:p>
          <w:p w14:paraId="193A7B9A" w14:textId="77777777" w:rsidR="00E67A24" w:rsidRPr="00CA43F5" w:rsidRDefault="00E67A24" w:rsidP="006E5F9A">
            <w:pPr>
              <w:pStyle w:val="TableParagraph"/>
              <w:jc w:val="center"/>
              <w:rPr>
                <w:sz w:val="20"/>
                <w:szCs w:val="20"/>
                <w:lang w:val="en-US"/>
              </w:rPr>
            </w:pPr>
          </w:p>
          <w:p w14:paraId="73A47AD7" w14:textId="77777777" w:rsidR="00E67A24" w:rsidRPr="00CA43F5" w:rsidRDefault="00E67A24" w:rsidP="006E5F9A">
            <w:pPr>
              <w:pStyle w:val="TableParagraph"/>
              <w:jc w:val="center"/>
              <w:rPr>
                <w:sz w:val="20"/>
                <w:szCs w:val="20"/>
                <w:lang w:val="en-US"/>
              </w:rPr>
            </w:pPr>
          </w:p>
          <w:p w14:paraId="08097748" w14:textId="77777777" w:rsidR="00E67A24" w:rsidRPr="00CA43F5" w:rsidRDefault="00E67A24" w:rsidP="006E5F9A">
            <w:pPr>
              <w:pStyle w:val="TableParagraph"/>
              <w:jc w:val="center"/>
              <w:rPr>
                <w:sz w:val="20"/>
                <w:szCs w:val="20"/>
                <w:lang w:val="en-US"/>
              </w:rPr>
            </w:pPr>
          </w:p>
          <w:p w14:paraId="6E31AB4B" w14:textId="77777777" w:rsidR="00E67A24" w:rsidRPr="00CA43F5" w:rsidRDefault="00E67A24" w:rsidP="006E5F9A">
            <w:pPr>
              <w:pStyle w:val="TableParagraph"/>
              <w:jc w:val="center"/>
              <w:rPr>
                <w:sz w:val="20"/>
                <w:szCs w:val="20"/>
                <w:lang w:val="en-US"/>
              </w:rPr>
            </w:pPr>
          </w:p>
          <w:p w14:paraId="0285478C" w14:textId="77777777" w:rsidR="00E67A24" w:rsidRPr="00CA43F5" w:rsidRDefault="00E67A24" w:rsidP="006E5F9A">
            <w:pPr>
              <w:pStyle w:val="TableParagraph"/>
              <w:jc w:val="center"/>
              <w:rPr>
                <w:sz w:val="20"/>
                <w:szCs w:val="20"/>
                <w:lang w:val="en-US"/>
              </w:rPr>
            </w:pPr>
          </w:p>
          <w:p w14:paraId="6C2A2E0B" w14:textId="77777777" w:rsidR="00C82B5A" w:rsidRPr="00CA43F5" w:rsidRDefault="00C82B5A" w:rsidP="006E5F9A">
            <w:pPr>
              <w:pStyle w:val="TableParagraph"/>
              <w:jc w:val="center"/>
              <w:rPr>
                <w:sz w:val="20"/>
                <w:szCs w:val="20"/>
                <w:lang w:val="en-US"/>
              </w:rPr>
            </w:pPr>
          </w:p>
          <w:p w14:paraId="4E167D88" w14:textId="7D1D67F5" w:rsidR="00E67A24" w:rsidRPr="00CA43F5" w:rsidRDefault="00E67A24" w:rsidP="006E5F9A">
            <w:pPr>
              <w:pStyle w:val="TableParagraph"/>
              <w:jc w:val="center"/>
              <w:rPr>
                <w:sz w:val="20"/>
                <w:szCs w:val="20"/>
                <w:lang w:val="en-US"/>
              </w:rPr>
            </w:pPr>
            <w:r w:rsidRPr="00CA43F5">
              <w:rPr>
                <w:sz w:val="20"/>
                <w:szCs w:val="20"/>
                <w:lang w:val="en-US"/>
              </w:rPr>
              <w:t>N/A</w:t>
            </w:r>
          </w:p>
          <w:p w14:paraId="4FDAA2AC" w14:textId="77777777" w:rsidR="00E67A24" w:rsidRPr="00CA43F5" w:rsidRDefault="00E67A24" w:rsidP="006E5F9A">
            <w:pPr>
              <w:pStyle w:val="TableParagraph"/>
              <w:jc w:val="center"/>
              <w:rPr>
                <w:sz w:val="20"/>
                <w:szCs w:val="20"/>
                <w:lang w:val="en-US"/>
              </w:rPr>
            </w:pPr>
          </w:p>
          <w:p w14:paraId="119F9048" w14:textId="77777777" w:rsidR="00E67A24" w:rsidRPr="00CA43F5" w:rsidRDefault="00E67A24" w:rsidP="006E5F9A">
            <w:pPr>
              <w:pStyle w:val="TableParagraph"/>
              <w:jc w:val="center"/>
              <w:rPr>
                <w:sz w:val="20"/>
                <w:szCs w:val="20"/>
                <w:lang w:val="en-US"/>
              </w:rPr>
            </w:pPr>
          </w:p>
          <w:p w14:paraId="316ECDEF" w14:textId="77777777" w:rsidR="00E67A24" w:rsidRPr="00CA43F5" w:rsidRDefault="00E67A24" w:rsidP="006E5F9A">
            <w:pPr>
              <w:pStyle w:val="TableParagraph"/>
              <w:jc w:val="center"/>
              <w:rPr>
                <w:sz w:val="20"/>
                <w:szCs w:val="20"/>
                <w:lang w:val="en-US"/>
              </w:rPr>
            </w:pPr>
          </w:p>
          <w:p w14:paraId="02DF1103" w14:textId="77777777" w:rsidR="00E67A24" w:rsidRPr="00CA43F5" w:rsidRDefault="00E67A24" w:rsidP="006E5F9A">
            <w:pPr>
              <w:pStyle w:val="TableParagraph"/>
              <w:jc w:val="center"/>
              <w:rPr>
                <w:sz w:val="20"/>
                <w:szCs w:val="20"/>
                <w:lang w:val="en-US"/>
              </w:rPr>
            </w:pPr>
          </w:p>
          <w:p w14:paraId="429C42A2" w14:textId="77777777" w:rsidR="00E67A24" w:rsidRPr="00CA43F5" w:rsidRDefault="00E67A24" w:rsidP="006E5F9A">
            <w:pPr>
              <w:pStyle w:val="TableParagraph"/>
              <w:jc w:val="center"/>
              <w:rPr>
                <w:sz w:val="20"/>
                <w:szCs w:val="20"/>
                <w:lang w:val="en-US"/>
              </w:rPr>
            </w:pPr>
          </w:p>
          <w:p w14:paraId="5EBF3D53" w14:textId="77777777" w:rsidR="00C82B5A" w:rsidRPr="00CA43F5" w:rsidRDefault="00C82B5A" w:rsidP="006E5F9A">
            <w:pPr>
              <w:pStyle w:val="TableParagraph"/>
              <w:jc w:val="center"/>
              <w:rPr>
                <w:sz w:val="20"/>
                <w:szCs w:val="20"/>
                <w:lang w:val="en-US"/>
              </w:rPr>
            </w:pPr>
          </w:p>
          <w:p w14:paraId="7FB51093" w14:textId="6C0D8BF6" w:rsidR="00E67A24" w:rsidRPr="00CA43F5" w:rsidRDefault="00E67A24" w:rsidP="006E5F9A">
            <w:pPr>
              <w:pStyle w:val="TableParagraph"/>
              <w:jc w:val="center"/>
              <w:rPr>
                <w:sz w:val="20"/>
                <w:szCs w:val="20"/>
                <w:lang w:val="en-US"/>
              </w:rPr>
            </w:pPr>
            <w:r w:rsidRPr="00CA43F5">
              <w:rPr>
                <w:sz w:val="20"/>
                <w:szCs w:val="20"/>
                <w:lang w:val="en-US"/>
              </w:rPr>
              <w:t>N/A</w:t>
            </w:r>
          </w:p>
        </w:tc>
        <w:tc>
          <w:tcPr>
            <w:tcW w:w="1658" w:type="dxa"/>
          </w:tcPr>
          <w:p w14:paraId="6049D26F" w14:textId="77777777" w:rsidR="00E67A24" w:rsidRPr="00CA43F5" w:rsidRDefault="00E67A24" w:rsidP="006E5F9A">
            <w:pPr>
              <w:pStyle w:val="TableParagraph"/>
              <w:jc w:val="center"/>
              <w:rPr>
                <w:sz w:val="20"/>
                <w:szCs w:val="20"/>
                <w:lang w:val="en-US"/>
              </w:rPr>
            </w:pPr>
            <w:r w:rsidRPr="00CA43F5">
              <w:rPr>
                <w:sz w:val="20"/>
                <w:szCs w:val="20"/>
                <w:lang w:val="en-US"/>
              </w:rPr>
              <w:t>N/A</w:t>
            </w:r>
          </w:p>
          <w:p w14:paraId="0B1AD00F" w14:textId="77777777" w:rsidR="00E67A24" w:rsidRPr="00CA43F5" w:rsidRDefault="00E67A24" w:rsidP="006E5F9A">
            <w:pPr>
              <w:pStyle w:val="TableParagraph"/>
              <w:jc w:val="center"/>
              <w:rPr>
                <w:sz w:val="20"/>
                <w:szCs w:val="20"/>
                <w:lang w:val="en-US"/>
              </w:rPr>
            </w:pPr>
          </w:p>
          <w:p w14:paraId="1EAC79DC" w14:textId="77777777" w:rsidR="00E67A24" w:rsidRPr="00CA43F5" w:rsidRDefault="00E67A24" w:rsidP="006E5F9A">
            <w:pPr>
              <w:pStyle w:val="TableParagraph"/>
              <w:jc w:val="center"/>
              <w:rPr>
                <w:sz w:val="20"/>
                <w:szCs w:val="20"/>
                <w:lang w:val="en-US"/>
              </w:rPr>
            </w:pPr>
          </w:p>
          <w:p w14:paraId="59CBBF6B" w14:textId="77777777" w:rsidR="00E67A24" w:rsidRPr="00CA43F5" w:rsidRDefault="00E67A24" w:rsidP="006E5F9A">
            <w:pPr>
              <w:pStyle w:val="TableParagraph"/>
              <w:jc w:val="center"/>
              <w:rPr>
                <w:sz w:val="20"/>
                <w:szCs w:val="20"/>
                <w:lang w:val="en-US"/>
              </w:rPr>
            </w:pPr>
          </w:p>
          <w:p w14:paraId="787B452F" w14:textId="77777777" w:rsidR="00E67A24" w:rsidRPr="00CA43F5" w:rsidRDefault="00E67A24" w:rsidP="006E5F9A">
            <w:pPr>
              <w:pStyle w:val="TableParagraph"/>
              <w:jc w:val="center"/>
              <w:rPr>
                <w:sz w:val="20"/>
                <w:szCs w:val="20"/>
                <w:lang w:val="en-US"/>
              </w:rPr>
            </w:pPr>
          </w:p>
          <w:p w14:paraId="2C1A09B2" w14:textId="77777777" w:rsidR="002A56B1" w:rsidRPr="00CA43F5" w:rsidRDefault="002A56B1" w:rsidP="006E5F9A">
            <w:pPr>
              <w:pStyle w:val="TableParagraph"/>
              <w:jc w:val="center"/>
              <w:rPr>
                <w:sz w:val="20"/>
                <w:szCs w:val="20"/>
                <w:lang w:val="en-US"/>
              </w:rPr>
            </w:pPr>
          </w:p>
          <w:p w14:paraId="342FC758" w14:textId="77777777" w:rsidR="00C82B5A" w:rsidRPr="00CA43F5" w:rsidRDefault="00C82B5A" w:rsidP="006E5F9A">
            <w:pPr>
              <w:pStyle w:val="TableParagraph"/>
              <w:jc w:val="center"/>
              <w:rPr>
                <w:sz w:val="20"/>
                <w:szCs w:val="20"/>
                <w:lang w:val="en-US"/>
              </w:rPr>
            </w:pPr>
          </w:p>
          <w:p w14:paraId="7DF2C19C" w14:textId="710DA996" w:rsidR="00E67A24" w:rsidRPr="00CA43F5" w:rsidRDefault="00E67A24" w:rsidP="006E5F9A">
            <w:pPr>
              <w:pStyle w:val="TableParagraph"/>
              <w:jc w:val="center"/>
              <w:rPr>
                <w:sz w:val="20"/>
                <w:szCs w:val="20"/>
                <w:lang w:val="en-US"/>
              </w:rPr>
            </w:pPr>
            <w:r w:rsidRPr="00CA43F5">
              <w:rPr>
                <w:sz w:val="20"/>
                <w:szCs w:val="20"/>
                <w:lang w:val="en-US"/>
              </w:rPr>
              <w:t>N/A</w:t>
            </w:r>
          </w:p>
          <w:p w14:paraId="64FA769B" w14:textId="77777777" w:rsidR="00E67A24" w:rsidRPr="00CA43F5" w:rsidRDefault="00E67A24" w:rsidP="006E5F9A">
            <w:pPr>
              <w:pStyle w:val="TableParagraph"/>
              <w:jc w:val="center"/>
              <w:rPr>
                <w:sz w:val="20"/>
                <w:szCs w:val="20"/>
                <w:lang w:val="en-US"/>
              </w:rPr>
            </w:pPr>
          </w:p>
          <w:p w14:paraId="77A4F8BD" w14:textId="77777777" w:rsidR="00E67A24" w:rsidRPr="00CA43F5" w:rsidRDefault="00E67A24" w:rsidP="006E5F9A">
            <w:pPr>
              <w:pStyle w:val="TableParagraph"/>
              <w:jc w:val="center"/>
              <w:rPr>
                <w:sz w:val="20"/>
                <w:szCs w:val="20"/>
                <w:lang w:val="en-US"/>
              </w:rPr>
            </w:pPr>
          </w:p>
          <w:p w14:paraId="0EE76219" w14:textId="77777777" w:rsidR="002A56B1" w:rsidRPr="00CA43F5" w:rsidRDefault="002A56B1" w:rsidP="006E5F9A">
            <w:pPr>
              <w:pStyle w:val="TableParagraph"/>
              <w:jc w:val="center"/>
              <w:rPr>
                <w:sz w:val="20"/>
                <w:szCs w:val="20"/>
                <w:lang w:val="en-US"/>
              </w:rPr>
            </w:pPr>
          </w:p>
          <w:p w14:paraId="5DAB213D" w14:textId="77777777" w:rsidR="00E67A24" w:rsidRPr="00CA43F5" w:rsidRDefault="00E67A24" w:rsidP="006E5F9A">
            <w:pPr>
              <w:pStyle w:val="TableParagraph"/>
              <w:jc w:val="center"/>
              <w:rPr>
                <w:sz w:val="20"/>
                <w:szCs w:val="20"/>
                <w:lang w:val="en-US"/>
              </w:rPr>
            </w:pPr>
          </w:p>
          <w:p w14:paraId="0926F7EE" w14:textId="77777777" w:rsidR="00E67A24" w:rsidRPr="00CA43F5" w:rsidRDefault="00E67A24" w:rsidP="006E5F9A">
            <w:pPr>
              <w:pStyle w:val="TableParagraph"/>
              <w:jc w:val="center"/>
              <w:rPr>
                <w:sz w:val="20"/>
                <w:szCs w:val="20"/>
                <w:lang w:val="en-US"/>
              </w:rPr>
            </w:pPr>
          </w:p>
          <w:p w14:paraId="1FF640EC" w14:textId="77777777" w:rsidR="00C82B5A" w:rsidRPr="00CA43F5" w:rsidRDefault="00C82B5A" w:rsidP="006E5F9A">
            <w:pPr>
              <w:pStyle w:val="TableParagraph"/>
              <w:jc w:val="center"/>
              <w:rPr>
                <w:sz w:val="20"/>
                <w:szCs w:val="20"/>
                <w:lang w:val="en-US"/>
              </w:rPr>
            </w:pPr>
          </w:p>
          <w:p w14:paraId="370225FA" w14:textId="6E286D4E" w:rsidR="00E67A24" w:rsidRPr="00CA43F5" w:rsidRDefault="00E67A24" w:rsidP="006E5F9A">
            <w:pPr>
              <w:pStyle w:val="TableParagraph"/>
              <w:jc w:val="center"/>
              <w:rPr>
                <w:sz w:val="20"/>
                <w:szCs w:val="20"/>
                <w:lang w:val="en-US"/>
              </w:rPr>
            </w:pPr>
            <w:r w:rsidRPr="00CA43F5">
              <w:rPr>
                <w:sz w:val="20"/>
                <w:szCs w:val="20"/>
                <w:lang w:val="en-US"/>
              </w:rPr>
              <w:t>N/A</w:t>
            </w:r>
          </w:p>
          <w:p w14:paraId="6877AA5B" w14:textId="77777777" w:rsidR="00E67A24" w:rsidRPr="00CA43F5" w:rsidRDefault="00E67A24" w:rsidP="006E5F9A">
            <w:pPr>
              <w:pStyle w:val="TableParagraph"/>
              <w:jc w:val="center"/>
              <w:rPr>
                <w:i/>
                <w:sz w:val="20"/>
                <w:szCs w:val="20"/>
                <w:lang w:val="en-US"/>
              </w:rPr>
            </w:pPr>
          </w:p>
          <w:p w14:paraId="51CF4A49" w14:textId="77777777" w:rsidR="00E67A24" w:rsidRPr="00CA43F5" w:rsidRDefault="00E67A24" w:rsidP="006E5F9A">
            <w:pPr>
              <w:pStyle w:val="TableParagraph"/>
              <w:jc w:val="center"/>
              <w:rPr>
                <w:sz w:val="20"/>
                <w:szCs w:val="20"/>
                <w:lang w:val="en-US"/>
              </w:rPr>
            </w:pPr>
          </w:p>
          <w:p w14:paraId="1861BB92" w14:textId="77777777" w:rsidR="00E67A24" w:rsidRPr="00CA43F5" w:rsidRDefault="00E67A24" w:rsidP="006E5F9A">
            <w:pPr>
              <w:pStyle w:val="TableParagraph"/>
              <w:jc w:val="center"/>
              <w:rPr>
                <w:sz w:val="20"/>
                <w:szCs w:val="20"/>
                <w:lang w:val="en-US"/>
              </w:rPr>
            </w:pPr>
          </w:p>
          <w:p w14:paraId="78659CD6" w14:textId="77777777" w:rsidR="00E67A24" w:rsidRPr="00CA43F5" w:rsidRDefault="00E67A24" w:rsidP="006E5F9A">
            <w:pPr>
              <w:pStyle w:val="TableParagraph"/>
              <w:jc w:val="center"/>
              <w:rPr>
                <w:sz w:val="20"/>
                <w:szCs w:val="20"/>
                <w:lang w:val="en-US"/>
              </w:rPr>
            </w:pPr>
          </w:p>
          <w:p w14:paraId="6D3EC4E9" w14:textId="77777777" w:rsidR="00E67A24" w:rsidRPr="00CA43F5" w:rsidRDefault="00E67A24" w:rsidP="006E5F9A">
            <w:pPr>
              <w:pStyle w:val="TableParagraph"/>
              <w:jc w:val="center"/>
              <w:rPr>
                <w:sz w:val="20"/>
                <w:szCs w:val="20"/>
                <w:lang w:val="en-US"/>
              </w:rPr>
            </w:pPr>
          </w:p>
          <w:p w14:paraId="2B3A3977" w14:textId="77777777" w:rsidR="00C82B5A" w:rsidRPr="00CA43F5" w:rsidRDefault="00C82B5A" w:rsidP="006E5F9A">
            <w:pPr>
              <w:pStyle w:val="TableParagraph"/>
              <w:jc w:val="center"/>
              <w:rPr>
                <w:sz w:val="20"/>
                <w:szCs w:val="20"/>
                <w:lang w:val="en-US"/>
              </w:rPr>
            </w:pPr>
          </w:p>
          <w:p w14:paraId="1C151290" w14:textId="20CB1D92" w:rsidR="00E67A24" w:rsidRPr="00CA43F5" w:rsidRDefault="00E67A24" w:rsidP="006E5F9A">
            <w:pPr>
              <w:pStyle w:val="TableParagraph"/>
              <w:jc w:val="center"/>
              <w:rPr>
                <w:sz w:val="20"/>
                <w:szCs w:val="20"/>
                <w:lang w:val="en-US"/>
              </w:rPr>
            </w:pPr>
            <w:r w:rsidRPr="00CA43F5">
              <w:rPr>
                <w:sz w:val="20"/>
                <w:szCs w:val="20"/>
                <w:lang w:val="en-US"/>
              </w:rPr>
              <w:t>N/A</w:t>
            </w:r>
          </w:p>
          <w:p w14:paraId="6F75D1C9" w14:textId="77777777" w:rsidR="00E67A24" w:rsidRPr="00CA43F5" w:rsidRDefault="00E67A24" w:rsidP="006E5F9A">
            <w:pPr>
              <w:pStyle w:val="TableParagraph"/>
              <w:jc w:val="center"/>
              <w:rPr>
                <w:sz w:val="20"/>
                <w:szCs w:val="20"/>
                <w:lang w:val="en-US"/>
              </w:rPr>
            </w:pPr>
          </w:p>
          <w:p w14:paraId="15FE040F" w14:textId="77777777" w:rsidR="00E67A24" w:rsidRPr="00CA43F5" w:rsidRDefault="00E67A24" w:rsidP="006E5F9A">
            <w:pPr>
              <w:pStyle w:val="TableParagraph"/>
              <w:jc w:val="center"/>
              <w:rPr>
                <w:sz w:val="20"/>
                <w:szCs w:val="20"/>
                <w:lang w:val="en-US"/>
              </w:rPr>
            </w:pPr>
          </w:p>
          <w:p w14:paraId="4CEE66A0" w14:textId="77777777" w:rsidR="00E67A24" w:rsidRPr="00CA43F5" w:rsidRDefault="00E67A24" w:rsidP="006E5F9A">
            <w:pPr>
              <w:pStyle w:val="TableParagraph"/>
              <w:jc w:val="center"/>
              <w:rPr>
                <w:sz w:val="20"/>
                <w:szCs w:val="20"/>
                <w:lang w:val="en-US"/>
              </w:rPr>
            </w:pPr>
          </w:p>
          <w:p w14:paraId="70E3E449" w14:textId="77777777" w:rsidR="00E67A24" w:rsidRPr="00CA43F5" w:rsidRDefault="00E67A24" w:rsidP="006E5F9A">
            <w:pPr>
              <w:pStyle w:val="TableParagraph"/>
              <w:jc w:val="center"/>
              <w:rPr>
                <w:sz w:val="20"/>
                <w:szCs w:val="20"/>
                <w:lang w:val="en-US"/>
              </w:rPr>
            </w:pPr>
          </w:p>
          <w:p w14:paraId="71B9AE64" w14:textId="77777777" w:rsidR="00E67A24" w:rsidRPr="00CA43F5" w:rsidRDefault="00E67A24" w:rsidP="006E5F9A">
            <w:pPr>
              <w:pStyle w:val="TableParagraph"/>
              <w:jc w:val="center"/>
              <w:rPr>
                <w:sz w:val="20"/>
                <w:szCs w:val="20"/>
                <w:lang w:val="en-US"/>
              </w:rPr>
            </w:pPr>
          </w:p>
          <w:p w14:paraId="7C2DC427" w14:textId="77777777" w:rsidR="00C82B5A" w:rsidRPr="00CA43F5" w:rsidRDefault="00C82B5A" w:rsidP="006E5F9A">
            <w:pPr>
              <w:pStyle w:val="TableParagraph"/>
              <w:jc w:val="center"/>
              <w:rPr>
                <w:sz w:val="20"/>
                <w:szCs w:val="20"/>
                <w:lang w:val="en-US"/>
              </w:rPr>
            </w:pPr>
          </w:p>
          <w:p w14:paraId="7B64257D" w14:textId="29354892" w:rsidR="00E67A24" w:rsidRPr="00CA43F5" w:rsidRDefault="00E67A24" w:rsidP="006E5F9A">
            <w:pPr>
              <w:pStyle w:val="TableParagraph"/>
              <w:jc w:val="center"/>
              <w:rPr>
                <w:sz w:val="20"/>
                <w:szCs w:val="20"/>
                <w:lang w:val="en-US"/>
              </w:rPr>
            </w:pPr>
            <w:r w:rsidRPr="00CA43F5">
              <w:rPr>
                <w:sz w:val="20"/>
                <w:szCs w:val="20"/>
                <w:lang w:val="en-US"/>
              </w:rPr>
              <w:t>N/A</w:t>
            </w:r>
          </w:p>
          <w:p w14:paraId="4BFF33A8" w14:textId="77777777" w:rsidR="00E67A24" w:rsidRPr="00CA43F5" w:rsidRDefault="00E67A24" w:rsidP="006E5F9A">
            <w:pPr>
              <w:pStyle w:val="TableParagraph"/>
              <w:jc w:val="center"/>
              <w:rPr>
                <w:sz w:val="20"/>
                <w:szCs w:val="20"/>
                <w:lang w:val="en-US"/>
              </w:rPr>
            </w:pPr>
          </w:p>
          <w:p w14:paraId="186D88A1" w14:textId="77777777" w:rsidR="00E67A24" w:rsidRPr="00CA43F5" w:rsidRDefault="00E67A24" w:rsidP="006E5F9A">
            <w:pPr>
              <w:pStyle w:val="TableParagraph"/>
              <w:jc w:val="center"/>
              <w:rPr>
                <w:sz w:val="20"/>
                <w:szCs w:val="20"/>
                <w:lang w:val="en-US"/>
              </w:rPr>
            </w:pPr>
          </w:p>
          <w:p w14:paraId="3D1F3EBD" w14:textId="77777777" w:rsidR="00E67A24" w:rsidRPr="00CA43F5" w:rsidRDefault="00E67A24" w:rsidP="006E5F9A">
            <w:pPr>
              <w:pStyle w:val="TableParagraph"/>
              <w:jc w:val="center"/>
              <w:rPr>
                <w:sz w:val="20"/>
                <w:szCs w:val="20"/>
                <w:lang w:val="en-US"/>
              </w:rPr>
            </w:pPr>
          </w:p>
          <w:p w14:paraId="72B69F9D" w14:textId="77777777" w:rsidR="00E67A24" w:rsidRPr="00CA43F5" w:rsidRDefault="00E67A24" w:rsidP="006E5F9A">
            <w:pPr>
              <w:pStyle w:val="TableParagraph"/>
              <w:jc w:val="center"/>
              <w:rPr>
                <w:sz w:val="20"/>
                <w:szCs w:val="20"/>
                <w:lang w:val="en-US"/>
              </w:rPr>
            </w:pPr>
          </w:p>
          <w:p w14:paraId="63164AC3" w14:textId="77777777" w:rsidR="00E67A24" w:rsidRPr="00CA43F5" w:rsidRDefault="00E67A24" w:rsidP="006E5F9A">
            <w:pPr>
              <w:pStyle w:val="TableParagraph"/>
              <w:jc w:val="center"/>
              <w:rPr>
                <w:sz w:val="20"/>
                <w:szCs w:val="20"/>
                <w:lang w:val="en-US"/>
              </w:rPr>
            </w:pPr>
          </w:p>
          <w:p w14:paraId="4BAD48D7" w14:textId="77777777" w:rsidR="00C82B5A" w:rsidRPr="00CA43F5" w:rsidRDefault="00C82B5A" w:rsidP="006E5F9A">
            <w:pPr>
              <w:pStyle w:val="TableParagraph"/>
              <w:jc w:val="center"/>
              <w:rPr>
                <w:sz w:val="20"/>
                <w:szCs w:val="20"/>
                <w:lang w:val="en-US"/>
              </w:rPr>
            </w:pPr>
          </w:p>
          <w:p w14:paraId="693EF713" w14:textId="69A074CA" w:rsidR="00E67A24" w:rsidRPr="00CA43F5" w:rsidRDefault="00E67A24" w:rsidP="006E5F9A">
            <w:pPr>
              <w:pStyle w:val="TableParagraph"/>
              <w:jc w:val="center"/>
              <w:rPr>
                <w:sz w:val="20"/>
                <w:szCs w:val="20"/>
                <w:lang w:val="en-US"/>
              </w:rPr>
            </w:pPr>
            <w:r w:rsidRPr="00CA43F5">
              <w:rPr>
                <w:sz w:val="20"/>
                <w:szCs w:val="20"/>
                <w:lang w:val="en-US"/>
              </w:rPr>
              <w:t>N/A</w:t>
            </w:r>
          </w:p>
        </w:tc>
        <w:tc>
          <w:tcPr>
            <w:tcW w:w="1628" w:type="dxa"/>
          </w:tcPr>
          <w:p w14:paraId="2F9984BF" w14:textId="77777777" w:rsidR="00E67A24" w:rsidRPr="002A56B1" w:rsidRDefault="00E67A24" w:rsidP="006E5F9A">
            <w:pPr>
              <w:pStyle w:val="TableParagraph"/>
              <w:jc w:val="center"/>
              <w:rPr>
                <w:sz w:val="20"/>
                <w:szCs w:val="20"/>
              </w:rPr>
            </w:pPr>
            <w:r w:rsidRPr="002A56B1">
              <w:rPr>
                <w:sz w:val="20"/>
                <w:szCs w:val="20"/>
              </w:rPr>
              <w:t>0,23*</w:t>
            </w:r>
          </w:p>
          <w:p w14:paraId="2F865BFE" w14:textId="77777777" w:rsidR="00E67A24" w:rsidRPr="002A56B1" w:rsidRDefault="00E67A24" w:rsidP="006E5F9A">
            <w:pPr>
              <w:pStyle w:val="TableParagraph"/>
              <w:jc w:val="center"/>
              <w:rPr>
                <w:sz w:val="20"/>
                <w:szCs w:val="20"/>
              </w:rPr>
            </w:pPr>
            <w:r w:rsidRPr="002A56B1">
              <w:rPr>
                <w:sz w:val="20"/>
                <w:szCs w:val="20"/>
              </w:rPr>
              <w:t>(0,11, 0,46)</w:t>
            </w:r>
          </w:p>
          <w:p w14:paraId="5083F97D" w14:textId="77777777" w:rsidR="00E67A24" w:rsidRDefault="00E67A24" w:rsidP="006E5F9A">
            <w:pPr>
              <w:pStyle w:val="TableParagraph"/>
              <w:jc w:val="center"/>
              <w:rPr>
                <w:sz w:val="20"/>
                <w:szCs w:val="20"/>
              </w:rPr>
            </w:pPr>
          </w:p>
          <w:p w14:paraId="7206FE8F" w14:textId="77777777" w:rsidR="002A56B1" w:rsidRPr="002A56B1" w:rsidRDefault="002A56B1" w:rsidP="006E5F9A">
            <w:pPr>
              <w:pStyle w:val="TableParagraph"/>
              <w:jc w:val="center"/>
              <w:rPr>
                <w:sz w:val="20"/>
                <w:szCs w:val="20"/>
              </w:rPr>
            </w:pPr>
          </w:p>
          <w:p w14:paraId="11609F1A" w14:textId="77777777" w:rsidR="00E67A24" w:rsidRPr="002A56B1" w:rsidRDefault="00E67A24" w:rsidP="006E5F9A">
            <w:pPr>
              <w:pStyle w:val="TableParagraph"/>
              <w:jc w:val="center"/>
              <w:rPr>
                <w:sz w:val="20"/>
                <w:szCs w:val="20"/>
              </w:rPr>
            </w:pPr>
          </w:p>
          <w:p w14:paraId="42C45255" w14:textId="77777777" w:rsidR="00E67A24" w:rsidRPr="002A56B1" w:rsidRDefault="00E67A24" w:rsidP="006E5F9A">
            <w:pPr>
              <w:pStyle w:val="TableParagraph"/>
              <w:jc w:val="center"/>
              <w:rPr>
                <w:sz w:val="20"/>
                <w:szCs w:val="20"/>
              </w:rPr>
            </w:pPr>
          </w:p>
          <w:p w14:paraId="0800EAE9" w14:textId="77777777" w:rsidR="00C82B5A" w:rsidRDefault="00C82B5A" w:rsidP="006E5F9A">
            <w:pPr>
              <w:pStyle w:val="TableParagraph"/>
              <w:jc w:val="center"/>
              <w:rPr>
                <w:sz w:val="20"/>
                <w:szCs w:val="20"/>
              </w:rPr>
            </w:pPr>
          </w:p>
          <w:p w14:paraId="00974EF7" w14:textId="27FF4B85" w:rsidR="00E67A24" w:rsidRPr="002A56B1" w:rsidRDefault="00E67A24" w:rsidP="006E5F9A">
            <w:pPr>
              <w:pStyle w:val="TableParagraph"/>
              <w:jc w:val="center"/>
              <w:rPr>
                <w:sz w:val="20"/>
                <w:szCs w:val="20"/>
              </w:rPr>
            </w:pPr>
            <w:r w:rsidRPr="002A56B1">
              <w:rPr>
                <w:sz w:val="20"/>
                <w:szCs w:val="20"/>
              </w:rPr>
              <w:t>0,39**</w:t>
            </w:r>
          </w:p>
          <w:p w14:paraId="47BD032A" w14:textId="77777777" w:rsidR="00E67A24" w:rsidRPr="002A56B1" w:rsidRDefault="00E67A24" w:rsidP="006E5F9A">
            <w:pPr>
              <w:pStyle w:val="TableParagraph"/>
              <w:jc w:val="center"/>
              <w:rPr>
                <w:sz w:val="20"/>
                <w:szCs w:val="20"/>
              </w:rPr>
            </w:pPr>
            <w:r w:rsidRPr="002A56B1">
              <w:rPr>
                <w:sz w:val="20"/>
                <w:szCs w:val="20"/>
              </w:rPr>
              <w:t>(0,18, 0,82)</w:t>
            </w:r>
          </w:p>
          <w:p w14:paraId="392F4D42" w14:textId="77777777" w:rsidR="00E67A24" w:rsidRPr="002A56B1" w:rsidRDefault="00E67A24" w:rsidP="006E5F9A">
            <w:pPr>
              <w:pStyle w:val="TableParagraph"/>
              <w:jc w:val="center"/>
              <w:rPr>
                <w:sz w:val="20"/>
                <w:szCs w:val="20"/>
              </w:rPr>
            </w:pPr>
          </w:p>
          <w:p w14:paraId="66B3AA9A" w14:textId="77777777" w:rsidR="00E67A24" w:rsidRPr="002A56B1" w:rsidRDefault="00E67A24" w:rsidP="006E5F9A">
            <w:pPr>
              <w:pStyle w:val="TableParagraph"/>
              <w:jc w:val="center"/>
              <w:rPr>
                <w:sz w:val="20"/>
                <w:szCs w:val="20"/>
              </w:rPr>
            </w:pPr>
          </w:p>
          <w:p w14:paraId="15A4B6AE" w14:textId="77777777" w:rsidR="00E67A24" w:rsidRDefault="00E67A24" w:rsidP="006E5F9A">
            <w:pPr>
              <w:pStyle w:val="TableParagraph"/>
              <w:jc w:val="center"/>
              <w:rPr>
                <w:sz w:val="20"/>
                <w:szCs w:val="20"/>
              </w:rPr>
            </w:pPr>
          </w:p>
          <w:p w14:paraId="6B00F7CB" w14:textId="77777777" w:rsidR="002A56B1" w:rsidRPr="002A56B1" w:rsidRDefault="002A56B1" w:rsidP="006E5F9A">
            <w:pPr>
              <w:pStyle w:val="TableParagraph"/>
              <w:jc w:val="center"/>
              <w:rPr>
                <w:sz w:val="20"/>
                <w:szCs w:val="20"/>
              </w:rPr>
            </w:pPr>
          </w:p>
          <w:p w14:paraId="48D39ACD" w14:textId="77777777" w:rsidR="00C82B5A" w:rsidRDefault="00C82B5A" w:rsidP="006E5F9A">
            <w:pPr>
              <w:pStyle w:val="TableParagraph"/>
              <w:jc w:val="center"/>
              <w:rPr>
                <w:sz w:val="20"/>
                <w:szCs w:val="20"/>
              </w:rPr>
            </w:pPr>
          </w:p>
          <w:p w14:paraId="1F2F04A2" w14:textId="452573AD" w:rsidR="00E67A24" w:rsidRPr="002A56B1" w:rsidRDefault="00E67A24" w:rsidP="006E5F9A">
            <w:pPr>
              <w:pStyle w:val="TableParagraph"/>
              <w:jc w:val="center"/>
              <w:rPr>
                <w:sz w:val="20"/>
                <w:szCs w:val="20"/>
              </w:rPr>
            </w:pPr>
            <w:r w:rsidRPr="002A56B1">
              <w:rPr>
                <w:sz w:val="20"/>
                <w:szCs w:val="20"/>
              </w:rPr>
              <w:t>0,23***</w:t>
            </w:r>
          </w:p>
          <w:p w14:paraId="69D18541" w14:textId="77777777" w:rsidR="00E67A24" w:rsidRPr="002A56B1" w:rsidRDefault="00E67A24" w:rsidP="006E5F9A">
            <w:pPr>
              <w:pStyle w:val="TableParagraph"/>
              <w:jc w:val="center"/>
              <w:rPr>
                <w:sz w:val="20"/>
                <w:szCs w:val="20"/>
              </w:rPr>
            </w:pPr>
            <w:r w:rsidRPr="002A56B1">
              <w:rPr>
                <w:sz w:val="20"/>
                <w:szCs w:val="20"/>
              </w:rPr>
              <w:t>(0,09, 0,61)</w:t>
            </w:r>
          </w:p>
          <w:p w14:paraId="25F1F69E" w14:textId="77777777" w:rsidR="00E67A24" w:rsidRPr="002A56B1" w:rsidRDefault="00E67A24" w:rsidP="006E5F9A">
            <w:pPr>
              <w:pStyle w:val="TableParagraph"/>
              <w:jc w:val="center"/>
              <w:rPr>
                <w:sz w:val="20"/>
                <w:szCs w:val="20"/>
              </w:rPr>
            </w:pPr>
          </w:p>
          <w:p w14:paraId="4E8EC35F" w14:textId="77777777" w:rsidR="00E67A24" w:rsidRPr="002A56B1" w:rsidRDefault="00E67A24" w:rsidP="006E5F9A">
            <w:pPr>
              <w:pStyle w:val="TableParagraph"/>
              <w:jc w:val="center"/>
              <w:rPr>
                <w:sz w:val="20"/>
                <w:szCs w:val="20"/>
              </w:rPr>
            </w:pPr>
          </w:p>
          <w:p w14:paraId="55E9E149" w14:textId="77777777" w:rsidR="00E67A24" w:rsidRPr="002A56B1" w:rsidRDefault="00E67A24" w:rsidP="006E5F9A">
            <w:pPr>
              <w:pStyle w:val="TableParagraph"/>
              <w:jc w:val="center"/>
              <w:rPr>
                <w:sz w:val="20"/>
                <w:szCs w:val="20"/>
              </w:rPr>
            </w:pPr>
          </w:p>
          <w:p w14:paraId="08749C31" w14:textId="77777777" w:rsidR="00E67A24" w:rsidRPr="002A56B1" w:rsidRDefault="00E67A24" w:rsidP="006E5F9A">
            <w:pPr>
              <w:pStyle w:val="TableParagraph"/>
              <w:jc w:val="center"/>
              <w:rPr>
                <w:sz w:val="20"/>
                <w:szCs w:val="20"/>
              </w:rPr>
            </w:pPr>
          </w:p>
          <w:p w14:paraId="745476BB" w14:textId="77777777" w:rsidR="00C82B5A" w:rsidRDefault="00C82B5A" w:rsidP="006E5F9A">
            <w:pPr>
              <w:pStyle w:val="TableParagraph"/>
              <w:jc w:val="center"/>
              <w:rPr>
                <w:sz w:val="20"/>
                <w:szCs w:val="20"/>
              </w:rPr>
            </w:pPr>
          </w:p>
          <w:p w14:paraId="7C98C223" w14:textId="73BB5262" w:rsidR="00E67A24" w:rsidRPr="002A56B1" w:rsidRDefault="00E67A24" w:rsidP="006E5F9A">
            <w:pPr>
              <w:pStyle w:val="TableParagraph"/>
              <w:jc w:val="center"/>
              <w:rPr>
                <w:sz w:val="20"/>
                <w:szCs w:val="20"/>
              </w:rPr>
            </w:pPr>
            <w:r w:rsidRPr="002A56B1">
              <w:rPr>
                <w:sz w:val="20"/>
                <w:szCs w:val="20"/>
              </w:rPr>
              <w:t>0,36</w:t>
            </w:r>
          </w:p>
          <w:p w14:paraId="0B5CBDB7" w14:textId="77777777" w:rsidR="00E67A24" w:rsidRPr="002A56B1" w:rsidRDefault="00E67A24" w:rsidP="006E5F9A">
            <w:pPr>
              <w:pStyle w:val="TableParagraph"/>
              <w:jc w:val="center"/>
              <w:rPr>
                <w:sz w:val="20"/>
                <w:szCs w:val="20"/>
              </w:rPr>
            </w:pPr>
            <w:r w:rsidRPr="002A56B1">
              <w:rPr>
                <w:sz w:val="20"/>
                <w:szCs w:val="20"/>
              </w:rPr>
              <w:t>(0,13, 1,00)</w:t>
            </w:r>
          </w:p>
          <w:p w14:paraId="7FE6D8D6" w14:textId="77777777" w:rsidR="00E67A24" w:rsidRPr="002A56B1" w:rsidRDefault="00E67A24" w:rsidP="006E5F9A">
            <w:pPr>
              <w:pStyle w:val="TableParagraph"/>
              <w:jc w:val="center"/>
              <w:rPr>
                <w:sz w:val="20"/>
                <w:szCs w:val="20"/>
              </w:rPr>
            </w:pPr>
          </w:p>
          <w:p w14:paraId="56199542" w14:textId="77777777" w:rsidR="00E67A24" w:rsidRPr="002A56B1" w:rsidRDefault="00E67A24" w:rsidP="006E5F9A">
            <w:pPr>
              <w:pStyle w:val="TableParagraph"/>
              <w:jc w:val="center"/>
              <w:rPr>
                <w:sz w:val="20"/>
                <w:szCs w:val="20"/>
              </w:rPr>
            </w:pPr>
          </w:p>
          <w:p w14:paraId="2E7FE735" w14:textId="77777777" w:rsidR="00E67A24" w:rsidRPr="002A56B1" w:rsidRDefault="00E67A24" w:rsidP="006E5F9A">
            <w:pPr>
              <w:pStyle w:val="TableParagraph"/>
              <w:jc w:val="center"/>
              <w:rPr>
                <w:sz w:val="20"/>
                <w:szCs w:val="20"/>
              </w:rPr>
            </w:pPr>
          </w:p>
          <w:p w14:paraId="7BD5BB1C" w14:textId="77777777" w:rsidR="00E67A24" w:rsidRPr="002A56B1" w:rsidRDefault="00E67A24" w:rsidP="006E5F9A">
            <w:pPr>
              <w:pStyle w:val="TableParagraph"/>
              <w:jc w:val="center"/>
              <w:rPr>
                <w:sz w:val="20"/>
                <w:szCs w:val="20"/>
              </w:rPr>
            </w:pPr>
          </w:p>
          <w:p w14:paraId="4475355D" w14:textId="77777777" w:rsidR="00C82B5A" w:rsidRDefault="00C82B5A" w:rsidP="006E5F9A">
            <w:pPr>
              <w:pStyle w:val="TableParagraph"/>
              <w:jc w:val="center"/>
              <w:rPr>
                <w:sz w:val="20"/>
                <w:szCs w:val="20"/>
              </w:rPr>
            </w:pPr>
          </w:p>
          <w:p w14:paraId="51781FBA" w14:textId="02CB1870" w:rsidR="00E67A24" w:rsidRPr="002A56B1" w:rsidRDefault="00E67A24" w:rsidP="006E5F9A">
            <w:pPr>
              <w:pStyle w:val="TableParagraph"/>
              <w:jc w:val="center"/>
              <w:rPr>
                <w:sz w:val="20"/>
                <w:szCs w:val="20"/>
              </w:rPr>
            </w:pPr>
            <w:r w:rsidRPr="002A56B1">
              <w:rPr>
                <w:sz w:val="20"/>
                <w:szCs w:val="20"/>
              </w:rPr>
              <w:t>0,25***</w:t>
            </w:r>
          </w:p>
          <w:p w14:paraId="0865F478" w14:textId="77777777" w:rsidR="00E67A24" w:rsidRPr="002A56B1" w:rsidRDefault="00E67A24" w:rsidP="006E5F9A">
            <w:pPr>
              <w:pStyle w:val="TableParagraph"/>
              <w:jc w:val="center"/>
              <w:rPr>
                <w:sz w:val="20"/>
                <w:szCs w:val="20"/>
              </w:rPr>
            </w:pPr>
            <w:r w:rsidRPr="002A56B1">
              <w:rPr>
                <w:sz w:val="20"/>
                <w:szCs w:val="20"/>
              </w:rPr>
              <w:t>(0,09, 0,70)</w:t>
            </w:r>
          </w:p>
          <w:p w14:paraId="4A606786" w14:textId="77777777" w:rsidR="00E67A24" w:rsidRPr="002A56B1" w:rsidRDefault="00E67A24" w:rsidP="006E5F9A">
            <w:pPr>
              <w:pStyle w:val="TableParagraph"/>
              <w:jc w:val="center"/>
              <w:rPr>
                <w:sz w:val="20"/>
                <w:szCs w:val="20"/>
              </w:rPr>
            </w:pPr>
          </w:p>
          <w:p w14:paraId="6F7067E7" w14:textId="77777777" w:rsidR="00E67A24" w:rsidRPr="002A56B1" w:rsidRDefault="00E67A24" w:rsidP="006E5F9A">
            <w:pPr>
              <w:pStyle w:val="TableParagraph"/>
              <w:jc w:val="center"/>
              <w:rPr>
                <w:sz w:val="20"/>
                <w:szCs w:val="20"/>
              </w:rPr>
            </w:pPr>
          </w:p>
          <w:p w14:paraId="464EFC28" w14:textId="77777777" w:rsidR="00E67A24" w:rsidRPr="002A56B1" w:rsidRDefault="00E67A24" w:rsidP="006E5F9A">
            <w:pPr>
              <w:pStyle w:val="TableParagraph"/>
              <w:jc w:val="center"/>
              <w:rPr>
                <w:sz w:val="20"/>
                <w:szCs w:val="20"/>
              </w:rPr>
            </w:pPr>
          </w:p>
          <w:p w14:paraId="5F2C7275" w14:textId="77777777" w:rsidR="00E67A24" w:rsidRPr="002A56B1" w:rsidRDefault="00E67A24" w:rsidP="006E5F9A">
            <w:pPr>
              <w:pStyle w:val="TableParagraph"/>
              <w:jc w:val="center"/>
              <w:rPr>
                <w:sz w:val="20"/>
                <w:szCs w:val="20"/>
              </w:rPr>
            </w:pPr>
          </w:p>
          <w:p w14:paraId="3EA76F6E" w14:textId="77777777" w:rsidR="00C82B5A" w:rsidRDefault="00C82B5A" w:rsidP="006E5F9A">
            <w:pPr>
              <w:pStyle w:val="TableParagraph"/>
              <w:jc w:val="center"/>
              <w:rPr>
                <w:sz w:val="20"/>
                <w:szCs w:val="20"/>
              </w:rPr>
            </w:pPr>
          </w:p>
          <w:p w14:paraId="472FC9DF" w14:textId="51D049AE" w:rsidR="00E67A24" w:rsidRPr="002A56B1" w:rsidRDefault="00E67A24" w:rsidP="006E5F9A">
            <w:pPr>
              <w:pStyle w:val="TableParagraph"/>
              <w:jc w:val="center"/>
              <w:rPr>
                <w:sz w:val="20"/>
                <w:szCs w:val="20"/>
              </w:rPr>
            </w:pPr>
            <w:r w:rsidRPr="002A56B1">
              <w:rPr>
                <w:sz w:val="20"/>
                <w:szCs w:val="20"/>
              </w:rPr>
              <w:t>0,44</w:t>
            </w:r>
          </w:p>
          <w:p w14:paraId="0F6041E9" w14:textId="77777777" w:rsidR="00E67A24" w:rsidRPr="002A56B1" w:rsidRDefault="00E67A24" w:rsidP="006E5F9A">
            <w:pPr>
              <w:pStyle w:val="TableParagraph"/>
              <w:jc w:val="center"/>
              <w:rPr>
                <w:sz w:val="20"/>
                <w:szCs w:val="20"/>
              </w:rPr>
            </w:pPr>
            <w:r w:rsidRPr="002A56B1">
              <w:rPr>
                <w:sz w:val="20"/>
                <w:szCs w:val="20"/>
              </w:rPr>
              <w:t>(0,14, 1,32)</w:t>
            </w:r>
          </w:p>
        </w:tc>
        <w:tc>
          <w:tcPr>
            <w:tcW w:w="1571" w:type="dxa"/>
          </w:tcPr>
          <w:p w14:paraId="7ACD4F93" w14:textId="77777777" w:rsidR="00E67A24" w:rsidRPr="002A56B1" w:rsidRDefault="00E67A24" w:rsidP="006E5F9A">
            <w:pPr>
              <w:pStyle w:val="TableParagraph"/>
              <w:jc w:val="center"/>
              <w:rPr>
                <w:sz w:val="20"/>
                <w:szCs w:val="20"/>
              </w:rPr>
            </w:pPr>
            <w:r w:rsidRPr="002A56B1">
              <w:rPr>
                <w:sz w:val="20"/>
                <w:szCs w:val="20"/>
              </w:rPr>
              <w:t>0,28**</w:t>
            </w:r>
          </w:p>
          <w:p w14:paraId="3172A2A1" w14:textId="77777777" w:rsidR="00E67A24" w:rsidRPr="002A56B1" w:rsidRDefault="00E67A24" w:rsidP="006E5F9A">
            <w:pPr>
              <w:pStyle w:val="TableParagraph"/>
              <w:jc w:val="center"/>
              <w:rPr>
                <w:sz w:val="20"/>
                <w:szCs w:val="20"/>
              </w:rPr>
            </w:pPr>
            <w:r w:rsidRPr="002A56B1">
              <w:rPr>
                <w:sz w:val="20"/>
                <w:szCs w:val="20"/>
              </w:rPr>
              <w:t>(0,12, 0,66)</w:t>
            </w:r>
          </w:p>
          <w:p w14:paraId="15D5C771" w14:textId="77777777" w:rsidR="00E67A24" w:rsidRDefault="00E67A24" w:rsidP="006E5F9A">
            <w:pPr>
              <w:pStyle w:val="TableParagraph"/>
              <w:jc w:val="center"/>
              <w:rPr>
                <w:sz w:val="20"/>
                <w:szCs w:val="20"/>
              </w:rPr>
            </w:pPr>
          </w:p>
          <w:p w14:paraId="4551026E" w14:textId="77777777" w:rsidR="002A56B1" w:rsidRPr="002A56B1" w:rsidRDefault="002A56B1" w:rsidP="006E5F9A">
            <w:pPr>
              <w:pStyle w:val="TableParagraph"/>
              <w:jc w:val="center"/>
              <w:rPr>
                <w:sz w:val="20"/>
                <w:szCs w:val="20"/>
              </w:rPr>
            </w:pPr>
          </w:p>
          <w:p w14:paraId="4FD721A2" w14:textId="77777777" w:rsidR="00E67A24" w:rsidRPr="002A56B1" w:rsidRDefault="00E67A24" w:rsidP="006E5F9A">
            <w:pPr>
              <w:pStyle w:val="TableParagraph"/>
              <w:jc w:val="center"/>
              <w:rPr>
                <w:sz w:val="20"/>
                <w:szCs w:val="20"/>
              </w:rPr>
            </w:pPr>
          </w:p>
          <w:p w14:paraId="0B321E5E" w14:textId="77777777" w:rsidR="00E67A24" w:rsidRPr="002A56B1" w:rsidRDefault="00E67A24" w:rsidP="006E5F9A">
            <w:pPr>
              <w:pStyle w:val="TableParagraph"/>
              <w:jc w:val="center"/>
              <w:rPr>
                <w:sz w:val="20"/>
                <w:szCs w:val="20"/>
              </w:rPr>
            </w:pPr>
          </w:p>
          <w:p w14:paraId="1A11C281" w14:textId="77777777" w:rsidR="00C82B5A" w:rsidRDefault="00C82B5A" w:rsidP="006E5F9A">
            <w:pPr>
              <w:pStyle w:val="TableParagraph"/>
              <w:jc w:val="center"/>
              <w:rPr>
                <w:sz w:val="20"/>
                <w:szCs w:val="20"/>
              </w:rPr>
            </w:pPr>
          </w:p>
          <w:p w14:paraId="1CC3BFD0" w14:textId="2640ABF6" w:rsidR="00E67A24" w:rsidRPr="002A56B1" w:rsidRDefault="00E67A24" w:rsidP="006E5F9A">
            <w:pPr>
              <w:pStyle w:val="TableParagraph"/>
              <w:jc w:val="center"/>
              <w:rPr>
                <w:sz w:val="20"/>
                <w:szCs w:val="20"/>
              </w:rPr>
            </w:pPr>
            <w:r w:rsidRPr="002A56B1">
              <w:rPr>
                <w:sz w:val="20"/>
                <w:szCs w:val="20"/>
              </w:rPr>
              <w:t>0,48</w:t>
            </w:r>
          </w:p>
          <w:p w14:paraId="1CA242DD" w14:textId="77777777" w:rsidR="00E67A24" w:rsidRPr="002A56B1" w:rsidRDefault="00E67A24" w:rsidP="006E5F9A">
            <w:pPr>
              <w:pStyle w:val="TableParagraph"/>
              <w:jc w:val="center"/>
              <w:rPr>
                <w:sz w:val="20"/>
                <w:szCs w:val="20"/>
              </w:rPr>
            </w:pPr>
            <w:r w:rsidRPr="002A56B1">
              <w:rPr>
                <w:sz w:val="20"/>
                <w:szCs w:val="20"/>
              </w:rPr>
              <w:t>(0,20, 1,16)</w:t>
            </w:r>
          </w:p>
          <w:p w14:paraId="17EBE9E3" w14:textId="77777777" w:rsidR="00E67A24" w:rsidRPr="002A56B1" w:rsidRDefault="00E67A24" w:rsidP="006E5F9A">
            <w:pPr>
              <w:pStyle w:val="TableParagraph"/>
              <w:jc w:val="center"/>
              <w:rPr>
                <w:sz w:val="20"/>
                <w:szCs w:val="20"/>
              </w:rPr>
            </w:pPr>
          </w:p>
          <w:p w14:paraId="50785586" w14:textId="77777777" w:rsidR="00E67A24" w:rsidRPr="002A56B1" w:rsidRDefault="00E67A24" w:rsidP="006E5F9A">
            <w:pPr>
              <w:pStyle w:val="TableParagraph"/>
              <w:jc w:val="center"/>
              <w:rPr>
                <w:sz w:val="20"/>
                <w:szCs w:val="20"/>
              </w:rPr>
            </w:pPr>
          </w:p>
          <w:p w14:paraId="3375C807" w14:textId="77777777" w:rsidR="00E67A24" w:rsidRDefault="00E67A24" w:rsidP="006E5F9A">
            <w:pPr>
              <w:pStyle w:val="TableParagraph"/>
              <w:jc w:val="center"/>
              <w:rPr>
                <w:sz w:val="20"/>
                <w:szCs w:val="20"/>
              </w:rPr>
            </w:pPr>
          </w:p>
          <w:p w14:paraId="48877FEC" w14:textId="77777777" w:rsidR="002A56B1" w:rsidRPr="002A56B1" w:rsidRDefault="002A56B1" w:rsidP="006E5F9A">
            <w:pPr>
              <w:pStyle w:val="TableParagraph"/>
              <w:jc w:val="center"/>
              <w:rPr>
                <w:sz w:val="20"/>
                <w:szCs w:val="20"/>
              </w:rPr>
            </w:pPr>
          </w:p>
          <w:p w14:paraId="3BFC1EEE" w14:textId="77777777" w:rsidR="00C82B5A" w:rsidRDefault="00C82B5A" w:rsidP="006E5F9A">
            <w:pPr>
              <w:pStyle w:val="TableParagraph"/>
              <w:jc w:val="center"/>
              <w:rPr>
                <w:sz w:val="20"/>
                <w:szCs w:val="20"/>
              </w:rPr>
            </w:pPr>
          </w:p>
          <w:p w14:paraId="1143503D" w14:textId="78E673F9" w:rsidR="00E67A24" w:rsidRPr="002A56B1" w:rsidRDefault="00E67A24" w:rsidP="006E5F9A">
            <w:pPr>
              <w:pStyle w:val="TableParagraph"/>
              <w:jc w:val="center"/>
              <w:rPr>
                <w:sz w:val="20"/>
                <w:szCs w:val="20"/>
              </w:rPr>
            </w:pPr>
            <w:r w:rsidRPr="002A56B1">
              <w:rPr>
                <w:sz w:val="20"/>
                <w:szCs w:val="20"/>
              </w:rPr>
              <w:t>0,42</w:t>
            </w:r>
          </w:p>
          <w:p w14:paraId="5E69DCEB" w14:textId="77777777" w:rsidR="00E67A24" w:rsidRPr="002A56B1" w:rsidRDefault="00E67A24" w:rsidP="006E5F9A">
            <w:pPr>
              <w:pStyle w:val="TableParagraph"/>
              <w:jc w:val="center"/>
              <w:rPr>
                <w:sz w:val="20"/>
                <w:szCs w:val="20"/>
              </w:rPr>
            </w:pPr>
            <w:r w:rsidRPr="002A56B1">
              <w:rPr>
                <w:sz w:val="20"/>
                <w:szCs w:val="20"/>
              </w:rPr>
              <w:t>(0,14, 1,28)</w:t>
            </w:r>
          </w:p>
          <w:p w14:paraId="1E4D1C62" w14:textId="77777777" w:rsidR="00E67A24" w:rsidRPr="002A56B1" w:rsidRDefault="00E67A24" w:rsidP="006E5F9A">
            <w:pPr>
              <w:pStyle w:val="TableParagraph"/>
              <w:jc w:val="center"/>
              <w:rPr>
                <w:sz w:val="20"/>
                <w:szCs w:val="20"/>
              </w:rPr>
            </w:pPr>
          </w:p>
          <w:p w14:paraId="0F469C7E" w14:textId="77777777" w:rsidR="00E67A24" w:rsidRPr="002A56B1" w:rsidRDefault="00E67A24" w:rsidP="006E5F9A">
            <w:pPr>
              <w:pStyle w:val="TableParagraph"/>
              <w:jc w:val="center"/>
              <w:rPr>
                <w:sz w:val="20"/>
                <w:szCs w:val="20"/>
              </w:rPr>
            </w:pPr>
          </w:p>
          <w:p w14:paraId="22EE4CCA" w14:textId="77777777" w:rsidR="00E67A24" w:rsidRPr="002A56B1" w:rsidRDefault="00E67A24" w:rsidP="006E5F9A">
            <w:pPr>
              <w:pStyle w:val="TableParagraph"/>
              <w:jc w:val="center"/>
              <w:rPr>
                <w:sz w:val="20"/>
                <w:szCs w:val="20"/>
              </w:rPr>
            </w:pPr>
          </w:p>
          <w:p w14:paraId="2B04B202" w14:textId="77777777" w:rsidR="00E67A24" w:rsidRPr="002A56B1" w:rsidRDefault="00E67A24" w:rsidP="006E5F9A">
            <w:pPr>
              <w:pStyle w:val="TableParagraph"/>
              <w:jc w:val="center"/>
              <w:rPr>
                <w:sz w:val="20"/>
                <w:szCs w:val="20"/>
              </w:rPr>
            </w:pPr>
          </w:p>
          <w:p w14:paraId="47860FEA" w14:textId="77777777" w:rsidR="00C82B5A" w:rsidRDefault="00C82B5A" w:rsidP="006E5F9A">
            <w:pPr>
              <w:pStyle w:val="TableParagraph"/>
              <w:jc w:val="center"/>
              <w:rPr>
                <w:sz w:val="20"/>
                <w:szCs w:val="20"/>
              </w:rPr>
            </w:pPr>
          </w:p>
          <w:p w14:paraId="6E2DBB49" w14:textId="675BCAF5" w:rsidR="00E67A24" w:rsidRPr="002A56B1" w:rsidRDefault="00E67A24" w:rsidP="006E5F9A">
            <w:pPr>
              <w:pStyle w:val="TableParagraph"/>
              <w:jc w:val="center"/>
              <w:rPr>
                <w:sz w:val="20"/>
                <w:szCs w:val="20"/>
              </w:rPr>
            </w:pPr>
            <w:r w:rsidRPr="002A56B1">
              <w:rPr>
                <w:sz w:val="20"/>
                <w:szCs w:val="20"/>
              </w:rPr>
              <w:t>0,67</w:t>
            </w:r>
          </w:p>
          <w:p w14:paraId="6B76C113" w14:textId="77777777" w:rsidR="00E67A24" w:rsidRPr="002A56B1" w:rsidRDefault="00E67A24" w:rsidP="006E5F9A">
            <w:pPr>
              <w:pStyle w:val="TableParagraph"/>
              <w:jc w:val="center"/>
              <w:rPr>
                <w:sz w:val="20"/>
                <w:szCs w:val="20"/>
              </w:rPr>
            </w:pPr>
            <w:r w:rsidRPr="002A56B1">
              <w:rPr>
                <w:sz w:val="20"/>
                <w:szCs w:val="20"/>
              </w:rPr>
              <w:t>(0,21, 2,10)</w:t>
            </w:r>
          </w:p>
          <w:p w14:paraId="45D9E2EC" w14:textId="77777777" w:rsidR="00E67A24" w:rsidRPr="002A56B1" w:rsidRDefault="00E67A24" w:rsidP="006E5F9A">
            <w:pPr>
              <w:pStyle w:val="TableParagraph"/>
              <w:jc w:val="center"/>
              <w:rPr>
                <w:sz w:val="20"/>
                <w:szCs w:val="20"/>
              </w:rPr>
            </w:pPr>
          </w:p>
          <w:p w14:paraId="52E35CA9" w14:textId="77777777" w:rsidR="00E67A24" w:rsidRPr="002A56B1" w:rsidRDefault="00E67A24" w:rsidP="006E5F9A">
            <w:pPr>
              <w:pStyle w:val="TableParagraph"/>
              <w:jc w:val="center"/>
              <w:rPr>
                <w:sz w:val="20"/>
                <w:szCs w:val="20"/>
              </w:rPr>
            </w:pPr>
          </w:p>
          <w:p w14:paraId="7766B2EE" w14:textId="77777777" w:rsidR="00E67A24" w:rsidRPr="002A56B1" w:rsidRDefault="00E67A24" w:rsidP="006E5F9A">
            <w:pPr>
              <w:pStyle w:val="TableParagraph"/>
              <w:jc w:val="center"/>
              <w:rPr>
                <w:sz w:val="20"/>
                <w:szCs w:val="20"/>
              </w:rPr>
            </w:pPr>
          </w:p>
          <w:p w14:paraId="39EB581C" w14:textId="77777777" w:rsidR="00E67A24" w:rsidRPr="002A56B1" w:rsidRDefault="00E67A24" w:rsidP="006E5F9A">
            <w:pPr>
              <w:pStyle w:val="TableParagraph"/>
              <w:jc w:val="center"/>
              <w:rPr>
                <w:sz w:val="20"/>
                <w:szCs w:val="20"/>
              </w:rPr>
            </w:pPr>
          </w:p>
          <w:p w14:paraId="3F1A391B" w14:textId="77777777" w:rsidR="00C82B5A" w:rsidRDefault="00C82B5A" w:rsidP="006E5F9A">
            <w:pPr>
              <w:pStyle w:val="TableParagraph"/>
              <w:jc w:val="center"/>
              <w:rPr>
                <w:sz w:val="20"/>
                <w:szCs w:val="20"/>
              </w:rPr>
            </w:pPr>
          </w:p>
          <w:p w14:paraId="14A0098F" w14:textId="5F8CFEDC" w:rsidR="00E67A24" w:rsidRPr="002A56B1" w:rsidRDefault="00E67A24" w:rsidP="006E5F9A">
            <w:pPr>
              <w:pStyle w:val="TableParagraph"/>
              <w:jc w:val="center"/>
              <w:rPr>
                <w:sz w:val="20"/>
                <w:szCs w:val="20"/>
              </w:rPr>
            </w:pPr>
            <w:r w:rsidRPr="002A56B1">
              <w:rPr>
                <w:sz w:val="20"/>
                <w:szCs w:val="20"/>
              </w:rPr>
              <w:t>0,20***</w:t>
            </w:r>
          </w:p>
          <w:p w14:paraId="5A9B6F31" w14:textId="77777777" w:rsidR="00E67A24" w:rsidRPr="002A56B1" w:rsidRDefault="00E67A24" w:rsidP="006E5F9A">
            <w:pPr>
              <w:pStyle w:val="TableParagraph"/>
              <w:jc w:val="center"/>
              <w:rPr>
                <w:sz w:val="20"/>
                <w:szCs w:val="20"/>
              </w:rPr>
            </w:pPr>
            <w:r w:rsidRPr="002A56B1">
              <w:rPr>
                <w:sz w:val="20"/>
                <w:szCs w:val="20"/>
              </w:rPr>
              <w:t>(0,05, 0,76)</w:t>
            </w:r>
          </w:p>
          <w:p w14:paraId="18058624" w14:textId="77777777" w:rsidR="00E67A24" w:rsidRPr="002A56B1" w:rsidRDefault="00E67A24" w:rsidP="006E5F9A">
            <w:pPr>
              <w:pStyle w:val="TableParagraph"/>
              <w:jc w:val="center"/>
              <w:rPr>
                <w:sz w:val="20"/>
                <w:szCs w:val="20"/>
              </w:rPr>
            </w:pPr>
          </w:p>
          <w:p w14:paraId="26F7D6AA" w14:textId="77777777" w:rsidR="00E67A24" w:rsidRPr="002A56B1" w:rsidRDefault="00E67A24" w:rsidP="006E5F9A">
            <w:pPr>
              <w:pStyle w:val="TableParagraph"/>
              <w:jc w:val="center"/>
              <w:rPr>
                <w:sz w:val="20"/>
                <w:szCs w:val="20"/>
              </w:rPr>
            </w:pPr>
          </w:p>
          <w:p w14:paraId="0CF30B75" w14:textId="77777777" w:rsidR="00E67A24" w:rsidRPr="002A56B1" w:rsidRDefault="00E67A24" w:rsidP="006E5F9A">
            <w:pPr>
              <w:pStyle w:val="TableParagraph"/>
              <w:jc w:val="center"/>
              <w:rPr>
                <w:sz w:val="20"/>
                <w:szCs w:val="20"/>
              </w:rPr>
            </w:pPr>
          </w:p>
          <w:p w14:paraId="630B36DB" w14:textId="77777777" w:rsidR="00E67A24" w:rsidRPr="002A56B1" w:rsidRDefault="00E67A24" w:rsidP="006E5F9A">
            <w:pPr>
              <w:pStyle w:val="TableParagraph"/>
              <w:jc w:val="center"/>
              <w:rPr>
                <w:sz w:val="20"/>
                <w:szCs w:val="20"/>
              </w:rPr>
            </w:pPr>
          </w:p>
          <w:p w14:paraId="6B9337E8" w14:textId="77777777" w:rsidR="00C82B5A" w:rsidRDefault="00C82B5A" w:rsidP="006E5F9A">
            <w:pPr>
              <w:pStyle w:val="TableParagraph"/>
              <w:jc w:val="center"/>
              <w:rPr>
                <w:sz w:val="20"/>
                <w:szCs w:val="20"/>
              </w:rPr>
            </w:pPr>
          </w:p>
          <w:p w14:paraId="404467F8" w14:textId="386A92EC" w:rsidR="00E67A24" w:rsidRPr="002A56B1" w:rsidRDefault="00E67A24" w:rsidP="006E5F9A">
            <w:pPr>
              <w:pStyle w:val="TableParagraph"/>
              <w:jc w:val="center"/>
              <w:rPr>
                <w:sz w:val="20"/>
                <w:szCs w:val="20"/>
              </w:rPr>
            </w:pPr>
            <w:r w:rsidRPr="002A56B1">
              <w:rPr>
                <w:sz w:val="20"/>
                <w:szCs w:val="20"/>
              </w:rPr>
              <w:t>0,35</w:t>
            </w:r>
          </w:p>
          <w:p w14:paraId="1B556AF7" w14:textId="77777777" w:rsidR="00E67A24" w:rsidRPr="002A56B1" w:rsidRDefault="00E67A24" w:rsidP="006E5F9A">
            <w:pPr>
              <w:pStyle w:val="TableParagraph"/>
              <w:jc w:val="center"/>
              <w:rPr>
                <w:sz w:val="20"/>
                <w:szCs w:val="20"/>
              </w:rPr>
            </w:pPr>
            <w:r w:rsidRPr="002A56B1">
              <w:rPr>
                <w:sz w:val="20"/>
                <w:szCs w:val="20"/>
              </w:rPr>
              <w:t>(0,09, 1,42)</w:t>
            </w:r>
          </w:p>
        </w:tc>
      </w:tr>
      <w:tr w:rsidR="00E67A24" w:rsidRPr="00777B93" w14:paraId="487E5B0A" w14:textId="77777777" w:rsidTr="00C82B5A">
        <w:trPr>
          <w:trHeight w:val="1840"/>
        </w:trPr>
        <w:tc>
          <w:tcPr>
            <w:tcW w:w="2830" w:type="dxa"/>
          </w:tcPr>
          <w:p w14:paraId="798C2D51" w14:textId="77777777" w:rsidR="00E67A24" w:rsidRPr="002A56B1" w:rsidRDefault="00E67A24" w:rsidP="006E5F9A">
            <w:pPr>
              <w:pStyle w:val="TableParagraph"/>
              <w:rPr>
                <w:i/>
                <w:iCs/>
                <w:sz w:val="20"/>
                <w:szCs w:val="20"/>
              </w:rPr>
            </w:pPr>
            <w:r w:rsidRPr="002A56B1">
              <w:rPr>
                <w:i/>
                <w:iCs/>
                <w:sz w:val="20"/>
                <w:szCs w:val="20"/>
              </w:rPr>
              <w:t>Kumulatiivinen glukokortikoidiannos (mg)</w:t>
            </w:r>
          </w:p>
          <w:p w14:paraId="11B38386" w14:textId="77777777" w:rsidR="00E67A24" w:rsidRPr="002A56B1" w:rsidRDefault="00E67A24" w:rsidP="002A56B1">
            <w:pPr>
              <w:pStyle w:val="TableParagraph"/>
              <w:ind w:left="306"/>
              <w:rPr>
                <w:i/>
                <w:iCs/>
                <w:sz w:val="20"/>
                <w:szCs w:val="20"/>
              </w:rPr>
            </w:pPr>
            <w:r w:rsidRPr="002A56B1">
              <w:rPr>
                <w:i/>
                <w:iCs/>
                <w:sz w:val="20"/>
                <w:szCs w:val="20"/>
              </w:rPr>
              <w:t>mediaani viikolla 52 (tosilitsumabiryhmät vs lumevalmiste + 26</w:t>
            </w:r>
            <w:r w:rsidRPr="002A56B1">
              <w:rPr>
                <w:i/>
                <w:iCs/>
                <w:sz w:val="20"/>
                <w:szCs w:val="20"/>
                <w:vertAlign w:val="superscript"/>
              </w:rPr>
              <w:t>2</w:t>
            </w:r>
            <w:r w:rsidRPr="002A56B1">
              <w:rPr>
                <w:i/>
                <w:iCs/>
                <w:sz w:val="20"/>
                <w:szCs w:val="20"/>
              </w:rPr>
              <w:t>)</w:t>
            </w:r>
          </w:p>
          <w:p w14:paraId="2EC97257" w14:textId="77777777" w:rsidR="00E67A24" w:rsidRPr="002A56B1" w:rsidRDefault="00E67A24" w:rsidP="002A56B1">
            <w:pPr>
              <w:pStyle w:val="TableParagraph"/>
              <w:ind w:left="306"/>
              <w:rPr>
                <w:sz w:val="20"/>
                <w:szCs w:val="20"/>
              </w:rPr>
            </w:pPr>
            <w:r w:rsidRPr="002A56B1">
              <w:rPr>
                <w:i/>
                <w:iCs/>
                <w:sz w:val="20"/>
                <w:szCs w:val="20"/>
              </w:rPr>
              <w:t>mediaani viikolla 52 (tosilitsumabiryhmät vs lumevalmiste + 52</w:t>
            </w:r>
            <w:r w:rsidRPr="002A56B1">
              <w:rPr>
                <w:i/>
                <w:iCs/>
                <w:sz w:val="20"/>
                <w:szCs w:val="20"/>
                <w:vertAlign w:val="superscript"/>
              </w:rPr>
              <w:t>2</w:t>
            </w:r>
            <w:r w:rsidRPr="002A56B1">
              <w:rPr>
                <w:i/>
                <w:iCs/>
                <w:sz w:val="20"/>
                <w:szCs w:val="20"/>
              </w:rPr>
              <w:t>)</w:t>
            </w:r>
          </w:p>
        </w:tc>
        <w:tc>
          <w:tcPr>
            <w:tcW w:w="1603" w:type="dxa"/>
          </w:tcPr>
          <w:p w14:paraId="0134321A" w14:textId="77777777" w:rsidR="00E67A24" w:rsidRPr="002A56B1" w:rsidRDefault="00E67A24" w:rsidP="006E5F9A">
            <w:pPr>
              <w:pStyle w:val="TableParagraph"/>
              <w:jc w:val="center"/>
              <w:rPr>
                <w:sz w:val="20"/>
                <w:szCs w:val="20"/>
              </w:rPr>
            </w:pPr>
          </w:p>
          <w:p w14:paraId="4A72AF4A" w14:textId="77777777" w:rsidR="00E67A24" w:rsidRPr="002A56B1" w:rsidRDefault="00E67A24" w:rsidP="006E5F9A">
            <w:pPr>
              <w:pStyle w:val="TableParagraph"/>
              <w:jc w:val="center"/>
              <w:rPr>
                <w:sz w:val="20"/>
                <w:szCs w:val="20"/>
              </w:rPr>
            </w:pPr>
          </w:p>
          <w:p w14:paraId="2CBB8B4B" w14:textId="77777777" w:rsidR="00E67A24" w:rsidRPr="002A56B1" w:rsidRDefault="00E67A24" w:rsidP="006E5F9A">
            <w:pPr>
              <w:pStyle w:val="TableParagraph"/>
              <w:jc w:val="center"/>
              <w:rPr>
                <w:sz w:val="20"/>
                <w:szCs w:val="20"/>
              </w:rPr>
            </w:pPr>
            <w:r w:rsidRPr="002A56B1">
              <w:rPr>
                <w:sz w:val="20"/>
                <w:szCs w:val="20"/>
              </w:rPr>
              <w:t>3296,00</w:t>
            </w:r>
          </w:p>
          <w:p w14:paraId="31DB8048" w14:textId="77777777" w:rsidR="00E67A24" w:rsidRPr="002A56B1" w:rsidRDefault="00E67A24" w:rsidP="006E5F9A">
            <w:pPr>
              <w:pStyle w:val="TableParagraph"/>
              <w:jc w:val="center"/>
              <w:rPr>
                <w:sz w:val="20"/>
                <w:szCs w:val="20"/>
              </w:rPr>
            </w:pPr>
          </w:p>
          <w:p w14:paraId="4CD5214C" w14:textId="77777777" w:rsidR="00E67A24" w:rsidRPr="002A56B1" w:rsidRDefault="00E67A24" w:rsidP="006E5F9A">
            <w:pPr>
              <w:pStyle w:val="TableParagraph"/>
              <w:jc w:val="center"/>
              <w:rPr>
                <w:sz w:val="20"/>
                <w:szCs w:val="20"/>
              </w:rPr>
            </w:pPr>
          </w:p>
          <w:p w14:paraId="276B43F7" w14:textId="77777777" w:rsidR="00E67A24" w:rsidRPr="002A56B1" w:rsidRDefault="00E67A24" w:rsidP="006E5F9A">
            <w:pPr>
              <w:pStyle w:val="TableParagraph"/>
              <w:jc w:val="center"/>
              <w:rPr>
                <w:sz w:val="20"/>
                <w:szCs w:val="20"/>
              </w:rPr>
            </w:pPr>
            <w:r w:rsidRPr="002A56B1">
              <w:rPr>
                <w:sz w:val="20"/>
                <w:szCs w:val="20"/>
              </w:rPr>
              <w:t>N/A</w:t>
            </w:r>
          </w:p>
        </w:tc>
        <w:tc>
          <w:tcPr>
            <w:tcW w:w="1658" w:type="dxa"/>
          </w:tcPr>
          <w:p w14:paraId="591B2F06" w14:textId="77777777" w:rsidR="00E67A24" w:rsidRPr="002A56B1" w:rsidRDefault="00E67A24" w:rsidP="006E5F9A">
            <w:pPr>
              <w:pStyle w:val="TableParagraph"/>
              <w:jc w:val="center"/>
              <w:rPr>
                <w:sz w:val="20"/>
                <w:szCs w:val="20"/>
              </w:rPr>
            </w:pPr>
          </w:p>
          <w:p w14:paraId="02E7E049" w14:textId="77777777" w:rsidR="00E67A24" w:rsidRPr="002A56B1" w:rsidRDefault="00E67A24" w:rsidP="006E5F9A">
            <w:pPr>
              <w:pStyle w:val="TableParagraph"/>
              <w:jc w:val="center"/>
              <w:rPr>
                <w:sz w:val="20"/>
                <w:szCs w:val="20"/>
              </w:rPr>
            </w:pPr>
          </w:p>
          <w:p w14:paraId="1494019A" w14:textId="77777777" w:rsidR="00E67A24" w:rsidRPr="002A56B1" w:rsidRDefault="00E67A24" w:rsidP="006E5F9A">
            <w:pPr>
              <w:pStyle w:val="TableParagraph"/>
              <w:jc w:val="center"/>
              <w:rPr>
                <w:sz w:val="20"/>
                <w:szCs w:val="20"/>
              </w:rPr>
            </w:pPr>
            <w:r w:rsidRPr="002A56B1">
              <w:rPr>
                <w:sz w:val="20"/>
                <w:szCs w:val="20"/>
              </w:rPr>
              <w:t>N/A</w:t>
            </w:r>
          </w:p>
          <w:p w14:paraId="0D0E2374" w14:textId="77777777" w:rsidR="00E67A24" w:rsidRPr="002A56B1" w:rsidRDefault="00E67A24" w:rsidP="006E5F9A">
            <w:pPr>
              <w:pStyle w:val="TableParagraph"/>
              <w:jc w:val="center"/>
              <w:rPr>
                <w:sz w:val="20"/>
                <w:szCs w:val="20"/>
              </w:rPr>
            </w:pPr>
          </w:p>
          <w:p w14:paraId="7272CD96" w14:textId="77777777" w:rsidR="00E67A24" w:rsidRPr="002A56B1" w:rsidRDefault="00E67A24" w:rsidP="006E5F9A">
            <w:pPr>
              <w:pStyle w:val="TableParagraph"/>
              <w:jc w:val="center"/>
              <w:rPr>
                <w:sz w:val="20"/>
                <w:szCs w:val="20"/>
              </w:rPr>
            </w:pPr>
          </w:p>
          <w:p w14:paraId="3945F964" w14:textId="77777777" w:rsidR="00E67A24" w:rsidRPr="002A56B1" w:rsidRDefault="00E67A24" w:rsidP="006E5F9A">
            <w:pPr>
              <w:pStyle w:val="TableParagraph"/>
              <w:jc w:val="center"/>
              <w:rPr>
                <w:sz w:val="20"/>
                <w:szCs w:val="20"/>
              </w:rPr>
            </w:pPr>
            <w:r w:rsidRPr="002A56B1">
              <w:rPr>
                <w:sz w:val="20"/>
                <w:szCs w:val="20"/>
              </w:rPr>
              <w:t>3817,50</w:t>
            </w:r>
          </w:p>
        </w:tc>
        <w:tc>
          <w:tcPr>
            <w:tcW w:w="1628" w:type="dxa"/>
          </w:tcPr>
          <w:p w14:paraId="4C7D3B95" w14:textId="77777777" w:rsidR="00E67A24" w:rsidRPr="002A56B1" w:rsidRDefault="00E67A24" w:rsidP="006E5F9A">
            <w:pPr>
              <w:pStyle w:val="TableParagraph"/>
              <w:jc w:val="center"/>
              <w:rPr>
                <w:sz w:val="20"/>
                <w:szCs w:val="20"/>
              </w:rPr>
            </w:pPr>
          </w:p>
          <w:p w14:paraId="7B639D30" w14:textId="77777777" w:rsidR="00E67A24" w:rsidRPr="002A56B1" w:rsidRDefault="00E67A24" w:rsidP="006E5F9A">
            <w:pPr>
              <w:pStyle w:val="TableParagraph"/>
              <w:jc w:val="center"/>
              <w:rPr>
                <w:sz w:val="20"/>
                <w:szCs w:val="20"/>
              </w:rPr>
            </w:pPr>
          </w:p>
          <w:p w14:paraId="37924761" w14:textId="77777777" w:rsidR="00E67A24" w:rsidRPr="002A56B1" w:rsidRDefault="00E67A24" w:rsidP="006E5F9A">
            <w:pPr>
              <w:pStyle w:val="TableParagraph"/>
              <w:jc w:val="center"/>
              <w:rPr>
                <w:sz w:val="20"/>
                <w:szCs w:val="20"/>
              </w:rPr>
            </w:pPr>
            <w:r w:rsidRPr="002A56B1">
              <w:rPr>
                <w:sz w:val="20"/>
                <w:szCs w:val="20"/>
              </w:rPr>
              <w:t>1862,00*</w:t>
            </w:r>
          </w:p>
          <w:p w14:paraId="01C92158" w14:textId="77777777" w:rsidR="00E67A24" w:rsidRPr="002A56B1" w:rsidRDefault="00E67A24" w:rsidP="006E5F9A">
            <w:pPr>
              <w:pStyle w:val="TableParagraph"/>
              <w:jc w:val="center"/>
              <w:rPr>
                <w:sz w:val="20"/>
                <w:szCs w:val="20"/>
              </w:rPr>
            </w:pPr>
          </w:p>
          <w:p w14:paraId="1C10DCED" w14:textId="77777777" w:rsidR="00E67A24" w:rsidRPr="002A56B1" w:rsidRDefault="00E67A24" w:rsidP="006E5F9A">
            <w:pPr>
              <w:pStyle w:val="TableParagraph"/>
              <w:jc w:val="center"/>
              <w:rPr>
                <w:sz w:val="20"/>
                <w:szCs w:val="20"/>
              </w:rPr>
            </w:pPr>
          </w:p>
          <w:p w14:paraId="4DF82D2B" w14:textId="77777777" w:rsidR="00E67A24" w:rsidRPr="002A56B1" w:rsidRDefault="00E67A24" w:rsidP="006E5F9A">
            <w:pPr>
              <w:pStyle w:val="TableParagraph"/>
              <w:jc w:val="center"/>
              <w:rPr>
                <w:sz w:val="20"/>
                <w:szCs w:val="20"/>
              </w:rPr>
            </w:pPr>
            <w:r w:rsidRPr="002A56B1">
              <w:rPr>
                <w:sz w:val="20"/>
                <w:szCs w:val="20"/>
              </w:rPr>
              <w:t>1862,00*</w:t>
            </w:r>
          </w:p>
        </w:tc>
        <w:tc>
          <w:tcPr>
            <w:tcW w:w="1571" w:type="dxa"/>
          </w:tcPr>
          <w:p w14:paraId="44E99686" w14:textId="77777777" w:rsidR="00E67A24" w:rsidRPr="002A56B1" w:rsidRDefault="00E67A24" w:rsidP="006E5F9A">
            <w:pPr>
              <w:pStyle w:val="TableParagraph"/>
              <w:jc w:val="center"/>
              <w:rPr>
                <w:sz w:val="20"/>
                <w:szCs w:val="20"/>
              </w:rPr>
            </w:pPr>
          </w:p>
          <w:p w14:paraId="50406C98" w14:textId="77777777" w:rsidR="00E67A24" w:rsidRPr="002A56B1" w:rsidRDefault="00E67A24" w:rsidP="006E5F9A">
            <w:pPr>
              <w:pStyle w:val="TableParagraph"/>
              <w:jc w:val="center"/>
              <w:rPr>
                <w:sz w:val="20"/>
                <w:szCs w:val="20"/>
              </w:rPr>
            </w:pPr>
          </w:p>
          <w:p w14:paraId="5292DBDC" w14:textId="77777777" w:rsidR="00E67A24" w:rsidRPr="002A56B1" w:rsidRDefault="00E67A24" w:rsidP="006E5F9A">
            <w:pPr>
              <w:pStyle w:val="TableParagraph"/>
              <w:jc w:val="center"/>
              <w:rPr>
                <w:sz w:val="20"/>
                <w:szCs w:val="20"/>
              </w:rPr>
            </w:pPr>
            <w:r w:rsidRPr="002A56B1">
              <w:rPr>
                <w:sz w:val="20"/>
                <w:szCs w:val="20"/>
              </w:rPr>
              <w:t>1862,00*</w:t>
            </w:r>
          </w:p>
          <w:p w14:paraId="67095C30" w14:textId="77777777" w:rsidR="00E67A24" w:rsidRPr="002A56B1" w:rsidRDefault="00E67A24" w:rsidP="006E5F9A">
            <w:pPr>
              <w:pStyle w:val="TableParagraph"/>
              <w:jc w:val="center"/>
              <w:rPr>
                <w:sz w:val="20"/>
                <w:szCs w:val="20"/>
              </w:rPr>
            </w:pPr>
          </w:p>
          <w:p w14:paraId="6D229266" w14:textId="77777777" w:rsidR="00E67A24" w:rsidRPr="002A56B1" w:rsidRDefault="00E67A24" w:rsidP="006E5F9A">
            <w:pPr>
              <w:pStyle w:val="TableParagraph"/>
              <w:jc w:val="center"/>
              <w:rPr>
                <w:sz w:val="20"/>
                <w:szCs w:val="20"/>
              </w:rPr>
            </w:pPr>
          </w:p>
          <w:p w14:paraId="625741A6" w14:textId="77777777" w:rsidR="00E67A24" w:rsidRPr="002A56B1" w:rsidRDefault="00E67A24" w:rsidP="006E5F9A">
            <w:pPr>
              <w:pStyle w:val="TableParagraph"/>
              <w:jc w:val="center"/>
              <w:rPr>
                <w:sz w:val="20"/>
                <w:szCs w:val="20"/>
              </w:rPr>
            </w:pPr>
            <w:r w:rsidRPr="002A56B1">
              <w:rPr>
                <w:sz w:val="20"/>
                <w:szCs w:val="20"/>
              </w:rPr>
              <w:t>1862,00*</w:t>
            </w:r>
          </w:p>
        </w:tc>
      </w:tr>
      <w:tr w:rsidR="003B7027" w:rsidRPr="00777B93" w14:paraId="2B45CC3E" w14:textId="77777777" w:rsidTr="00C82B5A">
        <w:trPr>
          <w:trHeight w:val="20"/>
        </w:trPr>
        <w:tc>
          <w:tcPr>
            <w:tcW w:w="9290" w:type="dxa"/>
            <w:gridSpan w:val="5"/>
          </w:tcPr>
          <w:p w14:paraId="32777164" w14:textId="77777777" w:rsidR="003B7027" w:rsidRPr="002A56B1" w:rsidRDefault="00296A74" w:rsidP="006E5F9A">
            <w:pPr>
              <w:pStyle w:val="TableParagraph"/>
              <w:keepNext/>
              <w:keepLines/>
              <w:rPr>
                <w:b/>
                <w:sz w:val="20"/>
                <w:szCs w:val="20"/>
              </w:rPr>
            </w:pPr>
            <w:r w:rsidRPr="002A56B1">
              <w:rPr>
                <w:b/>
                <w:sz w:val="20"/>
                <w:szCs w:val="20"/>
              </w:rPr>
              <w:lastRenderedPageBreak/>
              <w:t>Eksploratiiviset päätetapahtumat</w:t>
            </w:r>
          </w:p>
        </w:tc>
      </w:tr>
      <w:tr w:rsidR="00E67A24" w:rsidRPr="00777B93" w14:paraId="3622E0EA" w14:textId="77777777" w:rsidTr="00C82B5A">
        <w:trPr>
          <w:trHeight w:val="988"/>
        </w:trPr>
        <w:tc>
          <w:tcPr>
            <w:tcW w:w="2830" w:type="dxa"/>
          </w:tcPr>
          <w:p w14:paraId="2FB921DE" w14:textId="77777777" w:rsidR="00E67A24" w:rsidRPr="002A56B1" w:rsidRDefault="00E67A24" w:rsidP="006E5F9A">
            <w:pPr>
              <w:pStyle w:val="TableParagraph"/>
              <w:rPr>
                <w:sz w:val="20"/>
                <w:szCs w:val="20"/>
              </w:rPr>
            </w:pPr>
            <w:r w:rsidRPr="002A56B1">
              <w:rPr>
                <w:sz w:val="20"/>
                <w:szCs w:val="20"/>
              </w:rPr>
              <w:t>Vuotuistettu relapsoitumisluku, viikko 52</w:t>
            </w:r>
            <w:r w:rsidRPr="002A56B1">
              <w:rPr>
                <w:sz w:val="20"/>
                <w:szCs w:val="20"/>
                <w:vertAlign w:val="superscript"/>
              </w:rPr>
              <w:t>§</w:t>
            </w:r>
          </w:p>
          <w:p w14:paraId="6C551617" w14:textId="77777777" w:rsidR="00E67A24" w:rsidRPr="002A56B1" w:rsidRDefault="00E67A24" w:rsidP="002A56B1">
            <w:pPr>
              <w:pStyle w:val="TableParagraph"/>
              <w:ind w:left="306"/>
              <w:rPr>
                <w:sz w:val="20"/>
                <w:szCs w:val="20"/>
              </w:rPr>
            </w:pPr>
            <w:r w:rsidRPr="002A56B1">
              <w:rPr>
                <w:sz w:val="20"/>
                <w:szCs w:val="20"/>
              </w:rPr>
              <w:t>Keskiarvo (keskihajonta)</w:t>
            </w:r>
          </w:p>
        </w:tc>
        <w:tc>
          <w:tcPr>
            <w:tcW w:w="1603" w:type="dxa"/>
          </w:tcPr>
          <w:p w14:paraId="173D6565" w14:textId="77777777" w:rsidR="00E67A24" w:rsidRPr="002A56B1" w:rsidRDefault="00E67A24" w:rsidP="006E5F9A">
            <w:pPr>
              <w:pStyle w:val="TableParagraph"/>
              <w:jc w:val="center"/>
              <w:rPr>
                <w:i/>
                <w:sz w:val="20"/>
                <w:szCs w:val="20"/>
              </w:rPr>
            </w:pPr>
          </w:p>
          <w:p w14:paraId="2967A30B" w14:textId="77777777" w:rsidR="00E67A24" w:rsidRPr="002A56B1" w:rsidRDefault="00E67A24" w:rsidP="006E5F9A">
            <w:pPr>
              <w:pStyle w:val="TableParagraph"/>
              <w:jc w:val="center"/>
              <w:rPr>
                <w:i/>
                <w:sz w:val="20"/>
                <w:szCs w:val="20"/>
              </w:rPr>
            </w:pPr>
          </w:p>
          <w:p w14:paraId="07E69E30" w14:textId="77777777" w:rsidR="00E67A24" w:rsidRPr="002A56B1" w:rsidRDefault="00E67A24" w:rsidP="006E5F9A">
            <w:pPr>
              <w:pStyle w:val="TableParagraph"/>
              <w:jc w:val="center"/>
              <w:rPr>
                <w:sz w:val="20"/>
                <w:szCs w:val="20"/>
              </w:rPr>
            </w:pPr>
            <w:r w:rsidRPr="002A56B1">
              <w:rPr>
                <w:sz w:val="20"/>
                <w:szCs w:val="20"/>
              </w:rPr>
              <w:t>1,74</w:t>
            </w:r>
          </w:p>
          <w:p w14:paraId="354F4BF7" w14:textId="77777777" w:rsidR="00E67A24" w:rsidRPr="002A56B1" w:rsidRDefault="00E67A24" w:rsidP="006E5F9A">
            <w:pPr>
              <w:pStyle w:val="TableParagraph"/>
              <w:jc w:val="center"/>
              <w:rPr>
                <w:sz w:val="20"/>
                <w:szCs w:val="20"/>
              </w:rPr>
            </w:pPr>
            <w:r w:rsidRPr="002A56B1">
              <w:rPr>
                <w:sz w:val="20"/>
                <w:szCs w:val="20"/>
              </w:rPr>
              <w:t>(2,18)</w:t>
            </w:r>
          </w:p>
        </w:tc>
        <w:tc>
          <w:tcPr>
            <w:tcW w:w="1658" w:type="dxa"/>
          </w:tcPr>
          <w:p w14:paraId="3E2202DF" w14:textId="77777777" w:rsidR="00E67A24" w:rsidRPr="002A56B1" w:rsidRDefault="00E67A24" w:rsidP="006E5F9A">
            <w:pPr>
              <w:pStyle w:val="TableParagraph"/>
              <w:jc w:val="center"/>
              <w:rPr>
                <w:i/>
                <w:sz w:val="20"/>
                <w:szCs w:val="20"/>
              </w:rPr>
            </w:pPr>
          </w:p>
          <w:p w14:paraId="39D4EB12" w14:textId="77777777" w:rsidR="00E67A24" w:rsidRPr="002A56B1" w:rsidRDefault="00E67A24" w:rsidP="006E5F9A">
            <w:pPr>
              <w:pStyle w:val="TableParagraph"/>
              <w:jc w:val="center"/>
              <w:rPr>
                <w:i/>
                <w:sz w:val="20"/>
                <w:szCs w:val="20"/>
              </w:rPr>
            </w:pPr>
          </w:p>
          <w:p w14:paraId="384AE503" w14:textId="77777777" w:rsidR="00E67A24" w:rsidRPr="002A56B1" w:rsidRDefault="00E67A24" w:rsidP="006E5F9A">
            <w:pPr>
              <w:pStyle w:val="TableParagraph"/>
              <w:jc w:val="center"/>
              <w:rPr>
                <w:sz w:val="20"/>
                <w:szCs w:val="20"/>
              </w:rPr>
            </w:pPr>
            <w:r w:rsidRPr="002A56B1">
              <w:rPr>
                <w:sz w:val="20"/>
                <w:szCs w:val="20"/>
              </w:rPr>
              <w:t>1,30</w:t>
            </w:r>
          </w:p>
          <w:p w14:paraId="2C4064E8" w14:textId="77777777" w:rsidR="00E67A24" w:rsidRPr="002A56B1" w:rsidRDefault="00E67A24" w:rsidP="006E5F9A">
            <w:pPr>
              <w:pStyle w:val="TableParagraph"/>
              <w:jc w:val="center"/>
              <w:rPr>
                <w:sz w:val="20"/>
                <w:szCs w:val="20"/>
              </w:rPr>
            </w:pPr>
            <w:r w:rsidRPr="002A56B1">
              <w:rPr>
                <w:sz w:val="20"/>
                <w:szCs w:val="20"/>
              </w:rPr>
              <w:t>(1,84)</w:t>
            </w:r>
          </w:p>
        </w:tc>
        <w:tc>
          <w:tcPr>
            <w:tcW w:w="1628" w:type="dxa"/>
          </w:tcPr>
          <w:p w14:paraId="3D6BD054" w14:textId="77777777" w:rsidR="00E67A24" w:rsidRPr="002A56B1" w:rsidRDefault="00E67A24" w:rsidP="006E5F9A">
            <w:pPr>
              <w:pStyle w:val="TableParagraph"/>
              <w:jc w:val="center"/>
              <w:rPr>
                <w:i/>
                <w:sz w:val="20"/>
                <w:szCs w:val="20"/>
              </w:rPr>
            </w:pPr>
          </w:p>
          <w:p w14:paraId="6C23FB42" w14:textId="77777777" w:rsidR="00E67A24" w:rsidRPr="002A56B1" w:rsidRDefault="00E67A24" w:rsidP="006E5F9A">
            <w:pPr>
              <w:pStyle w:val="TableParagraph"/>
              <w:jc w:val="center"/>
              <w:rPr>
                <w:i/>
                <w:sz w:val="20"/>
                <w:szCs w:val="20"/>
              </w:rPr>
            </w:pPr>
          </w:p>
          <w:p w14:paraId="3B6AFD86" w14:textId="77777777" w:rsidR="00E67A24" w:rsidRPr="002A56B1" w:rsidRDefault="00E67A24" w:rsidP="006E5F9A">
            <w:pPr>
              <w:pStyle w:val="TableParagraph"/>
              <w:jc w:val="center"/>
              <w:rPr>
                <w:sz w:val="20"/>
                <w:szCs w:val="20"/>
              </w:rPr>
            </w:pPr>
            <w:r w:rsidRPr="002A56B1">
              <w:rPr>
                <w:sz w:val="20"/>
                <w:szCs w:val="20"/>
              </w:rPr>
              <w:t>0,41</w:t>
            </w:r>
          </w:p>
          <w:p w14:paraId="128CE2E9" w14:textId="77777777" w:rsidR="00E67A24" w:rsidRPr="002A56B1" w:rsidRDefault="00E67A24" w:rsidP="006E5F9A">
            <w:pPr>
              <w:pStyle w:val="TableParagraph"/>
              <w:jc w:val="center"/>
              <w:rPr>
                <w:sz w:val="20"/>
                <w:szCs w:val="20"/>
              </w:rPr>
            </w:pPr>
            <w:r w:rsidRPr="002A56B1">
              <w:rPr>
                <w:sz w:val="20"/>
                <w:szCs w:val="20"/>
              </w:rPr>
              <w:t>(0,78)</w:t>
            </w:r>
          </w:p>
        </w:tc>
        <w:tc>
          <w:tcPr>
            <w:tcW w:w="1571" w:type="dxa"/>
          </w:tcPr>
          <w:p w14:paraId="41E9C755" w14:textId="77777777" w:rsidR="00E67A24" w:rsidRPr="002A56B1" w:rsidRDefault="00E67A24" w:rsidP="006E5F9A">
            <w:pPr>
              <w:pStyle w:val="TableParagraph"/>
              <w:jc w:val="center"/>
              <w:rPr>
                <w:i/>
                <w:sz w:val="20"/>
                <w:szCs w:val="20"/>
              </w:rPr>
            </w:pPr>
          </w:p>
          <w:p w14:paraId="4090D4AE" w14:textId="77777777" w:rsidR="00E67A24" w:rsidRPr="002A56B1" w:rsidRDefault="00E67A24" w:rsidP="006E5F9A">
            <w:pPr>
              <w:pStyle w:val="TableParagraph"/>
              <w:jc w:val="center"/>
              <w:rPr>
                <w:i/>
                <w:sz w:val="20"/>
                <w:szCs w:val="20"/>
              </w:rPr>
            </w:pPr>
          </w:p>
          <w:p w14:paraId="0F3BF806" w14:textId="77777777" w:rsidR="00E67A24" w:rsidRPr="002A56B1" w:rsidRDefault="00E67A24" w:rsidP="006E5F9A">
            <w:pPr>
              <w:pStyle w:val="TableParagraph"/>
              <w:jc w:val="center"/>
              <w:rPr>
                <w:sz w:val="20"/>
                <w:szCs w:val="20"/>
              </w:rPr>
            </w:pPr>
            <w:r w:rsidRPr="002A56B1">
              <w:rPr>
                <w:sz w:val="20"/>
                <w:szCs w:val="20"/>
              </w:rPr>
              <w:t>0,67</w:t>
            </w:r>
          </w:p>
          <w:p w14:paraId="0AA6A55F" w14:textId="77777777" w:rsidR="00E67A24" w:rsidRPr="002A56B1" w:rsidRDefault="00E67A24" w:rsidP="006E5F9A">
            <w:pPr>
              <w:pStyle w:val="TableParagraph"/>
              <w:jc w:val="center"/>
              <w:rPr>
                <w:sz w:val="20"/>
                <w:szCs w:val="20"/>
              </w:rPr>
            </w:pPr>
            <w:r w:rsidRPr="002A56B1">
              <w:rPr>
                <w:sz w:val="20"/>
                <w:szCs w:val="20"/>
              </w:rPr>
              <w:t>(1,10)</w:t>
            </w:r>
          </w:p>
        </w:tc>
      </w:tr>
    </w:tbl>
    <w:p w14:paraId="731B3BB5" w14:textId="77777777" w:rsidR="003B7027" w:rsidRPr="00F13020" w:rsidRDefault="00296A74" w:rsidP="006E5F9A">
      <w:pPr>
        <w:rPr>
          <w:sz w:val="18"/>
          <w:szCs w:val="18"/>
        </w:rPr>
      </w:pPr>
      <w:r w:rsidRPr="00F13020">
        <w:rPr>
          <w:sz w:val="18"/>
          <w:szCs w:val="18"/>
        </w:rPr>
        <w:t>* p &lt; 0,0001</w:t>
      </w:r>
    </w:p>
    <w:p w14:paraId="76CE92A0" w14:textId="77777777" w:rsidR="003B7027" w:rsidRPr="00CA43F5" w:rsidRDefault="00296A74" w:rsidP="006E5F9A">
      <w:pPr>
        <w:rPr>
          <w:sz w:val="18"/>
          <w:szCs w:val="18"/>
          <w:lang w:val="fi-FI"/>
        </w:rPr>
      </w:pPr>
      <w:r w:rsidRPr="00CA43F5">
        <w:rPr>
          <w:sz w:val="18"/>
          <w:szCs w:val="18"/>
          <w:lang w:val="fi-FI"/>
        </w:rPr>
        <w:t>** p &lt; 0,005 (paremmuuden osoittavien ensisijaisten ja keskeisten toissijaisten testien merkitsevyyden raja-arvo)</w:t>
      </w:r>
    </w:p>
    <w:p w14:paraId="6DDBF856" w14:textId="77777777" w:rsidR="003B7027" w:rsidRPr="00CA43F5" w:rsidRDefault="00296A74" w:rsidP="006E5F9A">
      <w:pPr>
        <w:rPr>
          <w:sz w:val="18"/>
          <w:szCs w:val="18"/>
          <w:lang w:val="fi-FI"/>
        </w:rPr>
      </w:pPr>
      <w:r w:rsidRPr="00CA43F5">
        <w:rPr>
          <w:sz w:val="18"/>
          <w:szCs w:val="18"/>
          <w:lang w:val="fi-FI"/>
        </w:rPr>
        <w:t>*** deskriptiivinen p-arvo &lt; 0,005</w:t>
      </w:r>
    </w:p>
    <w:p w14:paraId="2AD2F0F5" w14:textId="77777777" w:rsidR="003B7027" w:rsidRPr="00CA43F5" w:rsidRDefault="00296A74" w:rsidP="006E5F9A">
      <w:pPr>
        <w:rPr>
          <w:sz w:val="18"/>
          <w:szCs w:val="18"/>
          <w:lang w:val="fi-FI"/>
        </w:rPr>
      </w:pPr>
      <w:r w:rsidRPr="00CA43F5">
        <w:rPr>
          <w:sz w:val="18"/>
          <w:szCs w:val="18"/>
          <w:lang w:val="fi-FI"/>
        </w:rPr>
        <w:t xml:space="preserve">****Sairauden pahenemisvaihe: jättisoluarteriitin toistuvia oireita ja löydöksiä ja/tai lasko </w:t>
      </w:r>
      <w:r w:rsidRPr="00CA43F5">
        <w:rPr>
          <w:rFonts w:hint="eastAsia"/>
          <w:sz w:val="18"/>
          <w:szCs w:val="18"/>
          <w:lang w:val="fi-FI"/>
        </w:rPr>
        <w:t>≥</w:t>
      </w:r>
      <w:r w:rsidRPr="00CA43F5">
        <w:rPr>
          <w:sz w:val="18"/>
          <w:szCs w:val="18"/>
          <w:lang w:val="fi-FI"/>
        </w:rPr>
        <w:t xml:space="preserve"> 30 mm/h,</w:t>
      </w:r>
      <w:r w:rsidR="00F13020" w:rsidRPr="00CA43F5">
        <w:rPr>
          <w:sz w:val="18"/>
          <w:szCs w:val="18"/>
          <w:lang w:val="fi-FI"/>
        </w:rPr>
        <w:t xml:space="preserve"> </w:t>
      </w:r>
      <w:r w:rsidRPr="00CA43F5">
        <w:rPr>
          <w:sz w:val="18"/>
          <w:szCs w:val="18"/>
          <w:lang w:val="fi-FI"/>
        </w:rPr>
        <w:t>prednisoniannosta tarpeen suurentaa</w:t>
      </w:r>
    </w:p>
    <w:p w14:paraId="7972A843" w14:textId="77777777" w:rsidR="003B7027" w:rsidRPr="00CA43F5" w:rsidRDefault="00296A74" w:rsidP="006E5F9A">
      <w:pPr>
        <w:rPr>
          <w:sz w:val="18"/>
          <w:szCs w:val="18"/>
          <w:lang w:val="fi-FI"/>
        </w:rPr>
      </w:pPr>
      <w:r w:rsidRPr="00CA43F5">
        <w:rPr>
          <w:sz w:val="18"/>
          <w:szCs w:val="18"/>
          <w:lang w:val="fi-FI"/>
        </w:rPr>
        <w:t>Remissio: ei sairauden pahenemisvaihetta ja CRP normalisoitunut</w:t>
      </w:r>
    </w:p>
    <w:p w14:paraId="3EAE1A8F" w14:textId="77777777" w:rsidR="003B7027" w:rsidRPr="00CA43F5" w:rsidRDefault="00296A74" w:rsidP="006E5F9A">
      <w:pPr>
        <w:rPr>
          <w:sz w:val="18"/>
          <w:szCs w:val="18"/>
          <w:lang w:val="fi-FI"/>
        </w:rPr>
      </w:pPr>
      <w:r w:rsidRPr="00CA43F5">
        <w:rPr>
          <w:sz w:val="18"/>
          <w:szCs w:val="18"/>
          <w:lang w:val="fi-FI"/>
        </w:rPr>
        <w:t>Pitkäkestoinen remissio: remissio viikosta 12 viikkoon 52, potilaiden on noudatettava tutkimussuunnitelmassa määriteltyä prednisonihoidon asteittaista lopettamista</w:t>
      </w:r>
    </w:p>
    <w:p w14:paraId="383DC27B" w14:textId="77777777" w:rsidR="003B7027" w:rsidRPr="00CA43F5" w:rsidRDefault="00296A74" w:rsidP="006E5F9A">
      <w:pPr>
        <w:rPr>
          <w:sz w:val="18"/>
          <w:szCs w:val="18"/>
          <w:lang w:val="fi-FI"/>
        </w:rPr>
      </w:pPr>
      <w:r w:rsidRPr="00CA43F5">
        <w:rPr>
          <w:sz w:val="18"/>
          <w:szCs w:val="18"/>
          <w:lang w:val="fi-FI"/>
        </w:rPr>
        <w:t>¹ analyysi kliinisen remission ja sairauden ensimmäisen pahenemisvaiheen välisestä ajasta (päivää)</w:t>
      </w:r>
    </w:p>
    <w:p w14:paraId="345ABD0E" w14:textId="77777777" w:rsidR="003B7027" w:rsidRPr="00CA43F5" w:rsidRDefault="00296A74" w:rsidP="006E5F9A">
      <w:pPr>
        <w:rPr>
          <w:sz w:val="18"/>
          <w:szCs w:val="18"/>
          <w:lang w:val="fi-FI"/>
        </w:rPr>
      </w:pPr>
      <w:r w:rsidRPr="00CA43F5">
        <w:rPr>
          <w:sz w:val="18"/>
          <w:szCs w:val="18"/>
          <w:vertAlign w:val="superscript"/>
          <w:lang w:val="fi-FI"/>
        </w:rPr>
        <w:t>2</w:t>
      </w:r>
      <w:r w:rsidRPr="00CA43F5">
        <w:rPr>
          <w:sz w:val="18"/>
          <w:szCs w:val="18"/>
          <w:lang w:val="fi-FI"/>
        </w:rPr>
        <w:t xml:space="preserve"> parametrittömien tietojen p-arvot määriteltiin Van Elterenin analyysillä</w:t>
      </w:r>
    </w:p>
    <w:p w14:paraId="181389CC" w14:textId="77777777" w:rsidR="00F13020" w:rsidRPr="00CA43F5" w:rsidRDefault="00296A74" w:rsidP="006E5F9A">
      <w:pPr>
        <w:rPr>
          <w:sz w:val="18"/>
          <w:szCs w:val="18"/>
          <w:lang w:val="fi-FI"/>
        </w:rPr>
      </w:pPr>
      <w:r w:rsidRPr="00CA43F5">
        <w:rPr>
          <w:sz w:val="18"/>
          <w:szCs w:val="18"/>
          <w:vertAlign w:val="superscript"/>
          <w:lang w:val="fi-FI"/>
        </w:rPr>
        <w:t>§</w:t>
      </w:r>
      <w:r w:rsidRPr="00CA43F5">
        <w:rPr>
          <w:sz w:val="18"/>
          <w:szCs w:val="18"/>
          <w:lang w:val="fi-FI"/>
        </w:rPr>
        <w:t xml:space="preserve"> tilastollisia analyysejä ei ole tehty </w:t>
      </w:r>
    </w:p>
    <w:p w14:paraId="409A0411" w14:textId="77777777" w:rsidR="003B7027" w:rsidRPr="00CA43F5" w:rsidRDefault="00296A74" w:rsidP="006E5F9A">
      <w:pPr>
        <w:rPr>
          <w:sz w:val="18"/>
          <w:szCs w:val="18"/>
          <w:lang w:val="fi-FI"/>
        </w:rPr>
      </w:pPr>
      <w:r w:rsidRPr="00CA43F5">
        <w:rPr>
          <w:sz w:val="18"/>
          <w:szCs w:val="18"/>
          <w:lang w:val="fi-FI"/>
        </w:rPr>
        <w:t>N/A= ei oleellinen (Not applicable)</w:t>
      </w:r>
    </w:p>
    <w:p w14:paraId="6F9AD96A" w14:textId="77777777" w:rsidR="003B7027" w:rsidRPr="0028514E" w:rsidRDefault="003B7027" w:rsidP="006E5F9A">
      <w:pPr>
        <w:pStyle w:val="a4"/>
        <w:ind w:left="0"/>
        <w:rPr>
          <w:sz w:val="18"/>
        </w:rPr>
      </w:pPr>
    </w:p>
    <w:p w14:paraId="22939E29" w14:textId="77777777" w:rsidR="003B7027" w:rsidRPr="00CA43F5" w:rsidRDefault="00296A74" w:rsidP="006E5F9A">
      <w:pPr>
        <w:rPr>
          <w:i/>
          <w:lang w:val="fi-FI"/>
        </w:rPr>
      </w:pPr>
      <w:r w:rsidRPr="00CA43F5">
        <w:rPr>
          <w:i/>
          <w:lang w:val="fi-FI"/>
        </w:rPr>
        <w:t>Elämänlaatua koskevat päätetapahtumat</w:t>
      </w:r>
    </w:p>
    <w:p w14:paraId="14275F0B" w14:textId="77777777" w:rsidR="003B7027" w:rsidRPr="0028514E" w:rsidRDefault="003B7027" w:rsidP="006E5F9A">
      <w:pPr>
        <w:pStyle w:val="a4"/>
        <w:ind w:left="0"/>
        <w:rPr>
          <w:i/>
        </w:rPr>
      </w:pPr>
    </w:p>
    <w:p w14:paraId="4575DBCC" w14:textId="05B14692" w:rsidR="003B7027" w:rsidRPr="0028514E" w:rsidRDefault="00296A74" w:rsidP="006E5F9A">
      <w:pPr>
        <w:pStyle w:val="a4"/>
        <w:ind w:left="0"/>
      </w:pPr>
      <w:r w:rsidRPr="0028514E">
        <w:t xml:space="preserve">Tutkimuksen (WA28119) SF-36-tuloksissa eriteltiin fyysisen (PCS) ja mentaalisen (MCS) osa-alueen yhdistelmäpisteet. Fyysisen osa-alueen pisteiden keskimääräinen muutos lähtötilanteesta viikkoon 52 oli suurempi (osoittaa suurempaa paranemista) </w:t>
      </w:r>
      <w:r w:rsidR="003F37BF">
        <w:t xml:space="preserve">tosilitsumabia </w:t>
      </w:r>
      <w:r w:rsidRPr="0028514E">
        <w:t xml:space="preserve">viikoittain ja joka toinen viikko saaneissa ryhmissä (viikoittain: 4,10; joka toinen viikko: 2,76) kuin kahdessa lumeryhmässä (lumevalmiste ja 26 viikon aikana asteittain lopetettu hoito: -0,28; lumevalmiste ja 52 viikon aikana asteittain lopetettu hoito: -1,49), mutta vain vertailussa </w:t>
      </w:r>
      <w:r w:rsidR="003F37BF">
        <w:t xml:space="preserve">tosilitsumabin </w:t>
      </w:r>
      <w:r w:rsidRPr="0028514E">
        <w:t xml:space="preserve">viikoittain ja 26 viikon aikana asteittain lopetettavan prednisonihoidon yhdistelmää ja lumevalmisteen ja 52 viikon aikana asteittain lopetettavan prednisonihoidon yhdistelmää saaneiden ryhmän (5,59, 99 %:n luottamusväli: 8,6, 10,32) välillä todettiin tilastollisesti merkitsevä ero (p = 0,0024). Mentaalisen osa-alueen pisteiden keskimääräinen muutos lähtötilanteesta viikkoon 52 sekä </w:t>
      </w:r>
      <w:r w:rsidR="003F37BF">
        <w:t xml:space="preserve">tosilitsumabia </w:t>
      </w:r>
      <w:r w:rsidRPr="0028514E">
        <w:t>viikoittain että joka toinen viikko saaneissa ryhmissä (viikoittain: 7,28; joka toinen viikko: 6,12) oli suurempi kuin lumevalmisteen ja 52 viikon aikana asteittain lopetettavan prednisonihoidon yhdistelmää saaneessa ryhmässä (2,84) (mutta ero ei ollut tilastollisesti merkitsevä [viikoittain: p = 0,0252; joka toinen viikko: p = 0,1468]) ja samankaltainen kuin lumevalmisteen ja 26 viikon aikana asteittain lopetettavan prednisonihoidon yhdistelmää saaneessa ryhmässä (6,67).</w:t>
      </w:r>
    </w:p>
    <w:p w14:paraId="557E00CB" w14:textId="77777777" w:rsidR="003B7027" w:rsidRPr="0028514E" w:rsidRDefault="003B7027" w:rsidP="006E5F9A">
      <w:pPr>
        <w:pStyle w:val="a4"/>
        <w:ind w:left="0"/>
      </w:pPr>
    </w:p>
    <w:p w14:paraId="5DF143DC" w14:textId="2E12D645" w:rsidR="003B7027" w:rsidRPr="0028514E" w:rsidRDefault="00296A74" w:rsidP="006E5F9A">
      <w:pPr>
        <w:pStyle w:val="a4"/>
        <w:ind w:left="0"/>
      </w:pPr>
      <w:r w:rsidRPr="0028514E">
        <w:t xml:space="preserve">Sairauden aktiivisuuden kokonaisarvio (Patient’s Global Assessment) tehtiin 0–100 mm:n VAS- asteikolla (Visual Analogue Scale). VAS-asteikkoon perustuvan potilaan kokonaisarvion keskimääräinen muutos lähtötilanteesta viikkoon 52 oli pienempi (osoittaa suurempaa paranemista) </w:t>
      </w:r>
      <w:r w:rsidR="003F37BF">
        <w:t xml:space="preserve">tosilitsumabia </w:t>
      </w:r>
      <w:r w:rsidRPr="0028514E">
        <w:t xml:space="preserve">viikoittain (-19,0) ja joka toinen viikko (-25,3) saaneissa ryhmissä kuin kummassakaan lumevalmistetta (lumevalmiste ja 26 viikon aikana asteittain lopetettava hoito: -3,4, lumevalmiste ja 52 viikon aikana asteittain lopetettava hoito: -7,2) saaneessa ryhmässä, mutta vain </w:t>
      </w:r>
      <w:r w:rsidR="003F37BF">
        <w:t xml:space="preserve">tosilitsumabia </w:t>
      </w:r>
      <w:r w:rsidRPr="0028514E">
        <w:t>joka toinen viikko yhdistelmänä 26 viikon aikana asteittain lopetettavan prednisonihoidon kanssa saaneilla osoitettiin tilastollisesti merkitsevä ero lumehoitoon verrattuna [lumevalmisteen ja 26 viikon aikana asteittain lopetettavan hoidon yhdistelmän p = 0,0059, ja lumevalmisteen ja 52 viikon aikana asteittain lopetettavan hoidon yhdistelmän p = 0,0081].</w:t>
      </w:r>
    </w:p>
    <w:p w14:paraId="0BC54024" w14:textId="77777777" w:rsidR="007E1012" w:rsidRPr="0028514E" w:rsidRDefault="007E1012" w:rsidP="006E5F9A">
      <w:pPr>
        <w:pStyle w:val="a4"/>
        <w:ind w:left="0"/>
      </w:pPr>
    </w:p>
    <w:p w14:paraId="293A6A2A" w14:textId="203F6614" w:rsidR="003B7027" w:rsidRPr="0028514E" w:rsidRDefault="00296A74" w:rsidP="006E5F9A">
      <w:pPr>
        <w:pStyle w:val="a4"/>
        <w:ind w:left="0"/>
      </w:pPr>
      <w:r w:rsidRPr="0028514E">
        <w:t xml:space="preserve">FACIT-F-mittarin (FACIT-fatigue) muutosta lähtötilanteesta viikkoon 52 osoittavat indeksiluvut laskettiin kaikista ryhmistä. Indeksilukujen muutoksen keskiarvot (keskihajonta) olivat seuraavat: </w:t>
      </w:r>
      <w:r w:rsidR="003F37BF">
        <w:t xml:space="preserve">tosilitsumabi </w:t>
      </w:r>
      <w:r w:rsidRPr="0028514E">
        <w:t xml:space="preserve">viikoittain ja 26 viikon aikana asteittain lopetettava hoito: 5,61 (10,115); </w:t>
      </w:r>
      <w:r w:rsidR="003F37BF">
        <w:t xml:space="preserve">tosilitsumabi </w:t>
      </w:r>
      <w:r w:rsidRPr="0028514E">
        <w:lastRenderedPageBreak/>
        <w:t>joka toinen viikko ja 26 viikon aikana asteittain lopetettava hoito: 1,81 (8,836); lumevalmiste ja 26 viikon aikana asteittain lopetettava hoito: 0,26 (10,702); ja lumevalmiste ja 52 viikon aikana asteittain lopetettava hoito: -1,63 (6,753).</w:t>
      </w:r>
    </w:p>
    <w:p w14:paraId="410792DE" w14:textId="77777777" w:rsidR="003B7027" w:rsidRPr="0028514E" w:rsidRDefault="003B7027" w:rsidP="006E5F9A">
      <w:pPr>
        <w:pStyle w:val="a4"/>
        <w:ind w:left="0"/>
      </w:pPr>
    </w:p>
    <w:p w14:paraId="5A9A1EAC" w14:textId="0251DD2D" w:rsidR="003B7027" w:rsidRPr="0028514E" w:rsidRDefault="00296A74" w:rsidP="006E5F9A">
      <w:pPr>
        <w:pStyle w:val="a4"/>
        <w:ind w:left="0"/>
      </w:pPr>
      <w:r w:rsidRPr="0028514E">
        <w:t xml:space="preserve">EQ-5D-mittarin indeksiluvun muutos lähtötilanteesta viikkoon 52 oli </w:t>
      </w:r>
      <w:r w:rsidR="0064112A">
        <w:t xml:space="preserve">tosilitsumabia </w:t>
      </w:r>
      <w:r w:rsidRPr="0028514E">
        <w:t xml:space="preserve">viikoittain yhdistelmänä 26 viikon aikana asteittain lopetettavan hoidon kanssa saaneilla 0,10 (0,198), </w:t>
      </w:r>
      <w:r w:rsidR="0064112A">
        <w:t xml:space="preserve">tosilitsumabia </w:t>
      </w:r>
      <w:r w:rsidRPr="0028514E">
        <w:t>joka toinen viikko yhdistelmänä 26 viikon aikana asteittain lopetettavan hoidon kanssa saaneilla 0,05 (0,215), lumevalmistetta yhdistelmänä 26 viikon aikana asteittain lopetettavan hoidon kanssa saaneilla 0,07 (0,293) sekä lumevalmistetta yhdistelmänä 52 viikon aikana asteittain lopetettavan hoidon kanssa saaneilla -0,02 [0,159].</w:t>
      </w:r>
    </w:p>
    <w:p w14:paraId="65978606" w14:textId="77777777" w:rsidR="007E1012" w:rsidRPr="0028514E" w:rsidRDefault="007E1012" w:rsidP="006E5F9A">
      <w:pPr>
        <w:pStyle w:val="a4"/>
        <w:ind w:left="0"/>
      </w:pPr>
    </w:p>
    <w:p w14:paraId="00FD7058" w14:textId="77777777" w:rsidR="007E1012" w:rsidRPr="0028514E" w:rsidRDefault="00296A74" w:rsidP="006E5F9A">
      <w:pPr>
        <w:pStyle w:val="a4"/>
        <w:ind w:left="0"/>
      </w:pPr>
      <w:r w:rsidRPr="0028514E">
        <w:t>Sekä FACIT-F- että EQ-5D-mittarin suurempi indeksiluku osoittaa tilan paranemista.</w:t>
      </w:r>
    </w:p>
    <w:p w14:paraId="15CBA37B" w14:textId="77777777" w:rsidR="007E1012" w:rsidRPr="0028514E" w:rsidRDefault="007E1012" w:rsidP="006E5F9A">
      <w:pPr>
        <w:pStyle w:val="a4"/>
        <w:ind w:left="0"/>
      </w:pPr>
    </w:p>
    <w:p w14:paraId="404B7269" w14:textId="77777777" w:rsidR="003B7027" w:rsidRPr="0028514E" w:rsidRDefault="00296A74" w:rsidP="006E5F9A">
      <w:pPr>
        <w:pStyle w:val="a4"/>
        <w:keepNext/>
        <w:ind w:left="0"/>
      </w:pPr>
      <w:r w:rsidRPr="0028514E">
        <w:rPr>
          <w:u w:val="single"/>
        </w:rPr>
        <w:t>Laskimonsisäinen annostelu</w:t>
      </w:r>
    </w:p>
    <w:p w14:paraId="29710B7D" w14:textId="77777777" w:rsidR="003B7027" w:rsidRPr="00CA43F5" w:rsidRDefault="00296A74" w:rsidP="006E5F9A">
      <w:pPr>
        <w:keepNext/>
        <w:rPr>
          <w:b/>
          <w:lang w:val="fi-FI"/>
        </w:rPr>
      </w:pPr>
      <w:r w:rsidRPr="00CA43F5">
        <w:rPr>
          <w:b/>
          <w:u w:val="single"/>
          <w:lang w:val="fi-FI"/>
        </w:rPr>
        <w:t>Nivelreuma</w:t>
      </w:r>
    </w:p>
    <w:p w14:paraId="70D27467" w14:textId="77777777" w:rsidR="003B7027" w:rsidRPr="0028514E" w:rsidRDefault="00296A74" w:rsidP="006E5F9A">
      <w:pPr>
        <w:pStyle w:val="a4"/>
        <w:keepNext/>
        <w:ind w:left="0"/>
      </w:pPr>
      <w:r w:rsidRPr="0028514E">
        <w:rPr>
          <w:u w:val="single"/>
        </w:rPr>
        <w:t>Kliininen teho</w:t>
      </w:r>
    </w:p>
    <w:p w14:paraId="54C883E2" w14:textId="199EC192" w:rsidR="003B7027" w:rsidRPr="0028514E" w:rsidRDefault="00C92F09" w:rsidP="006E5F9A">
      <w:pPr>
        <w:pStyle w:val="a4"/>
        <w:ind w:left="0"/>
      </w:pPr>
      <w:r>
        <w:t xml:space="preserve">Tosilitsumabin </w:t>
      </w:r>
      <w:r w:rsidR="00296A74" w:rsidRPr="0028514E">
        <w:t>tehoa arvioitiin viidessä satunnaistetussa kaksoissokkoutetussa monikeskustutkimuksessa nivelreuman oireiden lievittymisen perusteella. Tutkimuksiin I–V otettiin</w:t>
      </w:r>
      <w:r w:rsidR="002A56B1">
        <w:t xml:space="preserve"> ≥</w:t>
      </w:r>
      <w:r w:rsidR="00296A74" w:rsidRPr="0028514E">
        <w:t xml:space="preserve"> 18-vuotiaita potilaita, joilla oli ACR-kriteerien (American College of Rheumatology) mukaan diagnosoitu aktiivinen nivelreuma ja lähtötilanteessa vähintään kahdeksan aristavaa ja kuusi turvonnutta niveltä.</w:t>
      </w:r>
    </w:p>
    <w:p w14:paraId="2B7867AB" w14:textId="77777777" w:rsidR="007E1012" w:rsidRPr="0028514E" w:rsidRDefault="007E1012" w:rsidP="006E5F9A">
      <w:pPr>
        <w:pStyle w:val="a4"/>
        <w:ind w:left="0"/>
      </w:pPr>
    </w:p>
    <w:p w14:paraId="452DDA8C" w14:textId="646B646A" w:rsidR="003B7027" w:rsidRPr="0028514E" w:rsidRDefault="00296A74" w:rsidP="006E5F9A">
      <w:pPr>
        <w:pStyle w:val="a4"/>
        <w:ind w:left="0"/>
      </w:pPr>
      <w:r w:rsidRPr="0028514E">
        <w:t xml:space="preserve">Tutkimuksessa I </w:t>
      </w:r>
      <w:r w:rsidR="00C92F09">
        <w:t xml:space="preserve">tosilitsumabi </w:t>
      </w:r>
      <w:r w:rsidRPr="0028514E">
        <w:t xml:space="preserve">annettiin laskimoon neljän viikon välein monoterapiana. Tutkimuksissa II, III ja V </w:t>
      </w:r>
      <w:r w:rsidR="00C92F09">
        <w:t xml:space="preserve">tosilitsumabi </w:t>
      </w:r>
      <w:r w:rsidRPr="0028514E">
        <w:t xml:space="preserve">annettiin laskimoon neljän viikon välein yhdessä MTX:n kanssa. Vertailuna käytettiin lumevalmisteen ja MTX:n yhdistelmää. Tutkimuksessa IV </w:t>
      </w:r>
      <w:r w:rsidR="00C92F09">
        <w:t xml:space="preserve">tosilitsumabi </w:t>
      </w:r>
      <w:r w:rsidRPr="0028514E">
        <w:t>annettiin laskimoon neljän viikon välein yhdessä muiden DMARDien kanssa. Vertailuna käytettiin lumevalmisteen ja muiden DMARDien yhdistelmää. Kaikissa viidessä tutkimuksessa ensisijainen päätetapahtuma oli niiden potilaiden osuus, jotka saavuttivat ACR20-vasteen viikkoon 24 mennessä.</w:t>
      </w:r>
    </w:p>
    <w:p w14:paraId="0B25F505" w14:textId="77777777" w:rsidR="007E1012" w:rsidRPr="0028514E" w:rsidRDefault="007E1012" w:rsidP="006E5F9A">
      <w:pPr>
        <w:pStyle w:val="a4"/>
        <w:ind w:left="0"/>
      </w:pPr>
    </w:p>
    <w:p w14:paraId="4A357138" w14:textId="06F82D59" w:rsidR="003B7027" w:rsidRPr="0028514E" w:rsidRDefault="00296A74" w:rsidP="006E5F9A">
      <w:pPr>
        <w:pStyle w:val="a4"/>
        <w:ind w:left="0"/>
      </w:pPr>
      <w:r w:rsidRPr="0028514E">
        <w:t xml:space="preserve">Tutkimuksessa I arvioitiin 673 potilasta, jotka eivät olleet saaneet MTX:a satunnaistamista edeltäneiden kuuden kuukauden aikana ja joiden aikaisempaa MTX-hoitoa ei oltu keskeytetty kliinisesti merkittävien toksisten vaikutusten tai hoidon tehottomuuden vuoksi. Valtaosa (67 %) potilaista ei ollut aikaisemmin saanut MTX:a. </w:t>
      </w:r>
      <w:r w:rsidR="00C92F09">
        <w:t xml:space="preserve">Tosilitsumabia </w:t>
      </w:r>
      <w:r w:rsidRPr="0028514E">
        <w:t>annettiin 8 mg/kg neljän viikon välein</w:t>
      </w:r>
      <w:r w:rsidR="007E1012" w:rsidRPr="0028514E">
        <w:t xml:space="preserve"> </w:t>
      </w:r>
      <w:r w:rsidRPr="0028514E">
        <w:t>monoterapiana. Vertailuryhmä sai MTX:a viikon välein (viikkoannos titrattiin 7,5 mg:sta enintään 20 mg:aan kahdeksan viikon jakson aikana).</w:t>
      </w:r>
    </w:p>
    <w:p w14:paraId="7F455837" w14:textId="77777777" w:rsidR="003B7027" w:rsidRPr="0028514E" w:rsidRDefault="003B7027" w:rsidP="006E5F9A">
      <w:pPr>
        <w:pStyle w:val="a4"/>
        <w:ind w:left="0"/>
      </w:pPr>
    </w:p>
    <w:p w14:paraId="2256453F" w14:textId="678353CF" w:rsidR="003B7027" w:rsidRPr="0028514E" w:rsidRDefault="00296A74" w:rsidP="006E5F9A">
      <w:pPr>
        <w:pStyle w:val="a4"/>
        <w:ind w:left="0"/>
      </w:pPr>
      <w:r w:rsidRPr="0028514E">
        <w:t>Tutkimus II kesti kaksi vuotta, ja siihen kuului suunniteltu analyysi viikkojen 24, 52 ja 104 kohdalla. Tutkimuksessa arvioitiin 1196 potilasta, joille MTX ei ollut tuottanut riittävää hoitovastetta.</w:t>
      </w:r>
      <w:r w:rsidR="007E1012" w:rsidRPr="0028514E">
        <w:t xml:space="preserve"> </w:t>
      </w:r>
      <w:r w:rsidR="00C92F09">
        <w:t>Tosilitsumabi</w:t>
      </w:r>
      <w:r w:rsidRPr="0028514E">
        <w:t xml:space="preserve">annos 4 mg/kg tai 8 mg/kg tai lumevalmiste annettiin sokkoutetusti neljän viikon välein 52 viikon ajan yhdistettynä vakaaseen MTX-annokseen (10–25 mg viikossa). Avoimessa vaiheessa, viikon 52 jälkeen, kaikilla potilailla oli mahdollisuus saada </w:t>
      </w:r>
      <w:r w:rsidR="00C92F09">
        <w:t>tosilitsumabi</w:t>
      </w:r>
      <w:r w:rsidRPr="0028514E">
        <w:t xml:space="preserve">hoitoa 8 mg/kg. Niistä potilaista, jotka olivat mukana tutkimuksen loppuun asti ja jotka oli satunnaistettu saamaan lumevalmistetta ja MTX:a, 86 % sai avoimessa vaiheessa </w:t>
      </w:r>
      <w:r w:rsidR="00C92F09">
        <w:t xml:space="preserve">tosilitsumabia </w:t>
      </w:r>
      <w:r w:rsidRPr="0028514E">
        <w:t>8 mg/kg tutkimuksen toisena vuonna. Ensisijainen päätetapahtuma 24 viikon kohdalla tehdyssä analyysissä oli ACR20-vasteen kriteerit täyttävien potilaiden suhteellinen osuus. Viikoilla 52 ja 104 muut ensisijaiset päätetapahtumat olivat nivelvaurioiden estyminen ja fyysisen toimintakyvyn paraneminen.</w:t>
      </w:r>
    </w:p>
    <w:p w14:paraId="2310ABB2" w14:textId="77777777" w:rsidR="000577C7" w:rsidRDefault="000577C7" w:rsidP="006E5F9A">
      <w:pPr>
        <w:pStyle w:val="a4"/>
        <w:ind w:left="0"/>
      </w:pPr>
    </w:p>
    <w:p w14:paraId="62AB40C0" w14:textId="34330A29" w:rsidR="003B7027" w:rsidRPr="0028514E" w:rsidRDefault="00296A74" w:rsidP="006E5F9A">
      <w:pPr>
        <w:pStyle w:val="a4"/>
        <w:ind w:left="0"/>
      </w:pPr>
      <w:r w:rsidRPr="0028514E">
        <w:t xml:space="preserve">Tutkimuksessa III arvioitiin 623 potilasta, joille MTX ei ollut tuonut riittävää hoitovastetta. </w:t>
      </w:r>
      <w:r w:rsidR="00C92F09">
        <w:t>Tosilitsumabi</w:t>
      </w:r>
      <w:r w:rsidRPr="0028514E">
        <w:t>annos 4 mg/kg tai 8 mg/kg tai lumevalmiste annettiin neljän viikon välein yhdistettynä vakaaseen MTX-annokseen (10–25 mg viikossa).</w:t>
      </w:r>
    </w:p>
    <w:p w14:paraId="5EDFEECC" w14:textId="77777777" w:rsidR="003B7027" w:rsidRPr="0028514E" w:rsidRDefault="003B7027" w:rsidP="006E5F9A">
      <w:pPr>
        <w:pStyle w:val="a4"/>
        <w:ind w:left="0"/>
      </w:pPr>
    </w:p>
    <w:p w14:paraId="4FD8FB46" w14:textId="25199832" w:rsidR="007E1012" w:rsidRPr="0028514E" w:rsidRDefault="00296A74" w:rsidP="006E5F9A">
      <w:pPr>
        <w:pStyle w:val="a4"/>
        <w:ind w:left="0"/>
      </w:pPr>
      <w:r w:rsidRPr="0028514E">
        <w:t xml:space="preserve">Tutkimuksessa IV arvioitiin 1220 potilasta, jotka eivät olleet saavuttaneet riittävää hoitovastetta nykyisellä reumalääkityksellään, johon kuului vähintään yksi DMARD. </w:t>
      </w:r>
      <w:r w:rsidR="00C92F09">
        <w:t>Tosilitsumabi</w:t>
      </w:r>
      <w:r w:rsidRPr="0028514E">
        <w:t>annos 8 mg/kg tai lumevalmiste annettiin neljän viikon välein yhdistettynä DMARDien vakaaseen annokseen.</w:t>
      </w:r>
    </w:p>
    <w:p w14:paraId="522C8D3C" w14:textId="77777777" w:rsidR="007E1012" w:rsidRPr="0028514E" w:rsidRDefault="007E1012" w:rsidP="006E5F9A">
      <w:pPr>
        <w:pStyle w:val="a4"/>
        <w:ind w:left="0"/>
      </w:pPr>
    </w:p>
    <w:p w14:paraId="12332AB7" w14:textId="61F06CB6" w:rsidR="003B7027" w:rsidRPr="0028514E" w:rsidRDefault="00296A74" w:rsidP="006E5F9A">
      <w:pPr>
        <w:pStyle w:val="a4"/>
        <w:ind w:left="0"/>
      </w:pPr>
      <w:r w:rsidRPr="0028514E">
        <w:t xml:space="preserve">Tutkimuksessa V arvioitiin 499 potilasta, joille yksi tai useampi TNF-estäjä ei ollut tuonut riittävää hoitovastetta tai jotka eivät sietäneet näitä lääkkeitä. Hoito TNF-estäjillä lopetettiin ennen </w:t>
      </w:r>
      <w:r w:rsidRPr="0028514E">
        <w:lastRenderedPageBreak/>
        <w:t xml:space="preserve">satunnaistamista. </w:t>
      </w:r>
      <w:r w:rsidR="00C92F09">
        <w:t>Tosilitsumabi</w:t>
      </w:r>
      <w:r w:rsidRPr="0028514E">
        <w:t>annos 4 mg/kg tai 8 mg/kg tai lumevalmiste annettiin neljän viikon välein yhdistettynä vakaaseen MTX-annokseen (10–25 mg viikossa).</w:t>
      </w:r>
    </w:p>
    <w:p w14:paraId="4FFA61E1" w14:textId="77777777" w:rsidR="003B7027" w:rsidRPr="0028514E" w:rsidRDefault="003B7027" w:rsidP="006E5F9A">
      <w:pPr>
        <w:pStyle w:val="a4"/>
        <w:ind w:left="0"/>
      </w:pPr>
    </w:p>
    <w:p w14:paraId="5389E5CE" w14:textId="77777777" w:rsidR="003B7027" w:rsidRPr="0028514E" w:rsidRDefault="00296A74" w:rsidP="006E5F9A">
      <w:pPr>
        <w:pStyle w:val="a4"/>
        <w:ind w:left="0"/>
      </w:pPr>
      <w:r w:rsidRPr="0028514E">
        <w:rPr>
          <w:u w:val="single"/>
        </w:rPr>
        <w:t>Kliininen vaste</w:t>
      </w:r>
    </w:p>
    <w:p w14:paraId="6C41ED58" w14:textId="68388828" w:rsidR="003B7027" w:rsidRPr="0028514E" w:rsidRDefault="00296A74" w:rsidP="006E5F9A">
      <w:pPr>
        <w:pStyle w:val="a4"/>
        <w:ind w:left="0"/>
      </w:pPr>
      <w:r w:rsidRPr="0028514E">
        <w:t xml:space="preserve">Kaikissa tutkimuksissa kuuden kuukauden ACR20-, ACR50- ja ACR70-vasteet olivat tilastollisesti merkitsevästi suuremmat </w:t>
      </w:r>
      <w:r w:rsidR="00C92F09">
        <w:t xml:space="preserve">tosilitsumabia </w:t>
      </w:r>
      <w:r w:rsidRPr="0028514E">
        <w:t xml:space="preserve">8 mg/kg saaneiden potilaiden ryhmissä kuin vertailuryhmissä (taulukko 5). Tutkimuksessa I </w:t>
      </w:r>
      <w:r w:rsidR="00C92F09">
        <w:t xml:space="preserve">tosilitsumabi </w:t>
      </w:r>
      <w:r w:rsidRPr="0028514E">
        <w:t>8 mg/kg todettiin tehokkaammaksi kuin vaikuttava vertailuaine MTX.</w:t>
      </w:r>
    </w:p>
    <w:p w14:paraId="383B3D2F" w14:textId="519783EF" w:rsidR="003B7027" w:rsidRPr="0028514E" w:rsidRDefault="00296A74" w:rsidP="006E5F9A">
      <w:pPr>
        <w:pStyle w:val="a4"/>
        <w:ind w:left="0"/>
      </w:pPr>
      <w:r w:rsidRPr="0028514E">
        <w:t>Hoitoteho oli sama riippumatta potilaiden reumatekijästatuksesta, iästä, sukupuolesta, etnisestä taustasta, aikaisempien hoitojen lukumäärästä tai taudin tilasta. Vaikutus alkoi nopeasti (jo toisella hoitoviikolla), ja vaste suureni jatkuvasti hoidon keston myötä. Avoimissa jatkotutkimuksissa vasteen on todettu kestävän yli 3 vuotta.</w:t>
      </w:r>
    </w:p>
    <w:p w14:paraId="53A7036C" w14:textId="77777777" w:rsidR="007E1012" w:rsidRPr="0028514E" w:rsidRDefault="007E1012" w:rsidP="006E5F9A">
      <w:pPr>
        <w:pStyle w:val="a4"/>
        <w:ind w:left="0"/>
      </w:pPr>
    </w:p>
    <w:p w14:paraId="493B2DC9" w14:textId="5BCC441E" w:rsidR="003B7027" w:rsidRPr="0028514E" w:rsidRDefault="00296A74" w:rsidP="006E5F9A">
      <w:pPr>
        <w:pStyle w:val="a4"/>
        <w:ind w:left="0"/>
      </w:pPr>
      <w:r w:rsidRPr="0028514E">
        <w:t xml:space="preserve">Kaikissa tutkimuksissa </w:t>
      </w:r>
      <w:r w:rsidR="00C92F09">
        <w:t>tosilitsumabi</w:t>
      </w:r>
      <w:r w:rsidRPr="0028514E">
        <w:t>annosta 8 mg/kg saaneilla potilailla todettiin merkitsevää paranemista ACR-vasteen kaikissa yksittäisissä osatekijöissä (aristavien ja turvonneiden nivelten lukumäärä, potilaan ja lääkärin yleisarvio, toimintakykyä mittaava pistearvo, kivun arviointi ja CRP- arvo) verrattuna potilaisiin, jotka saivat lumevalmistetta yhdessä MTX:in tai muiden DMARDien kanssa.</w:t>
      </w:r>
    </w:p>
    <w:p w14:paraId="7E5852E7" w14:textId="77777777" w:rsidR="007E1012" w:rsidRPr="0028514E" w:rsidRDefault="007E1012" w:rsidP="006E5F9A">
      <w:pPr>
        <w:pStyle w:val="a4"/>
        <w:ind w:left="0"/>
      </w:pPr>
    </w:p>
    <w:p w14:paraId="1D7174C9" w14:textId="205AE900" w:rsidR="003B7027" w:rsidRPr="0028514E" w:rsidRDefault="00296A74" w:rsidP="006E5F9A">
      <w:pPr>
        <w:pStyle w:val="a4"/>
        <w:ind w:left="0"/>
      </w:pPr>
      <w:r w:rsidRPr="0028514E">
        <w:t xml:space="preserve">Tutkimuksissa I–V potilaiden keskimääräinen DAS28 (Disease Activity Score) -indeksi hoidon alussa oli 6,5–6,8. DAS28-indeksin merkitsevää laskua (keskimääräinen parannus) havaittiin tosilitsumabilla hoidetuilla potilailla verrattuna kontrolliryhmän potilaisiin. </w:t>
      </w:r>
      <w:r w:rsidR="00C92F09">
        <w:t>Tosilitsumabilla</w:t>
      </w:r>
      <w:r w:rsidRPr="0028514E">
        <w:t xml:space="preserve"> hoidetuilla potilailla DAS28 laski 3,1–3,4 yksikköä ja kontrolliryhmässä 1,3–2,1 yksikköä. </w:t>
      </w:r>
      <w:r w:rsidR="00C92F09">
        <w:t>Tosilitsumabi</w:t>
      </w:r>
      <w:r w:rsidRPr="0028514E">
        <w:t>hoitoa saaneista potilaista 28–34 % saavutti DAS28-remission viikolla 24 (DAS28 &lt; 2,6). Osuus oli huomattavasti suurempi kuin kontrolliryhmässä, jossa vastaava luku oli 1–12 %. Tutkimuksessa II, 65 % potilaista saavutti DAS28 &lt;2,6 viikolla 104. Vastaava luku viikolla 52 oli 48 % ja viikolla 24 33 %.</w:t>
      </w:r>
    </w:p>
    <w:p w14:paraId="249A0914" w14:textId="77777777" w:rsidR="003B7027" w:rsidRPr="0028514E" w:rsidRDefault="003B7027" w:rsidP="006E5F9A">
      <w:pPr>
        <w:pStyle w:val="a4"/>
        <w:ind w:left="0"/>
      </w:pPr>
    </w:p>
    <w:p w14:paraId="445B17BC" w14:textId="2EC525B5" w:rsidR="003B7027" w:rsidRPr="0028514E" w:rsidRDefault="00296A74" w:rsidP="006E5F9A">
      <w:pPr>
        <w:pStyle w:val="a4"/>
        <w:ind w:left="0"/>
      </w:pPr>
      <w:r w:rsidRPr="0028514E">
        <w:t>Tutkimusten II, III ja IV yhdistetyssä analyysissä ACR20-, ACR50- ja ACR70-vasteiden saavuttaneiden potilaiden osuus oli merkitsevästi suurempi ryhmässä, joka sai tosilitsumabia 8 mg/kg yhdessä DMARDien kanssa (59 %, 37 % ja 18 %), kuin ryhmässä, joka sai tosilitsumabia 4 mg/kg yhdessä DMARDien kanssa (50 %, 27 % ja 11 %; p &lt; 0.03). Vastaavasti DAS28-remission (DAS28</w:t>
      </w:r>
      <w:r w:rsidR="007E1012" w:rsidRPr="0028514E">
        <w:t xml:space="preserve"> </w:t>
      </w:r>
      <w:r w:rsidRPr="0028514E">
        <w:t xml:space="preserve">&lt; 2,6) saavuttaneiden potilaiden osuus oli merkitsevästi suurempi </w:t>
      </w:r>
      <w:r w:rsidR="00C92F09">
        <w:t xml:space="preserve">tosilitsumabia </w:t>
      </w:r>
      <w:r w:rsidRPr="0028514E">
        <w:t>8 mg/kg ja DMARDeja</w:t>
      </w:r>
      <w:r w:rsidR="007E1012" w:rsidRPr="0028514E">
        <w:t xml:space="preserve"> </w:t>
      </w:r>
      <w:r w:rsidRPr="0028514E">
        <w:t xml:space="preserve">saaneessa ryhmässä (31 %) kuin </w:t>
      </w:r>
      <w:r w:rsidR="00C92F09">
        <w:t xml:space="preserve">tosilitsumabia </w:t>
      </w:r>
      <w:r w:rsidRPr="0028514E">
        <w:t>4 mg/kg ja DMARDeja saaneessa ryhmässä (16 %, p &lt; 0,0001).</w:t>
      </w:r>
    </w:p>
    <w:p w14:paraId="75AA6E78" w14:textId="77777777" w:rsidR="003B7027" w:rsidRPr="0028514E" w:rsidRDefault="003B7027" w:rsidP="006E5F9A">
      <w:pPr>
        <w:pStyle w:val="a4"/>
        <w:ind w:left="0"/>
      </w:pPr>
    </w:p>
    <w:p w14:paraId="265CF65E" w14:textId="77777777" w:rsidR="003B7027" w:rsidRPr="00CA43F5" w:rsidRDefault="00296A74" w:rsidP="002A56B1">
      <w:pPr>
        <w:pStyle w:val="Tabletitle"/>
        <w:rPr>
          <w:lang w:val="fi-FI"/>
        </w:rPr>
      </w:pPr>
      <w:r w:rsidRPr="00CA43F5">
        <w:rPr>
          <w:lang w:val="fi-FI"/>
        </w:rPr>
        <w:t>Taulukko 5.</w:t>
      </w:r>
      <w:r w:rsidR="007E1012" w:rsidRPr="00CA43F5">
        <w:rPr>
          <w:lang w:val="fi-FI"/>
        </w:rPr>
        <w:tab/>
      </w:r>
      <w:r w:rsidRPr="00CA43F5">
        <w:rPr>
          <w:lang w:val="fi-FI"/>
        </w:rPr>
        <w:t>ACR-vasteet kontrolloiduissa tutkimuksissa, joissa vertailuaineina olivat lumevalmiste / MTX / DMARDit, (% potilaista)</w:t>
      </w:r>
    </w:p>
    <w:p w14:paraId="576448E4" w14:textId="77777777" w:rsidR="007E1012" w:rsidRPr="00CA43F5" w:rsidRDefault="007E1012" w:rsidP="006E5F9A">
      <w:pPr>
        <w:rPr>
          <w:i/>
          <w:lang w:val="fi-FI"/>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8" w:type="dxa"/>
          <w:bottom w:w="29" w:type="dxa"/>
          <w:right w:w="28" w:type="dxa"/>
        </w:tblCellMar>
        <w:tblLook w:val="01E0" w:firstRow="1" w:lastRow="1" w:firstColumn="1" w:lastColumn="1" w:noHBand="0" w:noVBand="0"/>
      </w:tblPr>
      <w:tblGrid>
        <w:gridCol w:w="619"/>
        <w:gridCol w:w="703"/>
        <w:gridCol w:w="704"/>
        <w:gridCol w:w="844"/>
        <w:gridCol w:w="845"/>
        <w:gridCol w:w="844"/>
        <w:gridCol w:w="698"/>
        <w:gridCol w:w="976"/>
        <w:gridCol w:w="976"/>
        <w:gridCol w:w="807"/>
        <w:gridCol w:w="830"/>
      </w:tblGrid>
      <w:tr w:rsidR="003B7027" w:rsidRPr="00D440EB" w14:paraId="0C91B778" w14:textId="77777777" w:rsidTr="00D440EB">
        <w:trPr>
          <w:cantSplit/>
          <w:tblHeader/>
        </w:trPr>
        <w:tc>
          <w:tcPr>
            <w:tcW w:w="624" w:type="dxa"/>
            <w:vAlign w:val="center"/>
          </w:tcPr>
          <w:p w14:paraId="3D4D3D60" w14:textId="77777777" w:rsidR="003B7027" w:rsidRPr="00D440EB" w:rsidRDefault="003B7027" w:rsidP="006E5F9A">
            <w:pPr>
              <w:pStyle w:val="TableParagraph"/>
              <w:suppressAutoHyphens/>
              <w:jc w:val="center"/>
              <w:rPr>
                <w:sz w:val="18"/>
                <w:szCs w:val="18"/>
              </w:rPr>
            </w:pPr>
          </w:p>
        </w:tc>
        <w:tc>
          <w:tcPr>
            <w:tcW w:w="1418" w:type="dxa"/>
            <w:gridSpan w:val="2"/>
            <w:vAlign w:val="center"/>
          </w:tcPr>
          <w:p w14:paraId="573870F4" w14:textId="77777777" w:rsidR="003B7027" w:rsidRPr="00D440EB" w:rsidRDefault="00296A74" w:rsidP="006E5F9A">
            <w:pPr>
              <w:pStyle w:val="TableParagraph"/>
              <w:suppressAutoHyphens/>
              <w:jc w:val="center"/>
              <w:rPr>
                <w:b/>
                <w:sz w:val="18"/>
                <w:szCs w:val="18"/>
              </w:rPr>
            </w:pPr>
            <w:r w:rsidRPr="00D440EB">
              <w:rPr>
                <w:b/>
                <w:sz w:val="18"/>
                <w:szCs w:val="18"/>
              </w:rPr>
              <w:t>Tutkimus I AMBITION</w:t>
            </w:r>
          </w:p>
        </w:tc>
        <w:tc>
          <w:tcPr>
            <w:tcW w:w="1701" w:type="dxa"/>
            <w:gridSpan w:val="2"/>
            <w:vAlign w:val="center"/>
          </w:tcPr>
          <w:p w14:paraId="2B521BC1" w14:textId="77777777" w:rsidR="003B7027" w:rsidRPr="00D440EB" w:rsidRDefault="00296A74" w:rsidP="006E5F9A">
            <w:pPr>
              <w:pStyle w:val="TableParagraph"/>
              <w:suppressAutoHyphens/>
              <w:jc w:val="center"/>
              <w:rPr>
                <w:b/>
                <w:sz w:val="18"/>
                <w:szCs w:val="18"/>
              </w:rPr>
            </w:pPr>
            <w:r w:rsidRPr="00D440EB">
              <w:rPr>
                <w:b/>
                <w:sz w:val="18"/>
                <w:szCs w:val="18"/>
              </w:rPr>
              <w:t>Tutkimus II LITHE</w:t>
            </w:r>
          </w:p>
        </w:tc>
        <w:tc>
          <w:tcPr>
            <w:tcW w:w="1553" w:type="dxa"/>
            <w:gridSpan w:val="2"/>
            <w:vAlign w:val="center"/>
          </w:tcPr>
          <w:p w14:paraId="07FF9029" w14:textId="77777777" w:rsidR="003B7027" w:rsidRPr="00D440EB" w:rsidRDefault="00296A74" w:rsidP="006E5F9A">
            <w:pPr>
              <w:pStyle w:val="TableParagraph"/>
              <w:suppressAutoHyphens/>
              <w:jc w:val="center"/>
              <w:rPr>
                <w:b/>
                <w:sz w:val="18"/>
                <w:szCs w:val="18"/>
              </w:rPr>
            </w:pPr>
            <w:r w:rsidRPr="00D440EB">
              <w:rPr>
                <w:b/>
                <w:sz w:val="18"/>
                <w:szCs w:val="18"/>
              </w:rPr>
              <w:t>Tutkimus III OPTION</w:t>
            </w:r>
          </w:p>
        </w:tc>
        <w:tc>
          <w:tcPr>
            <w:tcW w:w="1966" w:type="dxa"/>
            <w:gridSpan w:val="2"/>
            <w:vAlign w:val="center"/>
          </w:tcPr>
          <w:p w14:paraId="724A2E96" w14:textId="77777777" w:rsidR="003B7027" w:rsidRPr="00D440EB" w:rsidRDefault="00296A74" w:rsidP="006E5F9A">
            <w:pPr>
              <w:pStyle w:val="TableParagraph"/>
              <w:suppressAutoHyphens/>
              <w:jc w:val="center"/>
              <w:rPr>
                <w:b/>
                <w:sz w:val="18"/>
                <w:szCs w:val="18"/>
              </w:rPr>
            </w:pPr>
            <w:r w:rsidRPr="00D440EB">
              <w:rPr>
                <w:b/>
                <w:sz w:val="18"/>
                <w:szCs w:val="18"/>
              </w:rPr>
              <w:t>Tutkimus IV TOWARD</w:t>
            </w:r>
          </w:p>
        </w:tc>
        <w:tc>
          <w:tcPr>
            <w:tcW w:w="1649" w:type="dxa"/>
            <w:gridSpan w:val="2"/>
            <w:vAlign w:val="center"/>
          </w:tcPr>
          <w:p w14:paraId="22EA2B74" w14:textId="77777777" w:rsidR="003B7027" w:rsidRPr="00D440EB" w:rsidRDefault="00296A74" w:rsidP="006E5F9A">
            <w:pPr>
              <w:pStyle w:val="TableParagraph"/>
              <w:suppressAutoHyphens/>
              <w:jc w:val="center"/>
              <w:rPr>
                <w:b/>
                <w:sz w:val="18"/>
                <w:szCs w:val="18"/>
              </w:rPr>
            </w:pPr>
            <w:r w:rsidRPr="00D440EB">
              <w:rPr>
                <w:b/>
                <w:sz w:val="18"/>
                <w:szCs w:val="18"/>
              </w:rPr>
              <w:t>Tutkimus V RADIATE</w:t>
            </w:r>
          </w:p>
        </w:tc>
      </w:tr>
      <w:tr w:rsidR="00C974BF" w:rsidRPr="00D440EB" w14:paraId="29B88F6A" w14:textId="77777777" w:rsidTr="00D440EB">
        <w:trPr>
          <w:cantSplit/>
          <w:tblHeader/>
        </w:trPr>
        <w:tc>
          <w:tcPr>
            <w:tcW w:w="624" w:type="dxa"/>
            <w:vAlign w:val="center"/>
          </w:tcPr>
          <w:p w14:paraId="4D381E28" w14:textId="77777777" w:rsidR="003B7027" w:rsidRPr="00D440EB" w:rsidRDefault="00296A74" w:rsidP="006E5F9A">
            <w:pPr>
              <w:pStyle w:val="TableParagraph"/>
              <w:suppressAutoHyphens/>
              <w:jc w:val="center"/>
              <w:rPr>
                <w:b/>
                <w:sz w:val="18"/>
                <w:szCs w:val="18"/>
              </w:rPr>
            </w:pPr>
            <w:r w:rsidRPr="00D440EB">
              <w:rPr>
                <w:b/>
                <w:sz w:val="18"/>
                <w:szCs w:val="18"/>
              </w:rPr>
              <w:t>Vko</w:t>
            </w:r>
          </w:p>
        </w:tc>
        <w:tc>
          <w:tcPr>
            <w:tcW w:w="709" w:type="dxa"/>
            <w:vAlign w:val="center"/>
          </w:tcPr>
          <w:p w14:paraId="7CE9BAC5" w14:textId="77777777" w:rsidR="003B7027" w:rsidRPr="00D440EB" w:rsidRDefault="00296A74" w:rsidP="006E5F9A">
            <w:pPr>
              <w:pStyle w:val="TableParagraph"/>
              <w:suppressAutoHyphens/>
              <w:jc w:val="center"/>
              <w:rPr>
                <w:b/>
                <w:sz w:val="18"/>
                <w:szCs w:val="18"/>
              </w:rPr>
            </w:pPr>
            <w:r w:rsidRPr="00D440EB">
              <w:rPr>
                <w:b/>
                <w:sz w:val="18"/>
                <w:szCs w:val="18"/>
              </w:rPr>
              <w:t>TCZ</w:t>
            </w:r>
          </w:p>
          <w:p w14:paraId="2DAF1A65" w14:textId="77777777" w:rsidR="003B7027" w:rsidRPr="00D440EB" w:rsidRDefault="00296A74" w:rsidP="006E5F9A">
            <w:pPr>
              <w:pStyle w:val="TableParagraph"/>
              <w:suppressAutoHyphens/>
              <w:jc w:val="center"/>
              <w:rPr>
                <w:b/>
                <w:sz w:val="18"/>
                <w:szCs w:val="18"/>
              </w:rPr>
            </w:pPr>
            <w:r w:rsidRPr="00D440EB">
              <w:rPr>
                <w:b/>
                <w:sz w:val="18"/>
                <w:szCs w:val="18"/>
              </w:rPr>
              <w:t>8 mg/kg</w:t>
            </w:r>
          </w:p>
        </w:tc>
        <w:tc>
          <w:tcPr>
            <w:tcW w:w="709" w:type="dxa"/>
            <w:vAlign w:val="center"/>
          </w:tcPr>
          <w:p w14:paraId="31944DDD" w14:textId="77777777" w:rsidR="003B7027" w:rsidRPr="00D440EB" w:rsidRDefault="00296A74" w:rsidP="006E5F9A">
            <w:pPr>
              <w:pStyle w:val="TableParagraph"/>
              <w:suppressAutoHyphens/>
              <w:jc w:val="center"/>
              <w:rPr>
                <w:b/>
                <w:sz w:val="18"/>
                <w:szCs w:val="18"/>
              </w:rPr>
            </w:pPr>
            <w:r w:rsidRPr="00D440EB">
              <w:rPr>
                <w:b/>
                <w:sz w:val="18"/>
                <w:szCs w:val="18"/>
              </w:rPr>
              <w:t>MTX</w:t>
            </w:r>
          </w:p>
        </w:tc>
        <w:tc>
          <w:tcPr>
            <w:tcW w:w="850" w:type="dxa"/>
            <w:vAlign w:val="center"/>
          </w:tcPr>
          <w:p w14:paraId="217BE177" w14:textId="77777777" w:rsidR="003B7027" w:rsidRPr="00D440EB" w:rsidRDefault="00296A74" w:rsidP="006E5F9A">
            <w:pPr>
              <w:pStyle w:val="TableParagraph"/>
              <w:suppressAutoHyphens/>
              <w:jc w:val="center"/>
              <w:rPr>
                <w:b/>
                <w:sz w:val="18"/>
                <w:szCs w:val="18"/>
              </w:rPr>
            </w:pPr>
            <w:r w:rsidRPr="00D440EB">
              <w:rPr>
                <w:b/>
                <w:sz w:val="18"/>
                <w:szCs w:val="18"/>
              </w:rPr>
              <w:t>TCZ</w:t>
            </w:r>
          </w:p>
          <w:p w14:paraId="28856554" w14:textId="77777777" w:rsidR="003B7027" w:rsidRPr="00D440EB" w:rsidRDefault="00296A74" w:rsidP="006E5F9A">
            <w:pPr>
              <w:pStyle w:val="TableParagraph"/>
              <w:suppressAutoHyphens/>
              <w:jc w:val="center"/>
              <w:rPr>
                <w:b/>
                <w:sz w:val="18"/>
                <w:szCs w:val="18"/>
              </w:rPr>
            </w:pPr>
            <w:r w:rsidRPr="00D440EB">
              <w:rPr>
                <w:b/>
                <w:sz w:val="18"/>
                <w:szCs w:val="18"/>
              </w:rPr>
              <w:t>8 mg/kg + MTX</w:t>
            </w:r>
          </w:p>
        </w:tc>
        <w:tc>
          <w:tcPr>
            <w:tcW w:w="851" w:type="dxa"/>
            <w:vAlign w:val="center"/>
          </w:tcPr>
          <w:p w14:paraId="208D0BDA" w14:textId="77777777" w:rsidR="003B7027" w:rsidRPr="00D440EB" w:rsidRDefault="00296A74" w:rsidP="006E5F9A">
            <w:pPr>
              <w:pStyle w:val="TableParagraph"/>
              <w:suppressAutoHyphens/>
              <w:jc w:val="center"/>
              <w:rPr>
                <w:b/>
                <w:sz w:val="18"/>
                <w:szCs w:val="18"/>
              </w:rPr>
            </w:pPr>
            <w:r w:rsidRPr="00D440EB">
              <w:rPr>
                <w:b/>
                <w:sz w:val="18"/>
                <w:szCs w:val="18"/>
              </w:rPr>
              <w:t>Lume</w:t>
            </w:r>
          </w:p>
          <w:p w14:paraId="5E0C76D8" w14:textId="77777777" w:rsidR="003B7027" w:rsidRPr="00D440EB" w:rsidRDefault="00296A74" w:rsidP="006E5F9A">
            <w:pPr>
              <w:pStyle w:val="TableParagraph"/>
              <w:suppressAutoHyphens/>
              <w:jc w:val="center"/>
              <w:rPr>
                <w:b/>
                <w:sz w:val="18"/>
                <w:szCs w:val="18"/>
              </w:rPr>
            </w:pPr>
            <w:r w:rsidRPr="00D440EB">
              <w:rPr>
                <w:b/>
                <w:sz w:val="18"/>
                <w:szCs w:val="18"/>
              </w:rPr>
              <w:t>+ MTX</w:t>
            </w:r>
          </w:p>
        </w:tc>
        <w:tc>
          <w:tcPr>
            <w:tcW w:w="850" w:type="dxa"/>
            <w:vAlign w:val="center"/>
          </w:tcPr>
          <w:p w14:paraId="1F3835B4" w14:textId="77777777" w:rsidR="003B7027" w:rsidRPr="00D440EB" w:rsidRDefault="00296A74" w:rsidP="006E5F9A">
            <w:pPr>
              <w:pStyle w:val="TableParagraph"/>
              <w:suppressAutoHyphens/>
              <w:jc w:val="center"/>
              <w:rPr>
                <w:b/>
                <w:sz w:val="18"/>
                <w:szCs w:val="18"/>
              </w:rPr>
            </w:pPr>
            <w:r w:rsidRPr="00D440EB">
              <w:rPr>
                <w:b/>
                <w:sz w:val="18"/>
                <w:szCs w:val="18"/>
              </w:rPr>
              <w:t>TCZ</w:t>
            </w:r>
          </w:p>
          <w:p w14:paraId="4A71102F" w14:textId="77777777" w:rsidR="003B7027" w:rsidRPr="00D440EB" w:rsidRDefault="00296A74" w:rsidP="006E5F9A">
            <w:pPr>
              <w:pStyle w:val="TableParagraph"/>
              <w:suppressAutoHyphens/>
              <w:jc w:val="center"/>
              <w:rPr>
                <w:b/>
                <w:sz w:val="18"/>
                <w:szCs w:val="18"/>
              </w:rPr>
            </w:pPr>
            <w:r w:rsidRPr="00D440EB">
              <w:rPr>
                <w:b/>
                <w:sz w:val="18"/>
                <w:szCs w:val="18"/>
              </w:rPr>
              <w:t>8 mg/kg</w:t>
            </w:r>
          </w:p>
          <w:p w14:paraId="6E86B416" w14:textId="77777777" w:rsidR="003B7027" w:rsidRPr="00D440EB" w:rsidRDefault="00296A74" w:rsidP="006E5F9A">
            <w:pPr>
              <w:pStyle w:val="TableParagraph"/>
              <w:suppressAutoHyphens/>
              <w:jc w:val="center"/>
              <w:rPr>
                <w:b/>
                <w:sz w:val="18"/>
                <w:szCs w:val="18"/>
              </w:rPr>
            </w:pPr>
            <w:r w:rsidRPr="00D440EB">
              <w:rPr>
                <w:b/>
                <w:sz w:val="18"/>
                <w:szCs w:val="18"/>
              </w:rPr>
              <w:t>+ MTX</w:t>
            </w:r>
          </w:p>
        </w:tc>
        <w:tc>
          <w:tcPr>
            <w:tcW w:w="703" w:type="dxa"/>
            <w:vAlign w:val="center"/>
          </w:tcPr>
          <w:p w14:paraId="40B7A81A" w14:textId="77777777" w:rsidR="003B7027" w:rsidRPr="00D440EB" w:rsidRDefault="00296A74" w:rsidP="006E5F9A">
            <w:pPr>
              <w:pStyle w:val="TableParagraph"/>
              <w:suppressAutoHyphens/>
              <w:jc w:val="center"/>
              <w:rPr>
                <w:b/>
                <w:sz w:val="18"/>
                <w:szCs w:val="18"/>
              </w:rPr>
            </w:pPr>
            <w:r w:rsidRPr="00D440EB">
              <w:rPr>
                <w:b/>
                <w:sz w:val="18"/>
                <w:szCs w:val="18"/>
              </w:rPr>
              <w:t>Lume + MTX</w:t>
            </w:r>
          </w:p>
        </w:tc>
        <w:tc>
          <w:tcPr>
            <w:tcW w:w="983" w:type="dxa"/>
            <w:vAlign w:val="center"/>
          </w:tcPr>
          <w:p w14:paraId="60B8CDE0" w14:textId="77777777" w:rsidR="003B7027" w:rsidRPr="00D440EB" w:rsidRDefault="00296A74" w:rsidP="006E5F9A">
            <w:pPr>
              <w:pStyle w:val="TableParagraph"/>
              <w:suppressAutoHyphens/>
              <w:jc w:val="center"/>
              <w:rPr>
                <w:b/>
                <w:sz w:val="18"/>
                <w:szCs w:val="18"/>
              </w:rPr>
            </w:pPr>
            <w:r w:rsidRPr="00D440EB">
              <w:rPr>
                <w:b/>
                <w:sz w:val="18"/>
                <w:szCs w:val="18"/>
              </w:rPr>
              <w:t>TCZ</w:t>
            </w:r>
          </w:p>
          <w:p w14:paraId="2CBF01D0" w14:textId="77777777" w:rsidR="003B7027" w:rsidRPr="00D440EB" w:rsidRDefault="00296A74" w:rsidP="006E5F9A">
            <w:pPr>
              <w:pStyle w:val="TableParagraph"/>
              <w:suppressAutoHyphens/>
              <w:jc w:val="center"/>
              <w:rPr>
                <w:b/>
                <w:sz w:val="18"/>
                <w:szCs w:val="18"/>
              </w:rPr>
            </w:pPr>
            <w:r w:rsidRPr="00D440EB">
              <w:rPr>
                <w:b/>
                <w:sz w:val="18"/>
                <w:szCs w:val="18"/>
              </w:rPr>
              <w:t>8 mg/kg + DMARD</w:t>
            </w:r>
          </w:p>
        </w:tc>
        <w:tc>
          <w:tcPr>
            <w:tcW w:w="983" w:type="dxa"/>
            <w:vAlign w:val="center"/>
          </w:tcPr>
          <w:p w14:paraId="36B55092" w14:textId="77777777" w:rsidR="003B7027" w:rsidRPr="00D440EB" w:rsidRDefault="00296A74" w:rsidP="006E5F9A">
            <w:pPr>
              <w:pStyle w:val="TableParagraph"/>
              <w:suppressAutoHyphens/>
              <w:jc w:val="center"/>
              <w:rPr>
                <w:b/>
                <w:sz w:val="18"/>
                <w:szCs w:val="18"/>
              </w:rPr>
            </w:pPr>
            <w:r w:rsidRPr="00D440EB">
              <w:rPr>
                <w:b/>
                <w:sz w:val="18"/>
                <w:szCs w:val="18"/>
              </w:rPr>
              <w:t>Lume+ DMARD</w:t>
            </w:r>
          </w:p>
        </w:tc>
        <w:tc>
          <w:tcPr>
            <w:tcW w:w="813" w:type="dxa"/>
            <w:vAlign w:val="center"/>
          </w:tcPr>
          <w:p w14:paraId="64E0B9DE" w14:textId="77777777" w:rsidR="003B7027" w:rsidRPr="00D440EB" w:rsidRDefault="00296A74" w:rsidP="006E5F9A">
            <w:pPr>
              <w:pStyle w:val="TableParagraph"/>
              <w:suppressAutoHyphens/>
              <w:jc w:val="center"/>
              <w:rPr>
                <w:b/>
                <w:sz w:val="18"/>
                <w:szCs w:val="18"/>
              </w:rPr>
            </w:pPr>
            <w:r w:rsidRPr="00D440EB">
              <w:rPr>
                <w:b/>
                <w:sz w:val="18"/>
                <w:szCs w:val="18"/>
              </w:rPr>
              <w:t>TCZ</w:t>
            </w:r>
          </w:p>
          <w:p w14:paraId="1C4768C5" w14:textId="77777777" w:rsidR="003B7027" w:rsidRPr="00D440EB" w:rsidRDefault="00296A74" w:rsidP="006E5F9A">
            <w:pPr>
              <w:pStyle w:val="TableParagraph"/>
              <w:suppressAutoHyphens/>
              <w:jc w:val="center"/>
              <w:rPr>
                <w:b/>
                <w:sz w:val="18"/>
                <w:szCs w:val="18"/>
              </w:rPr>
            </w:pPr>
            <w:r w:rsidRPr="00D440EB">
              <w:rPr>
                <w:b/>
                <w:sz w:val="18"/>
                <w:szCs w:val="18"/>
              </w:rPr>
              <w:t>8 mg/kg</w:t>
            </w:r>
          </w:p>
          <w:p w14:paraId="7A8B0F5A" w14:textId="77777777" w:rsidR="003B7027" w:rsidRPr="00D440EB" w:rsidRDefault="00296A74" w:rsidP="006E5F9A">
            <w:pPr>
              <w:pStyle w:val="TableParagraph"/>
              <w:suppressAutoHyphens/>
              <w:jc w:val="center"/>
              <w:rPr>
                <w:b/>
                <w:sz w:val="18"/>
                <w:szCs w:val="18"/>
              </w:rPr>
            </w:pPr>
            <w:r w:rsidRPr="00D440EB">
              <w:rPr>
                <w:b/>
                <w:sz w:val="18"/>
                <w:szCs w:val="18"/>
              </w:rPr>
              <w:t>+ MTX</w:t>
            </w:r>
          </w:p>
        </w:tc>
        <w:tc>
          <w:tcPr>
            <w:tcW w:w="836" w:type="dxa"/>
            <w:vAlign w:val="center"/>
          </w:tcPr>
          <w:p w14:paraId="43D8DBF7" w14:textId="77777777" w:rsidR="003B7027" w:rsidRPr="00D440EB" w:rsidRDefault="00296A74" w:rsidP="006E5F9A">
            <w:pPr>
              <w:pStyle w:val="TableParagraph"/>
              <w:suppressAutoHyphens/>
              <w:jc w:val="center"/>
              <w:rPr>
                <w:b/>
                <w:sz w:val="18"/>
                <w:szCs w:val="18"/>
              </w:rPr>
            </w:pPr>
            <w:r w:rsidRPr="00D440EB">
              <w:rPr>
                <w:b/>
                <w:sz w:val="18"/>
                <w:szCs w:val="18"/>
              </w:rPr>
              <w:t>Lume</w:t>
            </w:r>
          </w:p>
          <w:p w14:paraId="717B7EB3" w14:textId="77777777" w:rsidR="003B7027" w:rsidRPr="00D440EB" w:rsidRDefault="00296A74" w:rsidP="006E5F9A">
            <w:pPr>
              <w:pStyle w:val="TableParagraph"/>
              <w:suppressAutoHyphens/>
              <w:jc w:val="center"/>
              <w:rPr>
                <w:b/>
                <w:sz w:val="18"/>
                <w:szCs w:val="18"/>
              </w:rPr>
            </w:pPr>
            <w:r w:rsidRPr="00D440EB">
              <w:rPr>
                <w:b/>
                <w:sz w:val="18"/>
                <w:szCs w:val="18"/>
              </w:rPr>
              <w:t>+ MTX</w:t>
            </w:r>
          </w:p>
        </w:tc>
      </w:tr>
      <w:tr w:rsidR="00C974BF" w:rsidRPr="00D440EB" w14:paraId="0494D6BF" w14:textId="77777777" w:rsidTr="00D440EB">
        <w:trPr>
          <w:cantSplit/>
          <w:tblHeader/>
        </w:trPr>
        <w:tc>
          <w:tcPr>
            <w:tcW w:w="624" w:type="dxa"/>
            <w:vAlign w:val="center"/>
          </w:tcPr>
          <w:p w14:paraId="2862AF0D" w14:textId="77777777" w:rsidR="003B7027" w:rsidRPr="00D440EB" w:rsidRDefault="003B7027" w:rsidP="006E5F9A">
            <w:pPr>
              <w:pStyle w:val="TableParagraph"/>
              <w:suppressAutoHyphens/>
              <w:jc w:val="center"/>
              <w:rPr>
                <w:sz w:val="18"/>
                <w:szCs w:val="18"/>
              </w:rPr>
            </w:pPr>
          </w:p>
        </w:tc>
        <w:tc>
          <w:tcPr>
            <w:tcW w:w="709" w:type="dxa"/>
            <w:vAlign w:val="center"/>
          </w:tcPr>
          <w:p w14:paraId="6CE23B85" w14:textId="77777777" w:rsidR="003B7027" w:rsidRPr="00D440EB" w:rsidRDefault="00296A74" w:rsidP="006E5F9A">
            <w:pPr>
              <w:pStyle w:val="TableParagraph"/>
              <w:suppressAutoHyphens/>
              <w:jc w:val="center"/>
              <w:rPr>
                <w:b/>
                <w:sz w:val="18"/>
                <w:szCs w:val="18"/>
              </w:rPr>
            </w:pPr>
            <w:r w:rsidRPr="00D440EB">
              <w:rPr>
                <w:b/>
                <w:sz w:val="18"/>
                <w:szCs w:val="18"/>
              </w:rPr>
              <w:t>N = 286</w:t>
            </w:r>
          </w:p>
        </w:tc>
        <w:tc>
          <w:tcPr>
            <w:tcW w:w="709" w:type="dxa"/>
            <w:vAlign w:val="center"/>
          </w:tcPr>
          <w:p w14:paraId="3E124731" w14:textId="77777777" w:rsidR="003B7027" w:rsidRPr="00D440EB" w:rsidRDefault="00296A74" w:rsidP="006E5F9A">
            <w:pPr>
              <w:pStyle w:val="TableParagraph"/>
              <w:suppressAutoHyphens/>
              <w:jc w:val="center"/>
              <w:rPr>
                <w:b/>
                <w:sz w:val="18"/>
                <w:szCs w:val="18"/>
              </w:rPr>
            </w:pPr>
            <w:r w:rsidRPr="00D440EB">
              <w:rPr>
                <w:b/>
                <w:sz w:val="18"/>
                <w:szCs w:val="18"/>
              </w:rPr>
              <w:t>N = 284</w:t>
            </w:r>
          </w:p>
        </w:tc>
        <w:tc>
          <w:tcPr>
            <w:tcW w:w="850" w:type="dxa"/>
            <w:vAlign w:val="center"/>
          </w:tcPr>
          <w:p w14:paraId="5E41EF9A" w14:textId="77777777" w:rsidR="003B7027" w:rsidRPr="00D440EB" w:rsidRDefault="00296A74" w:rsidP="006E5F9A">
            <w:pPr>
              <w:pStyle w:val="TableParagraph"/>
              <w:suppressAutoHyphens/>
              <w:jc w:val="center"/>
              <w:rPr>
                <w:b/>
                <w:sz w:val="18"/>
                <w:szCs w:val="18"/>
              </w:rPr>
            </w:pPr>
            <w:r w:rsidRPr="00D440EB">
              <w:rPr>
                <w:b/>
                <w:sz w:val="18"/>
                <w:szCs w:val="18"/>
              </w:rPr>
              <w:t>N = 398</w:t>
            </w:r>
          </w:p>
        </w:tc>
        <w:tc>
          <w:tcPr>
            <w:tcW w:w="851" w:type="dxa"/>
            <w:vAlign w:val="center"/>
          </w:tcPr>
          <w:p w14:paraId="2291C7C1" w14:textId="77777777" w:rsidR="003B7027" w:rsidRPr="00D440EB" w:rsidRDefault="00296A74" w:rsidP="006E5F9A">
            <w:pPr>
              <w:pStyle w:val="TableParagraph"/>
              <w:suppressAutoHyphens/>
              <w:jc w:val="center"/>
              <w:rPr>
                <w:b/>
                <w:sz w:val="18"/>
                <w:szCs w:val="18"/>
              </w:rPr>
            </w:pPr>
            <w:r w:rsidRPr="00D440EB">
              <w:rPr>
                <w:b/>
                <w:sz w:val="18"/>
                <w:szCs w:val="18"/>
              </w:rPr>
              <w:t>N = 393</w:t>
            </w:r>
          </w:p>
        </w:tc>
        <w:tc>
          <w:tcPr>
            <w:tcW w:w="850" w:type="dxa"/>
            <w:vAlign w:val="center"/>
          </w:tcPr>
          <w:p w14:paraId="4DA904AA" w14:textId="77777777" w:rsidR="003B7027" w:rsidRPr="00D440EB" w:rsidRDefault="00296A74" w:rsidP="006E5F9A">
            <w:pPr>
              <w:pStyle w:val="TableParagraph"/>
              <w:suppressAutoHyphens/>
              <w:jc w:val="center"/>
              <w:rPr>
                <w:b/>
                <w:sz w:val="18"/>
                <w:szCs w:val="18"/>
              </w:rPr>
            </w:pPr>
            <w:r w:rsidRPr="00D440EB">
              <w:rPr>
                <w:b/>
                <w:sz w:val="18"/>
                <w:szCs w:val="18"/>
              </w:rPr>
              <w:t>N = 205</w:t>
            </w:r>
          </w:p>
        </w:tc>
        <w:tc>
          <w:tcPr>
            <w:tcW w:w="703" w:type="dxa"/>
            <w:vAlign w:val="center"/>
          </w:tcPr>
          <w:p w14:paraId="6824C785" w14:textId="77777777" w:rsidR="003B7027" w:rsidRPr="00D440EB" w:rsidRDefault="00296A74" w:rsidP="006E5F9A">
            <w:pPr>
              <w:pStyle w:val="TableParagraph"/>
              <w:suppressAutoHyphens/>
              <w:jc w:val="center"/>
              <w:rPr>
                <w:b/>
                <w:sz w:val="18"/>
                <w:szCs w:val="18"/>
              </w:rPr>
            </w:pPr>
            <w:r w:rsidRPr="00D440EB">
              <w:rPr>
                <w:b/>
                <w:sz w:val="18"/>
                <w:szCs w:val="18"/>
              </w:rPr>
              <w:t>N = 204</w:t>
            </w:r>
          </w:p>
        </w:tc>
        <w:tc>
          <w:tcPr>
            <w:tcW w:w="983" w:type="dxa"/>
            <w:vAlign w:val="center"/>
          </w:tcPr>
          <w:p w14:paraId="66072A62" w14:textId="77777777" w:rsidR="003B7027" w:rsidRPr="00D440EB" w:rsidRDefault="00296A74" w:rsidP="006E5F9A">
            <w:pPr>
              <w:pStyle w:val="TableParagraph"/>
              <w:suppressAutoHyphens/>
              <w:jc w:val="center"/>
              <w:rPr>
                <w:b/>
                <w:sz w:val="18"/>
                <w:szCs w:val="18"/>
              </w:rPr>
            </w:pPr>
            <w:r w:rsidRPr="00D440EB">
              <w:rPr>
                <w:b/>
                <w:sz w:val="18"/>
                <w:szCs w:val="18"/>
              </w:rPr>
              <w:t>N = 803</w:t>
            </w:r>
          </w:p>
        </w:tc>
        <w:tc>
          <w:tcPr>
            <w:tcW w:w="983" w:type="dxa"/>
            <w:vAlign w:val="center"/>
          </w:tcPr>
          <w:p w14:paraId="3BF1CF1D" w14:textId="77777777" w:rsidR="003B7027" w:rsidRPr="00D440EB" w:rsidRDefault="00296A74" w:rsidP="006E5F9A">
            <w:pPr>
              <w:pStyle w:val="TableParagraph"/>
              <w:suppressAutoHyphens/>
              <w:jc w:val="center"/>
              <w:rPr>
                <w:b/>
                <w:sz w:val="18"/>
                <w:szCs w:val="18"/>
              </w:rPr>
            </w:pPr>
            <w:r w:rsidRPr="00D440EB">
              <w:rPr>
                <w:b/>
                <w:sz w:val="18"/>
                <w:szCs w:val="18"/>
              </w:rPr>
              <w:t>N = 413</w:t>
            </w:r>
          </w:p>
        </w:tc>
        <w:tc>
          <w:tcPr>
            <w:tcW w:w="813" w:type="dxa"/>
            <w:vAlign w:val="center"/>
          </w:tcPr>
          <w:p w14:paraId="46A35963" w14:textId="77777777" w:rsidR="003B7027" w:rsidRPr="00D440EB" w:rsidRDefault="00296A74" w:rsidP="006E5F9A">
            <w:pPr>
              <w:pStyle w:val="TableParagraph"/>
              <w:suppressAutoHyphens/>
              <w:jc w:val="center"/>
              <w:rPr>
                <w:b/>
                <w:sz w:val="18"/>
                <w:szCs w:val="18"/>
              </w:rPr>
            </w:pPr>
            <w:r w:rsidRPr="00D440EB">
              <w:rPr>
                <w:b/>
                <w:sz w:val="18"/>
                <w:szCs w:val="18"/>
              </w:rPr>
              <w:t>N = 170</w:t>
            </w:r>
          </w:p>
        </w:tc>
        <w:tc>
          <w:tcPr>
            <w:tcW w:w="836" w:type="dxa"/>
            <w:vAlign w:val="center"/>
          </w:tcPr>
          <w:p w14:paraId="03A8FA3E" w14:textId="77777777" w:rsidR="003B7027" w:rsidRPr="00D440EB" w:rsidRDefault="00296A74" w:rsidP="006E5F9A">
            <w:pPr>
              <w:pStyle w:val="TableParagraph"/>
              <w:suppressAutoHyphens/>
              <w:jc w:val="center"/>
              <w:rPr>
                <w:b/>
                <w:sz w:val="18"/>
                <w:szCs w:val="18"/>
              </w:rPr>
            </w:pPr>
            <w:r w:rsidRPr="00D440EB">
              <w:rPr>
                <w:b/>
                <w:sz w:val="18"/>
                <w:szCs w:val="18"/>
              </w:rPr>
              <w:t>N = 158</w:t>
            </w:r>
          </w:p>
        </w:tc>
      </w:tr>
      <w:tr w:rsidR="003B7027" w:rsidRPr="00D440EB" w14:paraId="40FD1709" w14:textId="77777777" w:rsidTr="00D440EB">
        <w:trPr>
          <w:cantSplit/>
        </w:trPr>
        <w:tc>
          <w:tcPr>
            <w:tcW w:w="8911" w:type="dxa"/>
            <w:gridSpan w:val="11"/>
          </w:tcPr>
          <w:p w14:paraId="5CFF1608" w14:textId="77777777" w:rsidR="003B7027" w:rsidRPr="00D440EB" w:rsidRDefault="00296A74" w:rsidP="006E5F9A">
            <w:pPr>
              <w:pStyle w:val="TableParagraph"/>
              <w:suppressAutoHyphens/>
              <w:jc w:val="center"/>
              <w:rPr>
                <w:b/>
                <w:sz w:val="18"/>
                <w:szCs w:val="18"/>
              </w:rPr>
            </w:pPr>
            <w:r w:rsidRPr="00D440EB">
              <w:rPr>
                <w:b/>
                <w:sz w:val="18"/>
                <w:szCs w:val="18"/>
              </w:rPr>
              <w:t>ACR 20</w:t>
            </w:r>
          </w:p>
        </w:tc>
      </w:tr>
      <w:tr w:rsidR="00C974BF" w:rsidRPr="00D440EB" w14:paraId="730E838C" w14:textId="77777777" w:rsidTr="00D440EB">
        <w:trPr>
          <w:cantSplit/>
        </w:trPr>
        <w:tc>
          <w:tcPr>
            <w:tcW w:w="624" w:type="dxa"/>
          </w:tcPr>
          <w:p w14:paraId="48697DD9" w14:textId="77777777" w:rsidR="003B7027" w:rsidRPr="00D440EB" w:rsidRDefault="00296A74" w:rsidP="006E5F9A">
            <w:pPr>
              <w:pStyle w:val="TableParagraph"/>
              <w:suppressAutoHyphens/>
              <w:jc w:val="center"/>
              <w:rPr>
                <w:sz w:val="18"/>
                <w:szCs w:val="18"/>
              </w:rPr>
            </w:pPr>
            <w:r w:rsidRPr="00D440EB">
              <w:rPr>
                <w:sz w:val="18"/>
                <w:szCs w:val="18"/>
              </w:rPr>
              <w:t>24</w:t>
            </w:r>
          </w:p>
        </w:tc>
        <w:tc>
          <w:tcPr>
            <w:tcW w:w="709" w:type="dxa"/>
          </w:tcPr>
          <w:p w14:paraId="120DD5E9" w14:textId="77777777" w:rsidR="003B7027" w:rsidRPr="00D440EB" w:rsidRDefault="00296A74" w:rsidP="006E5F9A">
            <w:pPr>
              <w:pStyle w:val="TableParagraph"/>
              <w:suppressAutoHyphens/>
              <w:jc w:val="center"/>
              <w:rPr>
                <w:sz w:val="18"/>
                <w:szCs w:val="18"/>
              </w:rPr>
            </w:pPr>
            <w:r w:rsidRPr="00D440EB">
              <w:rPr>
                <w:sz w:val="18"/>
                <w:szCs w:val="18"/>
              </w:rPr>
              <w:t>70 %***</w:t>
            </w:r>
          </w:p>
        </w:tc>
        <w:tc>
          <w:tcPr>
            <w:tcW w:w="709" w:type="dxa"/>
          </w:tcPr>
          <w:p w14:paraId="37D40A96" w14:textId="77777777" w:rsidR="003B7027" w:rsidRPr="00D440EB" w:rsidRDefault="00296A74" w:rsidP="006E5F9A">
            <w:pPr>
              <w:pStyle w:val="TableParagraph"/>
              <w:suppressAutoHyphens/>
              <w:jc w:val="center"/>
              <w:rPr>
                <w:sz w:val="18"/>
                <w:szCs w:val="18"/>
              </w:rPr>
            </w:pPr>
            <w:r w:rsidRPr="00D440EB">
              <w:rPr>
                <w:sz w:val="18"/>
                <w:szCs w:val="18"/>
              </w:rPr>
              <w:t>52 %</w:t>
            </w:r>
          </w:p>
        </w:tc>
        <w:tc>
          <w:tcPr>
            <w:tcW w:w="850" w:type="dxa"/>
          </w:tcPr>
          <w:p w14:paraId="5CA6E625" w14:textId="77777777" w:rsidR="003B7027" w:rsidRPr="00D440EB" w:rsidRDefault="00296A74" w:rsidP="006E5F9A">
            <w:pPr>
              <w:pStyle w:val="TableParagraph"/>
              <w:suppressAutoHyphens/>
              <w:jc w:val="center"/>
              <w:rPr>
                <w:sz w:val="18"/>
                <w:szCs w:val="18"/>
              </w:rPr>
            </w:pPr>
            <w:r w:rsidRPr="00D440EB">
              <w:rPr>
                <w:sz w:val="18"/>
                <w:szCs w:val="18"/>
              </w:rPr>
              <w:t>56 %***</w:t>
            </w:r>
          </w:p>
        </w:tc>
        <w:tc>
          <w:tcPr>
            <w:tcW w:w="851" w:type="dxa"/>
          </w:tcPr>
          <w:p w14:paraId="09D8087D" w14:textId="77777777" w:rsidR="003B7027" w:rsidRPr="00D440EB" w:rsidRDefault="00296A74" w:rsidP="006E5F9A">
            <w:pPr>
              <w:pStyle w:val="TableParagraph"/>
              <w:suppressAutoHyphens/>
              <w:jc w:val="center"/>
              <w:rPr>
                <w:sz w:val="18"/>
                <w:szCs w:val="18"/>
              </w:rPr>
            </w:pPr>
            <w:r w:rsidRPr="00D440EB">
              <w:rPr>
                <w:sz w:val="18"/>
                <w:szCs w:val="18"/>
              </w:rPr>
              <w:t>27 %</w:t>
            </w:r>
          </w:p>
        </w:tc>
        <w:tc>
          <w:tcPr>
            <w:tcW w:w="850" w:type="dxa"/>
          </w:tcPr>
          <w:p w14:paraId="3FCA5E3B" w14:textId="77777777" w:rsidR="003B7027" w:rsidRPr="00D440EB" w:rsidRDefault="00296A74" w:rsidP="006E5F9A">
            <w:pPr>
              <w:pStyle w:val="TableParagraph"/>
              <w:suppressAutoHyphens/>
              <w:jc w:val="center"/>
              <w:rPr>
                <w:sz w:val="18"/>
                <w:szCs w:val="18"/>
              </w:rPr>
            </w:pPr>
            <w:r w:rsidRPr="00D440EB">
              <w:rPr>
                <w:sz w:val="18"/>
                <w:szCs w:val="18"/>
              </w:rPr>
              <w:t>59 %***</w:t>
            </w:r>
          </w:p>
        </w:tc>
        <w:tc>
          <w:tcPr>
            <w:tcW w:w="703" w:type="dxa"/>
          </w:tcPr>
          <w:p w14:paraId="518DC776" w14:textId="77777777" w:rsidR="003B7027" w:rsidRPr="00D440EB" w:rsidRDefault="00296A74" w:rsidP="006E5F9A">
            <w:pPr>
              <w:pStyle w:val="TableParagraph"/>
              <w:suppressAutoHyphens/>
              <w:jc w:val="center"/>
              <w:rPr>
                <w:sz w:val="18"/>
                <w:szCs w:val="18"/>
              </w:rPr>
            </w:pPr>
            <w:r w:rsidRPr="00D440EB">
              <w:rPr>
                <w:sz w:val="18"/>
                <w:szCs w:val="18"/>
              </w:rPr>
              <w:t>26 %</w:t>
            </w:r>
          </w:p>
        </w:tc>
        <w:tc>
          <w:tcPr>
            <w:tcW w:w="983" w:type="dxa"/>
          </w:tcPr>
          <w:p w14:paraId="4729E564" w14:textId="77777777" w:rsidR="003B7027" w:rsidRPr="00D440EB" w:rsidRDefault="00296A74" w:rsidP="006E5F9A">
            <w:pPr>
              <w:pStyle w:val="TableParagraph"/>
              <w:suppressAutoHyphens/>
              <w:jc w:val="center"/>
              <w:rPr>
                <w:sz w:val="18"/>
                <w:szCs w:val="18"/>
              </w:rPr>
            </w:pPr>
            <w:r w:rsidRPr="00D440EB">
              <w:rPr>
                <w:sz w:val="18"/>
                <w:szCs w:val="18"/>
              </w:rPr>
              <w:t>61 %***</w:t>
            </w:r>
          </w:p>
        </w:tc>
        <w:tc>
          <w:tcPr>
            <w:tcW w:w="983" w:type="dxa"/>
          </w:tcPr>
          <w:p w14:paraId="2D51F9E8" w14:textId="77777777" w:rsidR="003B7027" w:rsidRPr="00D440EB" w:rsidRDefault="00296A74" w:rsidP="006E5F9A">
            <w:pPr>
              <w:pStyle w:val="TableParagraph"/>
              <w:suppressAutoHyphens/>
              <w:jc w:val="center"/>
              <w:rPr>
                <w:sz w:val="18"/>
                <w:szCs w:val="18"/>
              </w:rPr>
            </w:pPr>
            <w:r w:rsidRPr="00D440EB">
              <w:rPr>
                <w:sz w:val="18"/>
                <w:szCs w:val="18"/>
              </w:rPr>
              <w:t>24 %</w:t>
            </w:r>
          </w:p>
        </w:tc>
        <w:tc>
          <w:tcPr>
            <w:tcW w:w="813" w:type="dxa"/>
          </w:tcPr>
          <w:p w14:paraId="3CED052F" w14:textId="77777777" w:rsidR="003B7027" w:rsidRPr="00D440EB" w:rsidRDefault="00296A74" w:rsidP="006E5F9A">
            <w:pPr>
              <w:pStyle w:val="TableParagraph"/>
              <w:suppressAutoHyphens/>
              <w:jc w:val="center"/>
              <w:rPr>
                <w:sz w:val="18"/>
                <w:szCs w:val="18"/>
              </w:rPr>
            </w:pPr>
            <w:r w:rsidRPr="00D440EB">
              <w:rPr>
                <w:sz w:val="18"/>
                <w:szCs w:val="18"/>
              </w:rPr>
              <w:t>50 %***</w:t>
            </w:r>
          </w:p>
        </w:tc>
        <w:tc>
          <w:tcPr>
            <w:tcW w:w="836" w:type="dxa"/>
          </w:tcPr>
          <w:p w14:paraId="6BECB5FC" w14:textId="77777777" w:rsidR="003B7027" w:rsidRPr="00D440EB" w:rsidRDefault="00296A74" w:rsidP="006E5F9A">
            <w:pPr>
              <w:pStyle w:val="TableParagraph"/>
              <w:suppressAutoHyphens/>
              <w:jc w:val="center"/>
              <w:rPr>
                <w:sz w:val="18"/>
                <w:szCs w:val="18"/>
              </w:rPr>
            </w:pPr>
            <w:r w:rsidRPr="00D440EB">
              <w:rPr>
                <w:sz w:val="18"/>
                <w:szCs w:val="18"/>
              </w:rPr>
              <w:t>10 %</w:t>
            </w:r>
          </w:p>
        </w:tc>
      </w:tr>
      <w:tr w:rsidR="00C974BF" w:rsidRPr="00D440EB" w14:paraId="0754B9D7" w14:textId="77777777" w:rsidTr="00D440EB">
        <w:trPr>
          <w:cantSplit/>
        </w:trPr>
        <w:tc>
          <w:tcPr>
            <w:tcW w:w="624" w:type="dxa"/>
          </w:tcPr>
          <w:p w14:paraId="0ED98D92" w14:textId="77777777" w:rsidR="003B7027" w:rsidRPr="00D440EB" w:rsidRDefault="00296A74" w:rsidP="006E5F9A">
            <w:pPr>
              <w:pStyle w:val="TableParagraph"/>
              <w:suppressAutoHyphens/>
              <w:jc w:val="center"/>
              <w:rPr>
                <w:sz w:val="18"/>
                <w:szCs w:val="18"/>
              </w:rPr>
            </w:pPr>
            <w:r w:rsidRPr="00D440EB">
              <w:rPr>
                <w:sz w:val="18"/>
                <w:szCs w:val="18"/>
              </w:rPr>
              <w:t>52</w:t>
            </w:r>
          </w:p>
        </w:tc>
        <w:tc>
          <w:tcPr>
            <w:tcW w:w="709" w:type="dxa"/>
          </w:tcPr>
          <w:p w14:paraId="4B18C952" w14:textId="77777777" w:rsidR="003B7027" w:rsidRPr="00D440EB" w:rsidRDefault="003B7027" w:rsidP="006E5F9A">
            <w:pPr>
              <w:pStyle w:val="TableParagraph"/>
              <w:suppressAutoHyphens/>
              <w:rPr>
                <w:sz w:val="18"/>
                <w:szCs w:val="18"/>
              </w:rPr>
            </w:pPr>
          </w:p>
        </w:tc>
        <w:tc>
          <w:tcPr>
            <w:tcW w:w="709" w:type="dxa"/>
          </w:tcPr>
          <w:p w14:paraId="10F019DF" w14:textId="77777777" w:rsidR="003B7027" w:rsidRPr="00D440EB" w:rsidRDefault="003B7027" w:rsidP="006E5F9A">
            <w:pPr>
              <w:pStyle w:val="TableParagraph"/>
              <w:suppressAutoHyphens/>
              <w:rPr>
                <w:sz w:val="18"/>
                <w:szCs w:val="18"/>
              </w:rPr>
            </w:pPr>
          </w:p>
        </w:tc>
        <w:tc>
          <w:tcPr>
            <w:tcW w:w="850" w:type="dxa"/>
          </w:tcPr>
          <w:p w14:paraId="661D33A3" w14:textId="77777777" w:rsidR="003B7027" w:rsidRPr="00D440EB" w:rsidRDefault="00296A74" w:rsidP="006E5F9A">
            <w:pPr>
              <w:pStyle w:val="TableParagraph"/>
              <w:suppressAutoHyphens/>
              <w:jc w:val="center"/>
              <w:rPr>
                <w:sz w:val="18"/>
                <w:szCs w:val="18"/>
              </w:rPr>
            </w:pPr>
            <w:r w:rsidRPr="00D440EB">
              <w:rPr>
                <w:sz w:val="18"/>
                <w:szCs w:val="18"/>
              </w:rPr>
              <w:t>56 %***</w:t>
            </w:r>
          </w:p>
        </w:tc>
        <w:tc>
          <w:tcPr>
            <w:tcW w:w="851" w:type="dxa"/>
          </w:tcPr>
          <w:p w14:paraId="0952D3D4" w14:textId="77777777" w:rsidR="003B7027" w:rsidRPr="00D440EB" w:rsidRDefault="00296A74" w:rsidP="006E5F9A">
            <w:pPr>
              <w:pStyle w:val="TableParagraph"/>
              <w:suppressAutoHyphens/>
              <w:jc w:val="center"/>
              <w:rPr>
                <w:sz w:val="18"/>
                <w:szCs w:val="18"/>
              </w:rPr>
            </w:pPr>
            <w:r w:rsidRPr="00D440EB">
              <w:rPr>
                <w:sz w:val="18"/>
                <w:szCs w:val="18"/>
              </w:rPr>
              <w:t>25 %</w:t>
            </w:r>
          </w:p>
        </w:tc>
        <w:tc>
          <w:tcPr>
            <w:tcW w:w="850" w:type="dxa"/>
          </w:tcPr>
          <w:p w14:paraId="499516CD" w14:textId="77777777" w:rsidR="003B7027" w:rsidRPr="00D440EB" w:rsidRDefault="003B7027" w:rsidP="006E5F9A">
            <w:pPr>
              <w:pStyle w:val="TableParagraph"/>
              <w:suppressAutoHyphens/>
              <w:rPr>
                <w:sz w:val="18"/>
                <w:szCs w:val="18"/>
              </w:rPr>
            </w:pPr>
          </w:p>
        </w:tc>
        <w:tc>
          <w:tcPr>
            <w:tcW w:w="703" w:type="dxa"/>
          </w:tcPr>
          <w:p w14:paraId="77988572" w14:textId="77777777" w:rsidR="003B7027" w:rsidRPr="00D440EB" w:rsidRDefault="003B7027" w:rsidP="006E5F9A">
            <w:pPr>
              <w:pStyle w:val="TableParagraph"/>
              <w:suppressAutoHyphens/>
              <w:rPr>
                <w:sz w:val="18"/>
                <w:szCs w:val="18"/>
              </w:rPr>
            </w:pPr>
          </w:p>
        </w:tc>
        <w:tc>
          <w:tcPr>
            <w:tcW w:w="983" w:type="dxa"/>
          </w:tcPr>
          <w:p w14:paraId="3144517D" w14:textId="77777777" w:rsidR="003B7027" w:rsidRPr="00D440EB" w:rsidRDefault="003B7027" w:rsidP="006E5F9A">
            <w:pPr>
              <w:pStyle w:val="TableParagraph"/>
              <w:suppressAutoHyphens/>
              <w:rPr>
                <w:sz w:val="18"/>
                <w:szCs w:val="18"/>
              </w:rPr>
            </w:pPr>
          </w:p>
        </w:tc>
        <w:tc>
          <w:tcPr>
            <w:tcW w:w="983" w:type="dxa"/>
          </w:tcPr>
          <w:p w14:paraId="24F6F19E" w14:textId="77777777" w:rsidR="003B7027" w:rsidRPr="00D440EB" w:rsidRDefault="003B7027" w:rsidP="006E5F9A">
            <w:pPr>
              <w:pStyle w:val="TableParagraph"/>
              <w:suppressAutoHyphens/>
              <w:rPr>
                <w:sz w:val="18"/>
                <w:szCs w:val="18"/>
              </w:rPr>
            </w:pPr>
          </w:p>
        </w:tc>
        <w:tc>
          <w:tcPr>
            <w:tcW w:w="813" w:type="dxa"/>
          </w:tcPr>
          <w:p w14:paraId="309FFFA2" w14:textId="77777777" w:rsidR="003B7027" w:rsidRPr="00D440EB" w:rsidRDefault="003B7027" w:rsidP="006E5F9A">
            <w:pPr>
              <w:pStyle w:val="TableParagraph"/>
              <w:suppressAutoHyphens/>
              <w:rPr>
                <w:sz w:val="18"/>
                <w:szCs w:val="18"/>
              </w:rPr>
            </w:pPr>
          </w:p>
        </w:tc>
        <w:tc>
          <w:tcPr>
            <w:tcW w:w="836" w:type="dxa"/>
          </w:tcPr>
          <w:p w14:paraId="051EBD67" w14:textId="77777777" w:rsidR="003B7027" w:rsidRPr="00D440EB" w:rsidRDefault="003B7027" w:rsidP="006E5F9A">
            <w:pPr>
              <w:pStyle w:val="TableParagraph"/>
              <w:suppressAutoHyphens/>
              <w:rPr>
                <w:sz w:val="18"/>
                <w:szCs w:val="18"/>
              </w:rPr>
            </w:pPr>
          </w:p>
        </w:tc>
      </w:tr>
      <w:tr w:rsidR="003B7027" w:rsidRPr="00D440EB" w14:paraId="7A820506" w14:textId="77777777" w:rsidTr="00D440EB">
        <w:trPr>
          <w:cantSplit/>
        </w:trPr>
        <w:tc>
          <w:tcPr>
            <w:tcW w:w="8911" w:type="dxa"/>
            <w:gridSpan w:val="11"/>
          </w:tcPr>
          <w:p w14:paraId="586A2108" w14:textId="77777777" w:rsidR="003B7027" w:rsidRPr="00D440EB" w:rsidRDefault="00296A74" w:rsidP="006E5F9A">
            <w:pPr>
              <w:pStyle w:val="TableParagraph"/>
              <w:suppressAutoHyphens/>
              <w:jc w:val="center"/>
              <w:rPr>
                <w:b/>
                <w:sz w:val="18"/>
                <w:szCs w:val="18"/>
              </w:rPr>
            </w:pPr>
            <w:r w:rsidRPr="00D440EB">
              <w:rPr>
                <w:b/>
                <w:sz w:val="18"/>
                <w:szCs w:val="18"/>
              </w:rPr>
              <w:t>ACR 50</w:t>
            </w:r>
          </w:p>
        </w:tc>
      </w:tr>
      <w:tr w:rsidR="00C974BF" w:rsidRPr="00D440EB" w14:paraId="6256C5D7" w14:textId="77777777" w:rsidTr="00D440EB">
        <w:trPr>
          <w:cantSplit/>
        </w:trPr>
        <w:tc>
          <w:tcPr>
            <w:tcW w:w="624" w:type="dxa"/>
          </w:tcPr>
          <w:p w14:paraId="69079E34" w14:textId="77777777" w:rsidR="003B7027" w:rsidRPr="00D440EB" w:rsidRDefault="00296A74" w:rsidP="006E5F9A">
            <w:pPr>
              <w:pStyle w:val="TableParagraph"/>
              <w:suppressAutoHyphens/>
              <w:jc w:val="center"/>
              <w:rPr>
                <w:sz w:val="18"/>
                <w:szCs w:val="18"/>
              </w:rPr>
            </w:pPr>
            <w:r w:rsidRPr="00D440EB">
              <w:rPr>
                <w:sz w:val="18"/>
                <w:szCs w:val="18"/>
              </w:rPr>
              <w:t>24</w:t>
            </w:r>
          </w:p>
        </w:tc>
        <w:tc>
          <w:tcPr>
            <w:tcW w:w="709" w:type="dxa"/>
          </w:tcPr>
          <w:p w14:paraId="644D27CD" w14:textId="77777777" w:rsidR="003B7027" w:rsidRPr="00D440EB" w:rsidRDefault="00296A74" w:rsidP="006E5F9A">
            <w:pPr>
              <w:pStyle w:val="TableParagraph"/>
              <w:suppressAutoHyphens/>
              <w:jc w:val="center"/>
              <w:rPr>
                <w:sz w:val="18"/>
                <w:szCs w:val="18"/>
              </w:rPr>
            </w:pPr>
            <w:r w:rsidRPr="00D440EB">
              <w:rPr>
                <w:sz w:val="18"/>
                <w:szCs w:val="18"/>
              </w:rPr>
              <w:t>44 %**</w:t>
            </w:r>
          </w:p>
        </w:tc>
        <w:tc>
          <w:tcPr>
            <w:tcW w:w="709" w:type="dxa"/>
          </w:tcPr>
          <w:p w14:paraId="7EFCC76C" w14:textId="77777777" w:rsidR="003B7027" w:rsidRPr="00D440EB" w:rsidRDefault="00296A74" w:rsidP="006E5F9A">
            <w:pPr>
              <w:pStyle w:val="TableParagraph"/>
              <w:suppressAutoHyphens/>
              <w:jc w:val="center"/>
              <w:rPr>
                <w:sz w:val="18"/>
                <w:szCs w:val="18"/>
              </w:rPr>
            </w:pPr>
            <w:r w:rsidRPr="00D440EB">
              <w:rPr>
                <w:sz w:val="18"/>
                <w:szCs w:val="18"/>
              </w:rPr>
              <w:t>33 %</w:t>
            </w:r>
          </w:p>
        </w:tc>
        <w:tc>
          <w:tcPr>
            <w:tcW w:w="850" w:type="dxa"/>
          </w:tcPr>
          <w:p w14:paraId="427B8647" w14:textId="77777777" w:rsidR="003B7027" w:rsidRPr="00D440EB" w:rsidRDefault="00296A74" w:rsidP="006E5F9A">
            <w:pPr>
              <w:pStyle w:val="TableParagraph"/>
              <w:suppressAutoHyphens/>
              <w:jc w:val="center"/>
              <w:rPr>
                <w:sz w:val="18"/>
                <w:szCs w:val="18"/>
              </w:rPr>
            </w:pPr>
            <w:r w:rsidRPr="00D440EB">
              <w:rPr>
                <w:sz w:val="18"/>
                <w:szCs w:val="18"/>
              </w:rPr>
              <w:t>32 %***</w:t>
            </w:r>
          </w:p>
        </w:tc>
        <w:tc>
          <w:tcPr>
            <w:tcW w:w="851" w:type="dxa"/>
          </w:tcPr>
          <w:p w14:paraId="17DB1801" w14:textId="77777777" w:rsidR="003B7027" w:rsidRPr="00D440EB" w:rsidRDefault="00296A74" w:rsidP="006E5F9A">
            <w:pPr>
              <w:pStyle w:val="TableParagraph"/>
              <w:suppressAutoHyphens/>
              <w:jc w:val="center"/>
              <w:rPr>
                <w:sz w:val="18"/>
                <w:szCs w:val="18"/>
              </w:rPr>
            </w:pPr>
            <w:r w:rsidRPr="00D440EB">
              <w:rPr>
                <w:sz w:val="18"/>
                <w:szCs w:val="18"/>
              </w:rPr>
              <w:t>10 %</w:t>
            </w:r>
          </w:p>
        </w:tc>
        <w:tc>
          <w:tcPr>
            <w:tcW w:w="850" w:type="dxa"/>
          </w:tcPr>
          <w:p w14:paraId="4B349968" w14:textId="77777777" w:rsidR="003B7027" w:rsidRPr="00D440EB" w:rsidRDefault="00296A74" w:rsidP="006E5F9A">
            <w:pPr>
              <w:pStyle w:val="TableParagraph"/>
              <w:suppressAutoHyphens/>
              <w:jc w:val="center"/>
              <w:rPr>
                <w:sz w:val="18"/>
                <w:szCs w:val="18"/>
              </w:rPr>
            </w:pPr>
            <w:r w:rsidRPr="00D440EB">
              <w:rPr>
                <w:sz w:val="18"/>
                <w:szCs w:val="18"/>
              </w:rPr>
              <w:t>44 %***</w:t>
            </w:r>
          </w:p>
        </w:tc>
        <w:tc>
          <w:tcPr>
            <w:tcW w:w="703" w:type="dxa"/>
          </w:tcPr>
          <w:p w14:paraId="3BEE09B7" w14:textId="77777777" w:rsidR="003B7027" w:rsidRPr="00D440EB" w:rsidRDefault="00296A74" w:rsidP="006E5F9A">
            <w:pPr>
              <w:pStyle w:val="TableParagraph"/>
              <w:suppressAutoHyphens/>
              <w:jc w:val="center"/>
              <w:rPr>
                <w:sz w:val="18"/>
                <w:szCs w:val="18"/>
              </w:rPr>
            </w:pPr>
            <w:r w:rsidRPr="00D440EB">
              <w:rPr>
                <w:sz w:val="18"/>
                <w:szCs w:val="18"/>
              </w:rPr>
              <w:t>11 %</w:t>
            </w:r>
          </w:p>
        </w:tc>
        <w:tc>
          <w:tcPr>
            <w:tcW w:w="983" w:type="dxa"/>
          </w:tcPr>
          <w:p w14:paraId="35F790A4" w14:textId="77777777" w:rsidR="003B7027" w:rsidRPr="00D440EB" w:rsidRDefault="00296A74" w:rsidP="006E5F9A">
            <w:pPr>
              <w:pStyle w:val="TableParagraph"/>
              <w:suppressAutoHyphens/>
              <w:jc w:val="center"/>
              <w:rPr>
                <w:sz w:val="18"/>
                <w:szCs w:val="18"/>
              </w:rPr>
            </w:pPr>
            <w:r w:rsidRPr="00D440EB">
              <w:rPr>
                <w:sz w:val="18"/>
                <w:szCs w:val="18"/>
              </w:rPr>
              <w:t>38 %***</w:t>
            </w:r>
          </w:p>
        </w:tc>
        <w:tc>
          <w:tcPr>
            <w:tcW w:w="983" w:type="dxa"/>
          </w:tcPr>
          <w:p w14:paraId="7574B147" w14:textId="77777777" w:rsidR="003B7027" w:rsidRPr="00D440EB" w:rsidRDefault="00296A74" w:rsidP="006E5F9A">
            <w:pPr>
              <w:pStyle w:val="TableParagraph"/>
              <w:suppressAutoHyphens/>
              <w:jc w:val="center"/>
              <w:rPr>
                <w:sz w:val="18"/>
                <w:szCs w:val="18"/>
              </w:rPr>
            </w:pPr>
            <w:r w:rsidRPr="00D440EB">
              <w:rPr>
                <w:sz w:val="18"/>
                <w:szCs w:val="18"/>
              </w:rPr>
              <w:t>9 %</w:t>
            </w:r>
          </w:p>
        </w:tc>
        <w:tc>
          <w:tcPr>
            <w:tcW w:w="813" w:type="dxa"/>
          </w:tcPr>
          <w:p w14:paraId="18C1D87F" w14:textId="77777777" w:rsidR="003B7027" w:rsidRPr="00D440EB" w:rsidRDefault="00296A74" w:rsidP="006E5F9A">
            <w:pPr>
              <w:pStyle w:val="TableParagraph"/>
              <w:suppressAutoHyphens/>
              <w:jc w:val="center"/>
              <w:rPr>
                <w:sz w:val="18"/>
                <w:szCs w:val="18"/>
              </w:rPr>
            </w:pPr>
            <w:r w:rsidRPr="00D440EB">
              <w:rPr>
                <w:sz w:val="18"/>
                <w:szCs w:val="18"/>
              </w:rPr>
              <w:t>29 %***</w:t>
            </w:r>
          </w:p>
        </w:tc>
        <w:tc>
          <w:tcPr>
            <w:tcW w:w="836" w:type="dxa"/>
          </w:tcPr>
          <w:p w14:paraId="5F9B4299" w14:textId="77777777" w:rsidR="003B7027" w:rsidRPr="00D440EB" w:rsidRDefault="00296A74" w:rsidP="006E5F9A">
            <w:pPr>
              <w:pStyle w:val="TableParagraph"/>
              <w:suppressAutoHyphens/>
              <w:jc w:val="center"/>
              <w:rPr>
                <w:sz w:val="18"/>
                <w:szCs w:val="18"/>
              </w:rPr>
            </w:pPr>
            <w:r w:rsidRPr="00D440EB">
              <w:rPr>
                <w:sz w:val="18"/>
                <w:szCs w:val="18"/>
              </w:rPr>
              <w:t>4 %</w:t>
            </w:r>
          </w:p>
        </w:tc>
      </w:tr>
      <w:tr w:rsidR="00C974BF" w:rsidRPr="00D440EB" w14:paraId="31CFF64E" w14:textId="77777777" w:rsidTr="00D440EB">
        <w:trPr>
          <w:cantSplit/>
        </w:trPr>
        <w:tc>
          <w:tcPr>
            <w:tcW w:w="624" w:type="dxa"/>
          </w:tcPr>
          <w:p w14:paraId="35F0B647" w14:textId="77777777" w:rsidR="003B7027" w:rsidRPr="00D440EB" w:rsidRDefault="00296A74" w:rsidP="006E5F9A">
            <w:pPr>
              <w:pStyle w:val="TableParagraph"/>
              <w:suppressAutoHyphens/>
              <w:jc w:val="center"/>
              <w:rPr>
                <w:sz w:val="18"/>
                <w:szCs w:val="18"/>
              </w:rPr>
            </w:pPr>
            <w:r w:rsidRPr="00D440EB">
              <w:rPr>
                <w:sz w:val="18"/>
                <w:szCs w:val="18"/>
              </w:rPr>
              <w:t>52</w:t>
            </w:r>
          </w:p>
        </w:tc>
        <w:tc>
          <w:tcPr>
            <w:tcW w:w="709" w:type="dxa"/>
          </w:tcPr>
          <w:p w14:paraId="6E8D8E38" w14:textId="77777777" w:rsidR="003B7027" w:rsidRPr="00D440EB" w:rsidRDefault="003B7027" w:rsidP="006E5F9A">
            <w:pPr>
              <w:pStyle w:val="TableParagraph"/>
              <w:suppressAutoHyphens/>
              <w:rPr>
                <w:sz w:val="18"/>
                <w:szCs w:val="18"/>
              </w:rPr>
            </w:pPr>
          </w:p>
        </w:tc>
        <w:tc>
          <w:tcPr>
            <w:tcW w:w="709" w:type="dxa"/>
          </w:tcPr>
          <w:p w14:paraId="4795DEAC" w14:textId="77777777" w:rsidR="003B7027" w:rsidRPr="00D440EB" w:rsidRDefault="003B7027" w:rsidP="006E5F9A">
            <w:pPr>
              <w:pStyle w:val="TableParagraph"/>
              <w:suppressAutoHyphens/>
              <w:rPr>
                <w:sz w:val="18"/>
                <w:szCs w:val="18"/>
              </w:rPr>
            </w:pPr>
          </w:p>
        </w:tc>
        <w:tc>
          <w:tcPr>
            <w:tcW w:w="850" w:type="dxa"/>
          </w:tcPr>
          <w:p w14:paraId="5B8C4EB7" w14:textId="77777777" w:rsidR="003B7027" w:rsidRPr="00D440EB" w:rsidRDefault="00296A74" w:rsidP="006E5F9A">
            <w:pPr>
              <w:pStyle w:val="TableParagraph"/>
              <w:suppressAutoHyphens/>
              <w:jc w:val="center"/>
              <w:rPr>
                <w:sz w:val="18"/>
                <w:szCs w:val="18"/>
              </w:rPr>
            </w:pPr>
            <w:r w:rsidRPr="00D440EB">
              <w:rPr>
                <w:sz w:val="18"/>
                <w:szCs w:val="18"/>
              </w:rPr>
              <w:t>36 %***</w:t>
            </w:r>
          </w:p>
        </w:tc>
        <w:tc>
          <w:tcPr>
            <w:tcW w:w="851" w:type="dxa"/>
          </w:tcPr>
          <w:p w14:paraId="30B4A157" w14:textId="77777777" w:rsidR="003B7027" w:rsidRPr="00D440EB" w:rsidRDefault="00296A74" w:rsidP="006E5F9A">
            <w:pPr>
              <w:pStyle w:val="TableParagraph"/>
              <w:suppressAutoHyphens/>
              <w:jc w:val="center"/>
              <w:rPr>
                <w:sz w:val="18"/>
                <w:szCs w:val="18"/>
              </w:rPr>
            </w:pPr>
            <w:r w:rsidRPr="00D440EB">
              <w:rPr>
                <w:sz w:val="18"/>
                <w:szCs w:val="18"/>
              </w:rPr>
              <w:t>10 %</w:t>
            </w:r>
          </w:p>
        </w:tc>
        <w:tc>
          <w:tcPr>
            <w:tcW w:w="850" w:type="dxa"/>
          </w:tcPr>
          <w:p w14:paraId="1C9E5ECC" w14:textId="77777777" w:rsidR="003B7027" w:rsidRPr="00D440EB" w:rsidRDefault="003B7027" w:rsidP="006E5F9A">
            <w:pPr>
              <w:pStyle w:val="TableParagraph"/>
              <w:suppressAutoHyphens/>
              <w:rPr>
                <w:sz w:val="18"/>
                <w:szCs w:val="18"/>
              </w:rPr>
            </w:pPr>
          </w:p>
        </w:tc>
        <w:tc>
          <w:tcPr>
            <w:tcW w:w="703" w:type="dxa"/>
          </w:tcPr>
          <w:p w14:paraId="02A789EF" w14:textId="77777777" w:rsidR="003B7027" w:rsidRPr="00D440EB" w:rsidRDefault="003B7027" w:rsidP="006E5F9A">
            <w:pPr>
              <w:pStyle w:val="TableParagraph"/>
              <w:suppressAutoHyphens/>
              <w:rPr>
                <w:sz w:val="18"/>
                <w:szCs w:val="18"/>
              </w:rPr>
            </w:pPr>
          </w:p>
        </w:tc>
        <w:tc>
          <w:tcPr>
            <w:tcW w:w="983" w:type="dxa"/>
          </w:tcPr>
          <w:p w14:paraId="706356C9" w14:textId="77777777" w:rsidR="003B7027" w:rsidRPr="00D440EB" w:rsidRDefault="003B7027" w:rsidP="006E5F9A">
            <w:pPr>
              <w:pStyle w:val="TableParagraph"/>
              <w:suppressAutoHyphens/>
              <w:rPr>
                <w:sz w:val="18"/>
                <w:szCs w:val="18"/>
              </w:rPr>
            </w:pPr>
          </w:p>
        </w:tc>
        <w:tc>
          <w:tcPr>
            <w:tcW w:w="983" w:type="dxa"/>
          </w:tcPr>
          <w:p w14:paraId="2E05495F" w14:textId="77777777" w:rsidR="003B7027" w:rsidRPr="00D440EB" w:rsidRDefault="003B7027" w:rsidP="006E5F9A">
            <w:pPr>
              <w:pStyle w:val="TableParagraph"/>
              <w:suppressAutoHyphens/>
              <w:rPr>
                <w:sz w:val="18"/>
                <w:szCs w:val="18"/>
              </w:rPr>
            </w:pPr>
          </w:p>
        </w:tc>
        <w:tc>
          <w:tcPr>
            <w:tcW w:w="813" w:type="dxa"/>
          </w:tcPr>
          <w:p w14:paraId="1BDC7EBB" w14:textId="77777777" w:rsidR="003B7027" w:rsidRPr="00D440EB" w:rsidRDefault="003B7027" w:rsidP="006E5F9A">
            <w:pPr>
              <w:pStyle w:val="TableParagraph"/>
              <w:suppressAutoHyphens/>
              <w:rPr>
                <w:sz w:val="18"/>
                <w:szCs w:val="18"/>
              </w:rPr>
            </w:pPr>
          </w:p>
        </w:tc>
        <w:tc>
          <w:tcPr>
            <w:tcW w:w="836" w:type="dxa"/>
          </w:tcPr>
          <w:p w14:paraId="74F68EC4" w14:textId="77777777" w:rsidR="003B7027" w:rsidRPr="00D440EB" w:rsidRDefault="003B7027" w:rsidP="006E5F9A">
            <w:pPr>
              <w:pStyle w:val="TableParagraph"/>
              <w:suppressAutoHyphens/>
              <w:rPr>
                <w:sz w:val="18"/>
                <w:szCs w:val="18"/>
              </w:rPr>
            </w:pPr>
          </w:p>
        </w:tc>
      </w:tr>
      <w:tr w:rsidR="003B7027" w:rsidRPr="00D440EB" w14:paraId="4631DA17" w14:textId="77777777" w:rsidTr="00D440EB">
        <w:trPr>
          <w:cantSplit/>
        </w:trPr>
        <w:tc>
          <w:tcPr>
            <w:tcW w:w="8911" w:type="dxa"/>
            <w:gridSpan w:val="11"/>
          </w:tcPr>
          <w:p w14:paraId="1228E6FB" w14:textId="77777777" w:rsidR="003B7027" w:rsidRPr="00D440EB" w:rsidRDefault="00296A74" w:rsidP="006E5F9A">
            <w:pPr>
              <w:pStyle w:val="TableParagraph"/>
              <w:suppressAutoHyphens/>
              <w:jc w:val="center"/>
              <w:rPr>
                <w:b/>
                <w:sz w:val="18"/>
                <w:szCs w:val="18"/>
              </w:rPr>
            </w:pPr>
            <w:r w:rsidRPr="00D440EB">
              <w:rPr>
                <w:b/>
                <w:sz w:val="18"/>
                <w:szCs w:val="18"/>
              </w:rPr>
              <w:t>ACR 70</w:t>
            </w:r>
          </w:p>
        </w:tc>
      </w:tr>
      <w:tr w:rsidR="00C974BF" w:rsidRPr="00D440EB" w14:paraId="6AA88295" w14:textId="77777777" w:rsidTr="00D440EB">
        <w:trPr>
          <w:cantSplit/>
        </w:trPr>
        <w:tc>
          <w:tcPr>
            <w:tcW w:w="624" w:type="dxa"/>
            <w:tcBorders>
              <w:bottom w:val="single" w:sz="4" w:space="0" w:color="auto"/>
            </w:tcBorders>
          </w:tcPr>
          <w:p w14:paraId="018872F6" w14:textId="77777777" w:rsidR="003B7027" w:rsidRPr="00D440EB" w:rsidRDefault="00296A74" w:rsidP="006E5F9A">
            <w:pPr>
              <w:pStyle w:val="TableParagraph"/>
              <w:suppressAutoHyphens/>
              <w:jc w:val="center"/>
              <w:rPr>
                <w:sz w:val="18"/>
                <w:szCs w:val="18"/>
              </w:rPr>
            </w:pPr>
            <w:r w:rsidRPr="00D440EB">
              <w:rPr>
                <w:sz w:val="18"/>
                <w:szCs w:val="18"/>
              </w:rPr>
              <w:t>24</w:t>
            </w:r>
          </w:p>
        </w:tc>
        <w:tc>
          <w:tcPr>
            <w:tcW w:w="709" w:type="dxa"/>
            <w:tcBorders>
              <w:bottom w:val="single" w:sz="4" w:space="0" w:color="auto"/>
            </w:tcBorders>
          </w:tcPr>
          <w:p w14:paraId="6AAEE93C" w14:textId="77777777" w:rsidR="003B7027" w:rsidRPr="00D440EB" w:rsidRDefault="00296A74" w:rsidP="006E5F9A">
            <w:pPr>
              <w:pStyle w:val="TableParagraph"/>
              <w:suppressAutoHyphens/>
              <w:jc w:val="center"/>
              <w:rPr>
                <w:sz w:val="18"/>
                <w:szCs w:val="18"/>
              </w:rPr>
            </w:pPr>
            <w:r w:rsidRPr="00D440EB">
              <w:rPr>
                <w:sz w:val="18"/>
                <w:szCs w:val="18"/>
              </w:rPr>
              <w:t>28 %**</w:t>
            </w:r>
          </w:p>
        </w:tc>
        <w:tc>
          <w:tcPr>
            <w:tcW w:w="709" w:type="dxa"/>
            <w:tcBorders>
              <w:bottom w:val="single" w:sz="4" w:space="0" w:color="auto"/>
            </w:tcBorders>
          </w:tcPr>
          <w:p w14:paraId="53368088" w14:textId="77777777" w:rsidR="003B7027" w:rsidRPr="00D440EB" w:rsidRDefault="00296A74" w:rsidP="006E5F9A">
            <w:pPr>
              <w:pStyle w:val="TableParagraph"/>
              <w:suppressAutoHyphens/>
              <w:jc w:val="center"/>
              <w:rPr>
                <w:sz w:val="18"/>
                <w:szCs w:val="18"/>
              </w:rPr>
            </w:pPr>
            <w:r w:rsidRPr="00D440EB">
              <w:rPr>
                <w:sz w:val="18"/>
                <w:szCs w:val="18"/>
              </w:rPr>
              <w:t>15 %</w:t>
            </w:r>
          </w:p>
        </w:tc>
        <w:tc>
          <w:tcPr>
            <w:tcW w:w="850" w:type="dxa"/>
            <w:tcBorders>
              <w:bottom w:val="single" w:sz="4" w:space="0" w:color="auto"/>
            </w:tcBorders>
          </w:tcPr>
          <w:p w14:paraId="6CEDCFA0" w14:textId="77777777" w:rsidR="003B7027" w:rsidRPr="00D440EB" w:rsidRDefault="00296A74" w:rsidP="006E5F9A">
            <w:pPr>
              <w:pStyle w:val="TableParagraph"/>
              <w:suppressAutoHyphens/>
              <w:jc w:val="center"/>
              <w:rPr>
                <w:sz w:val="18"/>
                <w:szCs w:val="18"/>
              </w:rPr>
            </w:pPr>
            <w:r w:rsidRPr="00D440EB">
              <w:rPr>
                <w:sz w:val="18"/>
                <w:szCs w:val="18"/>
              </w:rPr>
              <w:t>13 %***</w:t>
            </w:r>
          </w:p>
        </w:tc>
        <w:tc>
          <w:tcPr>
            <w:tcW w:w="851" w:type="dxa"/>
            <w:tcBorders>
              <w:bottom w:val="single" w:sz="4" w:space="0" w:color="auto"/>
            </w:tcBorders>
          </w:tcPr>
          <w:p w14:paraId="7A430E61" w14:textId="77777777" w:rsidR="003B7027" w:rsidRPr="00D440EB" w:rsidRDefault="00296A74" w:rsidP="006E5F9A">
            <w:pPr>
              <w:pStyle w:val="TableParagraph"/>
              <w:suppressAutoHyphens/>
              <w:jc w:val="center"/>
              <w:rPr>
                <w:sz w:val="18"/>
                <w:szCs w:val="18"/>
              </w:rPr>
            </w:pPr>
            <w:r w:rsidRPr="00D440EB">
              <w:rPr>
                <w:sz w:val="18"/>
                <w:szCs w:val="18"/>
              </w:rPr>
              <w:t>2 %</w:t>
            </w:r>
          </w:p>
        </w:tc>
        <w:tc>
          <w:tcPr>
            <w:tcW w:w="850" w:type="dxa"/>
            <w:tcBorders>
              <w:bottom w:val="single" w:sz="4" w:space="0" w:color="auto"/>
            </w:tcBorders>
          </w:tcPr>
          <w:p w14:paraId="798B96BF" w14:textId="77777777" w:rsidR="003B7027" w:rsidRPr="00D440EB" w:rsidRDefault="00296A74" w:rsidP="006E5F9A">
            <w:pPr>
              <w:pStyle w:val="TableParagraph"/>
              <w:suppressAutoHyphens/>
              <w:jc w:val="center"/>
              <w:rPr>
                <w:sz w:val="18"/>
                <w:szCs w:val="18"/>
              </w:rPr>
            </w:pPr>
            <w:r w:rsidRPr="00D440EB">
              <w:rPr>
                <w:sz w:val="18"/>
                <w:szCs w:val="18"/>
              </w:rPr>
              <w:t>22 %***</w:t>
            </w:r>
          </w:p>
        </w:tc>
        <w:tc>
          <w:tcPr>
            <w:tcW w:w="703" w:type="dxa"/>
            <w:tcBorders>
              <w:bottom w:val="single" w:sz="4" w:space="0" w:color="auto"/>
            </w:tcBorders>
          </w:tcPr>
          <w:p w14:paraId="7B2312CC" w14:textId="77777777" w:rsidR="003B7027" w:rsidRPr="00D440EB" w:rsidRDefault="00296A74" w:rsidP="006E5F9A">
            <w:pPr>
              <w:pStyle w:val="TableParagraph"/>
              <w:suppressAutoHyphens/>
              <w:jc w:val="center"/>
              <w:rPr>
                <w:sz w:val="18"/>
                <w:szCs w:val="18"/>
              </w:rPr>
            </w:pPr>
            <w:r w:rsidRPr="00D440EB">
              <w:rPr>
                <w:sz w:val="18"/>
                <w:szCs w:val="18"/>
              </w:rPr>
              <w:t>2 %</w:t>
            </w:r>
          </w:p>
        </w:tc>
        <w:tc>
          <w:tcPr>
            <w:tcW w:w="983" w:type="dxa"/>
            <w:tcBorders>
              <w:bottom w:val="single" w:sz="4" w:space="0" w:color="auto"/>
            </w:tcBorders>
          </w:tcPr>
          <w:p w14:paraId="0B950E3B" w14:textId="77777777" w:rsidR="003B7027" w:rsidRPr="00D440EB" w:rsidRDefault="00296A74" w:rsidP="006E5F9A">
            <w:pPr>
              <w:pStyle w:val="TableParagraph"/>
              <w:suppressAutoHyphens/>
              <w:jc w:val="center"/>
              <w:rPr>
                <w:sz w:val="18"/>
                <w:szCs w:val="18"/>
              </w:rPr>
            </w:pPr>
            <w:r w:rsidRPr="00D440EB">
              <w:rPr>
                <w:sz w:val="18"/>
                <w:szCs w:val="18"/>
              </w:rPr>
              <w:t>21 %***</w:t>
            </w:r>
          </w:p>
        </w:tc>
        <w:tc>
          <w:tcPr>
            <w:tcW w:w="983" w:type="dxa"/>
            <w:tcBorders>
              <w:bottom w:val="single" w:sz="4" w:space="0" w:color="auto"/>
            </w:tcBorders>
          </w:tcPr>
          <w:p w14:paraId="704F931F" w14:textId="77777777" w:rsidR="003B7027" w:rsidRPr="00D440EB" w:rsidRDefault="00296A74" w:rsidP="006E5F9A">
            <w:pPr>
              <w:pStyle w:val="TableParagraph"/>
              <w:suppressAutoHyphens/>
              <w:jc w:val="center"/>
              <w:rPr>
                <w:sz w:val="18"/>
                <w:szCs w:val="18"/>
              </w:rPr>
            </w:pPr>
            <w:r w:rsidRPr="00D440EB">
              <w:rPr>
                <w:sz w:val="18"/>
                <w:szCs w:val="18"/>
              </w:rPr>
              <w:t>3 %</w:t>
            </w:r>
          </w:p>
        </w:tc>
        <w:tc>
          <w:tcPr>
            <w:tcW w:w="813" w:type="dxa"/>
            <w:tcBorders>
              <w:bottom w:val="single" w:sz="4" w:space="0" w:color="auto"/>
            </w:tcBorders>
          </w:tcPr>
          <w:p w14:paraId="37CBF41D" w14:textId="77777777" w:rsidR="003B7027" w:rsidRPr="00D440EB" w:rsidRDefault="00296A74" w:rsidP="006E5F9A">
            <w:pPr>
              <w:pStyle w:val="TableParagraph"/>
              <w:suppressAutoHyphens/>
              <w:jc w:val="center"/>
              <w:rPr>
                <w:sz w:val="18"/>
                <w:szCs w:val="18"/>
              </w:rPr>
            </w:pPr>
            <w:r w:rsidRPr="00D440EB">
              <w:rPr>
                <w:sz w:val="18"/>
                <w:szCs w:val="18"/>
              </w:rPr>
              <w:t>12 %**</w:t>
            </w:r>
          </w:p>
        </w:tc>
        <w:tc>
          <w:tcPr>
            <w:tcW w:w="836" w:type="dxa"/>
            <w:tcBorders>
              <w:bottom w:val="single" w:sz="4" w:space="0" w:color="auto"/>
            </w:tcBorders>
          </w:tcPr>
          <w:p w14:paraId="2660CD16" w14:textId="77777777" w:rsidR="003B7027" w:rsidRPr="00D440EB" w:rsidRDefault="00296A74" w:rsidP="006E5F9A">
            <w:pPr>
              <w:pStyle w:val="TableParagraph"/>
              <w:suppressAutoHyphens/>
              <w:jc w:val="center"/>
              <w:rPr>
                <w:sz w:val="18"/>
                <w:szCs w:val="18"/>
              </w:rPr>
            </w:pPr>
            <w:r w:rsidRPr="00D440EB">
              <w:rPr>
                <w:sz w:val="18"/>
                <w:szCs w:val="18"/>
              </w:rPr>
              <w:t>1 %</w:t>
            </w:r>
          </w:p>
        </w:tc>
      </w:tr>
      <w:tr w:rsidR="00C974BF" w:rsidRPr="00D440EB" w14:paraId="66EF7252" w14:textId="77777777" w:rsidTr="00D440EB">
        <w:trPr>
          <w:cantSplit/>
        </w:trPr>
        <w:tc>
          <w:tcPr>
            <w:tcW w:w="624" w:type="dxa"/>
            <w:tcBorders>
              <w:top w:val="single" w:sz="4" w:space="0" w:color="auto"/>
              <w:left w:val="single" w:sz="4" w:space="0" w:color="auto"/>
              <w:bottom w:val="single" w:sz="4" w:space="0" w:color="auto"/>
              <w:right w:val="single" w:sz="4" w:space="0" w:color="auto"/>
            </w:tcBorders>
          </w:tcPr>
          <w:p w14:paraId="5DA673CE" w14:textId="77777777" w:rsidR="00F13020" w:rsidRPr="00D440EB" w:rsidRDefault="00F13020" w:rsidP="006E5F9A">
            <w:pPr>
              <w:pStyle w:val="TableParagraph"/>
              <w:suppressAutoHyphens/>
              <w:jc w:val="center"/>
              <w:rPr>
                <w:sz w:val="18"/>
                <w:szCs w:val="18"/>
              </w:rPr>
            </w:pPr>
            <w:r w:rsidRPr="00D440EB">
              <w:rPr>
                <w:sz w:val="18"/>
                <w:szCs w:val="18"/>
              </w:rPr>
              <w:t>52</w:t>
            </w:r>
          </w:p>
        </w:tc>
        <w:tc>
          <w:tcPr>
            <w:tcW w:w="709" w:type="dxa"/>
            <w:tcBorders>
              <w:top w:val="single" w:sz="4" w:space="0" w:color="auto"/>
              <w:left w:val="single" w:sz="4" w:space="0" w:color="auto"/>
              <w:bottom w:val="single" w:sz="4" w:space="0" w:color="auto"/>
              <w:right w:val="single" w:sz="4" w:space="0" w:color="auto"/>
            </w:tcBorders>
          </w:tcPr>
          <w:p w14:paraId="55B59255" w14:textId="77777777" w:rsidR="00F13020" w:rsidRPr="00D440EB" w:rsidRDefault="00F13020" w:rsidP="006E5F9A">
            <w:pPr>
              <w:pStyle w:val="TableParagraph"/>
              <w:suppressAutoHyphens/>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31BBA152" w14:textId="77777777" w:rsidR="00F13020" w:rsidRPr="00D440EB" w:rsidRDefault="00F13020" w:rsidP="006E5F9A">
            <w:pPr>
              <w:pStyle w:val="TableParagraph"/>
              <w:suppressAutoHyphens/>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0628837C" w14:textId="77777777" w:rsidR="00F13020" w:rsidRPr="00D440EB" w:rsidRDefault="00F13020" w:rsidP="006E5F9A">
            <w:pPr>
              <w:pStyle w:val="TableParagraph"/>
              <w:suppressAutoHyphens/>
              <w:jc w:val="center"/>
              <w:rPr>
                <w:sz w:val="18"/>
                <w:szCs w:val="18"/>
              </w:rPr>
            </w:pPr>
            <w:r w:rsidRPr="00D440EB">
              <w:rPr>
                <w:sz w:val="18"/>
                <w:szCs w:val="18"/>
              </w:rPr>
              <w:t>20 %***</w:t>
            </w:r>
          </w:p>
        </w:tc>
        <w:tc>
          <w:tcPr>
            <w:tcW w:w="851" w:type="dxa"/>
            <w:tcBorders>
              <w:top w:val="single" w:sz="4" w:space="0" w:color="auto"/>
              <w:left w:val="single" w:sz="4" w:space="0" w:color="auto"/>
              <w:bottom w:val="single" w:sz="4" w:space="0" w:color="auto"/>
              <w:right w:val="single" w:sz="4" w:space="0" w:color="auto"/>
            </w:tcBorders>
          </w:tcPr>
          <w:p w14:paraId="5B48E477" w14:textId="77777777" w:rsidR="00F13020" w:rsidRPr="00D440EB" w:rsidRDefault="00F13020" w:rsidP="006E5F9A">
            <w:pPr>
              <w:pStyle w:val="TableParagraph"/>
              <w:suppressAutoHyphens/>
              <w:jc w:val="center"/>
              <w:rPr>
                <w:sz w:val="18"/>
                <w:szCs w:val="18"/>
              </w:rPr>
            </w:pPr>
            <w:r w:rsidRPr="00D440EB">
              <w:rPr>
                <w:sz w:val="18"/>
                <w:szCs w:val="18"/>
              </w:rPr>
              <w:t>4 %</w:t>
            </w:r>
          </w:p>
        </w:tc>
        <w:tc>
          <w:tcPr>
            <w:tcW w:w="850" w:type="dxa"/>
            <w:tcBorders>
              <w:top w:val="single" w:sz="4" w:space="0" w:color="auto"/>
              <w:left w:val="single" w:sz="4" w:space="0" w:color="auto"/>
              <w:bottom w:val="single" w:sz="4" w:space="0" w:color="auto"/>
              <w:right w:val="single" w:sz="4" w:space="0" w:color="auto"/>
            </w:tcBorders>
          </w:tcPr>
          <w:p w14:paraId="1671A0D2" w14:textId="77777777" w:rsidR="00F13020" w:rsidRPr="00D440EB" w:rsidRDefault="00F13020" w:rsidP="006E5F9A">
            <w:pPr>
              <w:pStyle w:val="TableParagraph"/>
              <w:suppressAutoHyphens/>
              <w:rPr>
                <w:sz w:val="18"/>
                <w:szCs w:val="18"/>
              </w:rPr>
            </w:pPr>
          </w:p>
        </w:tc>
        <w:tc>
          <w:tcPr>
            <w:tcW w:w="703" w:type="dxa"/>
            <w:tcBorders>
              <w:top w:val="single" w:sz="4" w:space="0" w:color="auto"/>
              <w:left w:val="single" w:sz="4" w:space="0" w:color="auto"/>
              <w:bottom w:val="single" w:sz="4" w:space="0" w:color="auto"/>
              <w:right w:val="single" w:sz="4" w:space="0" w:color="auto"/>
            </w:tcBorders>
          </w:tcPr>
          <w:p w14:paraId="203347DF" w14:textId="77777777" w:rsidR="00F13020" w:rsidRPr="00D440EB" w:rsidRDefault="00F13020" w:rsidP="006E5F9A">
            <w:pPr>
              <w:pStyle w:val="TableParagraph"/>
              <w:suppressAutoHyphens/>
              <w:rPr>
                <w:sz w:val="18"/>
                <w:szCs w:val="18"/>
              </w:rPr>
            </w:pPr>
          </w:p>
        </w:tc>
        <w:tc>
          <w:tcPr>
            <w:tcW w:w="983" w:type="dxa"/>
            <w:tcBorders>
              <w:top w:val="single" w:sz="4" w:space="0" w:color="auto"/>
              <w:left w:val="single" w:sz="4" w:space="0" w:color="auto"/>
              <w:bottom w:val="single" w:sz="4" w:space="0" w:color="auto"/>
              <w:right w:val="single" w:sz="4" w:space="0" w:color="auto"/>
            </w:tcBorders>
          </w:tcPr>
          <w:p w14:paraId="6A58F699" w14:textId="77777777" w:rsidR="00F13020" w:rsidRPr="00D440EB" w:rsidRDefault="00F13020" w:rsidP="006E5F9A">
            <w:pPr>
              <w:pStyle w:val="TableParagraph"/>
              <w:suppressAutoHyphens/>
              <w:rPr>
                <w:sz w:val="18"/>
                <w:szCs w:val="18"/>
              </w:rPr>
            </w:pPr>
          </w:p>
        </w:tc>
        <w:tc>
          <w:tcPr>
            <w:tcW w:w="983" w:type="dxa"/>
            <w:tcBorders>
              <w:top w:val="single" w:sz="4" w:space="0" w:color="auto"/>
              <w:left w:val="single" w:sz="4" w:space="0" w:color="auto"/>
              <w:bottom w:val="single" w:sz="4" w:space="0" w:color="auto"/>
              <w:right w:val="single" w:sz="4" w:space="0" w:color="auto"/>
            </w:tcBorders>
          </w:tcPr>
          <w:p w14:paraId="71F93B72" w14:textId="77777777" w:rsidR="00F13020" w:rsidRPr="00D440EB" w:rsidRDefault="00F13020" w:rsidP="006E5F9A">
            <w:pPr>
              <w:pStyle w:val="TableParagraph"/>
              <w:suppressAutoHyphens/>
              <w:rPr>
                <w:sz w:val="18"/>
                <w:szCs w:val="18"/>
              </w:rPr>
            </w:pPr>
          </w:p>
        </w:tc>
        <w:tc>
          <w:tcPr>
            <w:tcW w:w="813" w:type="dxa"/>
            <w:tcBorders>
              <w:top w:val="single" w:sz="4" w:space="0" w:color="auto"/>
              <w:left w:val="single" w:sz="4" w:space="0" w:color="auto"/>
              <w:bottom w:val="single" w:sz="4" w:space="0" w:color="auto"/>
              <w:right w:val="single" w:sz="4" w:space="0" w:color="auto"/>
            </w:tcBorders>
          </w:tcPr>
          <w:p w14:paraId="016A8BE3" w14:textId="77777777" w:rsidR="00F13020" w:rsidRPr="00D440EB" w:rsidRDefault="00F13020" w:rsidP="006E5F9A">
            <w:pPr>
              <w:pStyle w:val="TableParagraph"/>
              <w:suppressAutoHyphens/>
              <w:rPr>
                <w:sz w:val="18"/>
                <w:szCs w:val="18"/>
              </w:rPr>
            </w:pPr>
          </w:p>
        </w:tc>
        <w:tc>
          <w:tcPr>
            <w:tcW w:w="836" w:type="dxa"/>
            <w:tcBorders>
              <w:top w:val="single" w:sz="4" w:space="0" w:color="auto"/>
              <w:left w:val="single" w:sz="4" w:space="0" w:color="auto"/>
              <w:bottom w:val="single" w:sz="4" w:space="0" w:color="auto"/>
              <w:right w:val="single" w:sz="4" w:space="0" w:color="auto"/>
            </w:tcBorders>
          </w:tcPr>
          <w:p w14:paraId="6F854686" w14:textId="77777777" w:rsidR="00F13020" w:rsidRPr="00D440EB" w:rsidRDefault="00F13020" w:rsidP="006E5F9A">
            <w:pPr>
              <w:pStyle w:val="TableParagraph"/>
              <w:suppressAutoHyphens/>
              <w:rPr>
                <w:sz w:val="18"/>
                <w:szCs w:val="18"/>
              </w:rPr>
            </w:pPr>
          </w:p>
        </w:tc>
      </w:tr>
    </w:tbl>
    <w:p w14:paraId="0B01B1E6" w14:textId="77777777" w:rsidR="003B7027" w:rsidRPr="0028514E" w:rsidRDefault="00296A74" w:rsidP="002810F2">
      <w:pPr>
        <w:ind w:left="851" w:hanging="851"/>
        <w:rPr>
          <w:i/>
          <w:sz w:val="18"/>
        </w:rPr>
      </w:pPr>
      <w:r w:rsidRPr="0028514E">
        <w:rPr>
          <w:i/>
          <w:sz w:val="18"/>
        </w:rPr>
        <w:t>TCZ</w:t>
      </w:r>
      <w:r w:rsidRPr="0028514E">
        <w:rPr>
          <w:i/>
          <w:sz w:val="18"/>
        </w:rPr>
        <w:tab/>
        <w:t xml:space="preserve">- </w:t>
      </w:r>
      <w:proofErr w:type="spellStart"/>
      <w:r w:rsidRPr="0028514E">
        <w:rPr>
          <w:i/>
          <w:sz w:val="18"/>
        </w:rPr>
        <w:t>tosilitsumabi</w:t>
      </w:r>
      <w:proofErr w:type="spellEnd"/>
    </w:p>
    <w:p w14:paraId="5B126C91" w14:textId="77777777" w:rsidR="003B7027" w:rsidRPr="0028514E" w:rsidRDefault="00296A74" w:rsidP="002810F2">
      <w:pPr>
        <w:ind w:left="851" w:hanging="851"/>
        <w:rPr>
          <w:i/>
          <w:sz w:val="18"/>
        </w:rPr>
      </w:pPr>
      <w:r w:rsidRPr="0028514E">
        <w:rPr>
          <w:i/>
          <w:sz w:val="18"/>
        </w:rPr>
        <w:t>MTX</w:t>
      </w:r>
      <w:r w:rsidRPr="0028514E">
        <w:rPr>
          <w:i/>
          <w:sz w:val="18"/>
        </w:rPr>
        <w:tab/>
        <w:t xml:space="preserve">- </w:t>
      </w:r>
      <w:proofErr w:type="spellStart"/>
      <w:r w:rsidRPr="0028514E">
        <w:rPr>
          <w:i/>
          <w:sz w:val="18"/>
        </w:rPr>
        <w:t>metotreksaatti</w:t>
      </w:r>
      <w:proofErr w:type="spellEnd"/>
    </w:p>
    <w:p w14:paraId="6CDBD05D" w14:textId="77777777" w:rsidR="003B7027" w:rsidRPr="0028514E" w:rsidRDefault="00296A74" w:rsidP="002810F2">
      <w:pPr>
        <w:ind w:left="851" w:hanging="851"/>
        <w:rPr>
          <w:i/>
          <w:sz w:val="18"/>
        </w:rPr>
      </w:pPr>
      <w:r w:rsidRPr="0028514E">
        <w:rPr>
          <w:i/>
          <w:sz w:val="18"/>
        </w:rPr>
        <w:t>DMARD</w:t>
      </w:r>
      <w:r w:rsidR="002D4BFB" w:rsidRPr="0028514E">
        <w:rPr>
          <w:i/>
          <w:sz w:val="18"/>
        </w:rPr>
        <w:tab/>
      </w:r>
      <w:r w:rsidRPr="0028514E">
        <w:rPr>
          <w:i/>
          <w:sz w:val="18"/>
        </w:rPr>
        <w:t xml:space="preserve">- </w:t>
      </w:r>
      <w:proofErr w:type="spellStart"/>
      <w:r w:rsidRPr="0028514E">
        <w:rPr>
          <w:i/>
          <w:sz w:val="18"/>
        </w:rPr>
        <w:t>tautiprosessia</w:t>
      </w:r>
      <w:proofErr w:type="spellEnd"/>
      <w:r w:rsidRPr="0028514E">
        <w:rPr>
          <w:i/>
          <w:sz w:val="18"/>
        </w:rPr>
        <w:t xml:space="preserve"> </w:t>
      </w:r>
      <w:proofErr w:type="spellStart"/>
      <w:r w:rsidRPr="0028514E">
        <w:rPr>
          <w:i/>
          <w:sz w:val="18"/>
        </w:rPr>
        <w:t>hidastava</w:t>
      </w:r>
      <w:proofErr w:type="spellEnd"/>
      <w:r w:rsidRPr="0028514E">
        <w:rPr>
          <w:i/>
          <w:sz w:val="18"/>
        </w:rPr>
        <w:t xml:space="preserve"> </w:t>
      </w:r>
      <w:proofErr w:type="spellStart"/>
      <w:r w:rsidRPr="0028514E">
        <w:rPr>
          <w:i/>
          <w:sz w:val="18"/>
        </w:rPr>
        <w:t>reumalääke</w:t>
      </w:r>
      <w:proofErr w:type="spellEnd"/>
      <w:r w:rsidRPr="0028514E">
        <w:rPr>
          <w:i/>
          <w:sz w:val="18"/>
        </w:rPr>
        <w:t xml:space="preserve"> (disease modifying anti-rheumatic drug)</w:t>
      </w:r>
    </w:p>
    <w:p w14:paraId="47D569E2" w14:textId="77777777" w:rsidR="003B7027" w:rsidRPr="00CA43F5" w:rsidRDefault="00296A74" w:rsidP="002810F2">
      <w:pPr>
        <w:ind w:left="851" w:hanging="851"/>
        <w:rPr>
          <w:i/>
          <w:sz w:val="18"/>
          <w:lang w:val="fi-FI"/>
        </w:rPr>
      </w:pPr>
      <w:r w:rsidRPr="00CA43F5">
        <w:rPr>
          <w:i/>
          <w:sz w:val="18"/>
          <w:lang w:val="fi-FI"/>
        </w:rPr>
        <w:t>**</w:t>
      </w:r>
      <w:r w:rsidRPr="00CA43F5">
        <w:rPr>
          <w:i/>
          <w:sz w:val="18"/>
          <w:lang w:val="fi-FI"/>
        </w:rPr>
        <w:tab/>
        <w:t>- p &lt; 0,01, tosilitsumabi vs. lumevalmiste + MTX / DMARD</w:t>
      </w:r>
    </w:p>
    <w:p w14:paraId="614BE4BB" w14:textId="77777777" w:rsidR="003B7027" w:rsidRPr="00CA43F5" w:rsidRDefault="00296A74" w:rsidP="002810F2">
      <w:pPr>
        <w:ind w:left="851" w:hanging="851"/>
        <w:rPr>
          <w:i/>
          <w:sz w:val="18"/>
          <w:lang w:val="fi-FI"/>
        </w:rPr>
      </w:pPr>
      <w:r w:rsidRPr="00CA43F5">
        <w:rPr>
          <w:i/>
          <w:sz w:val="18"/>
          <w:lang w:val="fi-FI"/>
        </w:rPr>
        <w:lastRenderedPageBreak/>
        <w:t>***</w:t>
      </w:r>
      <w:r w:rsidRPr="00CA43F5">
        <w:rPr>
          <w:i/>
          <w:sz w:val="18"/>
          <w:lang w:val="fi-FI"/>
        </w:rPr>
        <w:tab/>
        <w:t>- p &lt; 0,0001, tosilitsumabi vs. lumevalmiste + MTX / DMARD</w:t>
      </w:r>
    </w:p>
    <w:p w14:paraId="3792CDC6" w14:textId="77777777" w:rsidR="003B7027" w:rsidRPr="0028514E" w:rsidRDefault="003B7027" w:rsidP="006E5F9A">
      <w:pPr>
        <w:pStyle w:val="a4"/>
        <w:ind w:left="0"/>
        <w:rPr>
          <w:i/>
          <w:sz w:val="18"/>
        </w:rPr>
      </w:pPr>
    </w:p>
    <w:p w14:paraId="15ECF7BA" w14:textId="77777777" w:rsidR="003B7027" w:rsidRPr="00CA43F5" w:rsidRDefault="00296A74" w:rsidP="006E5F9A">
      <w:pPr>
        <w:rPr>
          <w:i/>
          <w:lang w:val="fi-FI"/>
        </w:rPr>
      </w:pPr>
      <w:r w:rsidRPr="00CA43F5">
        <w:rPr>
          <w:i/>
          <w:lang w:val="fi-FI"/>
        </w:rPr>
        <w:t>Merkittävä kliininen vaste</w:t>
      </w:r>
    </w:p>
    <w:p w14:paraId="3EE86965" w14:textId="5C446246" w:rsidR="003B7027" w:rsidRPr="0028514E" w:rsidRDefault="00C92F09" w:rsidP="006E5F9A">
      <w:pPr>
        <w:pStyle w:val="a4"/>
        <w:ind w:left="0"/>
      </w:pPr>
      <w:r>
        <w:t>Tosilitsumabia</w:t>
      </w:r>
      <w:r w:rsidR="00296A74" w:rsidRPr="0028514E">
        <w:t xml:space="preserve"> yhdessä MTX:n kanssa saaneista potilaista 14 % saavutti merkittävän kliinisen vasteen, kun hoitoa oli annettu kaksi vuotta (ACR70-vaste säilyi 24 viikkoa tai pitempään).</w:t>
      </w:r>
    </w:p>
    <w:p w14:paraId="752024D3" w14:textId="77777777" w:rsidR="002D4BFB" w:rsidRPr="0028514E" w:rsidRDefault="002D4BFB" w:rsidP="006E5F9A">
      <w:pPr>
        <w:pStyle w:val="a4"/>
        <w:ind w:left="0"/>
      </w:pPr>
    </w:p>
    <w:p w14:paraId="6D31AA63" w14:textId="77777777" w:rsidR="003B7027" w:rsidRPr="00CA43F5" w:rsidRDefault="00296A74" w:rsidP="006E5F9A">
      <w:pPr>
        <w:rPr>
          <w:i/>
          <w:lang w:val="fi-FI"/>
        </w:rPr>
      </w:pPr>
      <w:r w:rsidRPr="00CA43F5">
        <w:rPr>
          <w:i/>
          <w:lang w:val="fi-FI"/>
        </w:rPr>
        <w:t>Radiologinen vaste</w:t>
      </w:r>
    </w:p>
    <w:p w14:paraId="4E3BABFE" w14:textId="467B093F" w:rsidR="003B7027" w:rsidRPr="0028514E" w:rsidRDefault="00296A74" w:rsidP="00D57B3C">
      <w:pPr>
        <w:pStyle w:val="a4"/>
        <w:ind w:left="0"/>
      </w:pPr>
      <w:r w:rsidRPr="0028514E">
        <w:t>Tutkimukseen II osallistui potilaita, joiden aikaisempi hoito MTX:lla ei tuonut riittävää hoitovastetta. Rakenteellisten nivelvaurioiden estymistä arvioitiin radiologisesti ja tulos ilmaistiin modifioidun Sharp-indeksin ja sen osatekijöiden, eroosioasteen ja nivelraon kaventumisen muutoksena.</w:t>
      </w:r>
      <w:r w:rsidR="00D57B3C">
        <w:t xml:space="preserve"> </w:t>
      </w:r>
      <w:r w:rsidRPr="0028514E">
        <w:t xml:space="preserve">Rakenteellisen nivelvaurion estyminen näkyi merkitsevästi hitaampana radiologisena etenemisenä </w:t>
      </w:r>
      <w:r w:rsidR="00C92F09">
        <w:t>tosilitsumabi</w:t>
      </w:r>
      <w:r w:rsidRPr="0028514E">
        <w:t>hoitoa saaneilla potilailla kuin vertailuryhmän potilailla (taulukko 6).</w:t>
      </w:r>
    </w:p>
    <w:p w14:paraId="62421E9D" w14:textId="77777777" w:rsidR="002D4BFB" w:rsidRPr="0028514E" w:rsidRDefault="002D4BFB" w:rsidP="006E5F9A">
      <w:pPr>
        <w:pStyle w:val="a4"/>
        <w:ind w:left="0"/>
      </w:pPr>
    </w:p>
    <w:p w14:paraId="1D9D6A18" w14:textId="23FB4A10" w:rsidR="003B7027" w:rsidRPr="0028514E" w:rsidRDefault="00296A74" w:rsidP="006E5F9A">
      <w:pPr>
        <w:pStyle w:val="a4"/>
        <w:ind w:left="0"/>
      </w:pPr>
      <w:r w:rsidRPr="0028514E">
        <w:t xml:space="preserve">Avoimessa jatkotutkimuksessa (tutkimus II) niveltuhon etenemistä estävä vaikutus säilyi hoidon toisena vuonna </w:t>
      </w:r>
      <w:r w:rsidR="00C92F09">
        <w:t xml:space="preserve">tosilitsumabia </w:t>
      </w:r>
      <w:r w:rsidRPr="0028514E">
        <w:t xml:space="preserve">yhdessä MTX:n kanssa saaneilla potilailla. Sharp-Genant- kokonaispistearvon keskimääräinen muutos lähtötilanteesta viikolla 104 oli huomattavasti pienempi potilailla, jotka oli satunnaistettu saamaan </w:t>
      </w:r>
      <w:r w:rsidR="00C92F09">
        <w:t xml:space="preserve">tosilitsumabia </w:t>
      </w:r>
      <w:r w:rsidRPr="0028514E">
        <w:t>8 mg/kg yhdessä MTX:n kanssa (p &lt; 0,0001) kuin niillä potilailla, jotka oli satunnaistettu saamaan lumevalmistetta yhdessä MTX:n kanssa.</w:t>
      </w:r>
    </w:p>
    <w:p w14:paraId="3AFBD444" w14:textId="77777777" w:rsidR="003B7027" w:rsidRPr="0028514E" w:rsidRDefault="003B7027" w:rsidP="006E5F9A">
      <w:pPr>
        <w:pStyle w:val="a4"/>
        <w:ind w:left="0"/>
      </w:pPr>
    </w:p>
    <w:p w14:paraId="6A0AFB5C" w14:textId="77777777" w:rsidR="003B7027" w:rsidRPr="00CA43F5" w:rsidRDefault="00296A74" w:rsidP="002A56B1">
      <w:pPr>
        <w:pStyle w:val="Tabletitle"/>
        <w:rPr>
          <w:lang w:val="fi-FI"/>
        </w:rPr>
      </w:pPr>
      <w:r w:rsidRPr="00CA43F5">
        <w:rPr>
          <w:lang w:val="fi-FI"/>
        </w:rPr>
        <w:t>Taulukko 6.</w:t>
      </w:r>
      <w:r w:rsidR="002D4BFB" w:rsidRPr="00CA43F5">
        <w:rPr>
          <w:lang w:val="fi-FI"/>
        </w:rPr>
        <w:tab/>
      </w:r>
      <w:r w:rsidRPr="00CA43F5">
        <w:rPr>
          <w:lang w:val="fi-FI"/>
        </w:rPr>
        <w:t>Radiologiset muutokset (keskiarvo) 52 viikon aikana tutkimuksessa II</w:t>
      </w:r>
    </w:p>
    <w:p w14:paraId="4259DD47" w14:textId="77777777" w:rsidR="002D4BFB" w:rsidRPr="00CA43F5" w:rsidRDefault="002D4BFB" w:rsidP="002A56B1">
      <w:pPr>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3243"/>
        <w:gridCol w:w="2835"/>
        <w:gridCol w:w="2835"/>
      </w:tblGrid>
      <w:tr w:rsidR="003B7027" w:rsidRPr="00ED6BAC" w14:paraId="402F3C47" w14:textId="77777777" w:rsidTr="00DE1F8E">
        <w:trPr>
          <w:trHeight w:val="690"/>
        </w:trPr>
        <w:tc>
          <w:tcPr>
            <w:tcW w:w="3243" w:type="dxa"/>
          </w:tcPr>
          <w:p w14:paraId="0C8AB301" w14:textId="77777777" w:rsidR="003B7027" w:rsidRPr="002A56B1" w:rsidRDefault="003B7027" w:rsidP="006E5F9A">
            <w:pPr>
              <w:pStyle w:val="TableParagraph"/>
            </w:pPr>
          </w:p>
        </w:tc>
        <w:tc>
          <w:tcPr>
            <w:tcW w:w="2835" w:type="dxa"/>
          </w:tcPr>
          <w:p w14:paraId="4001E868" w14:textId="77777777" w:rsidR="003B7027" w:rsidRPr="002A56B1" w:rsidRDefault="00296A74" w:rsidP="006E5F9A">
            <w:pPr>
              <w:pStyle w:val="TableParagraph"/>
              <w:jc w:val="center"/>
              <w:rPr>
                <w:b/>
              </w:rPr>
            </w:pPr>
            <w:r w:rsidRPr="002A56B1">
              <w:rPr>
                <w:b/>
              </w:rPr>
              <w:t xml:space="preserve">Lume + MTX </w:t>
            </w:r>
            <w:r w:rsidR="002A56B1">
              <w:rPr>
                <w:b/>
              </w:rPr>
              <w:br/>
            </w:r>
            <w:r w:rsidRPr="002A56B1">
              <w:rPr>
                <w:b/>
              </w:rPr>
              <w:t>(+TCZ viikosta 24 alkaen)</w:t>
            </w:r>
          </w:p>
          <w:p w14:paraId="243DBCB8" w14:textId="77777777" w:rsidR="003B7027" w:rsidRPr="002A56B1" w:rsidRDefault="00296A74" w:rsidP="006E5F9A">
            <w:pPr>
              <w:pStyle w:val="TableParagraph"/>
              <w:jc w:val="center"/>
              <w:rPr>
                <w:b/>
              </w:rPr>
            </w:pPr>
            <w:r w:rsidRPr="002A56B1">
              <w:rPr>
                <w:b/>
              </w:rPr>
              <w:t>N = 393</w:t>
            </w:r>
          </w:p>
        </w:tc>
        <w:tc>
          <w:tcPr>
            <w:tcW w:w="2835" w:type="dxa"/>
          </w:tcPr>
          <w:p w14:paraId="6F7D97A3" w14:textId="77777777" w:rsidR="003B7027" w:rsidRPr="00E919A5" w:rsidRDefault="00296A74" w:rsidP="006E5F9A">
            <w:pPr>
              <w:pStyle w:val="TableParagraph"/>
              <w:jc w:val="center"/>
              <w:rPr>
                <w:b/>
              </w:rPr>
            </w:pPr>
            <w:r w:rsidRPr="00E919A5">
              <w:rPr>
                <w:b/>
              </w:rPr>
              <w:t xml:space="preserve">TCZ 8 mg/kg + MTX </w:t>
            </w:r>
            <w:r w:rsidR="002A56B1" w:rsidRPr="00E919A5">
              <w:rPr>
                <w:b/>
              </w:rPr>
              <w:br/>
            </w:r>
            <w:r w:rsidRPr="00E919A5">
              <w:rPr>
                <w:b/>
              </w:rPr>
              <w:t>N = 398</w:t>
            </w:r>
          </w:p>
        </w:tc>
      </w:tr>
      <w:tr w:rsidR="003B7027" w:rsidRPr="00777B93" w14:paraId="2975818E" w14:textId="77777777" w:rsidTr="00DE1F8E">
        <w:trPr>
          <w:trHeight w:val="329"/>
        </w:trPr>
        <w:tc>
          <w:tcPr>
            <w:tcW w:w="3243" w:type="dxa"/>
          </w:tcPr>
          <w:p w14:paraId="6F285791" w14:textId="77777777" w:rsidR="003B7027" w:rsidRPr="002A56B1" w:rsidRDefault="00296A74" w:rsidP="006E5F9A">
            <w:pPr>
              <w:pStyle w:val="TableParagraph"/>
            </w:pPr>
            <w:r w:rsidRPr="002A56B1">
              <w:t>Sharp-Genant-kokonaispistearvo</w:t>
            </w:r>
          </w:p>
        </w:tc>
        <w:tc>
          <w:tcPr>
            <w:tcW w:w="2835" w:type="dxa"/>
          </w:tcPr>
          <w:p w14:paraId="79B44577" w14:textId="77777777" w:rsidR="003B7027" w:rsidRPr="002A56B1" w:rsidRDefault="00296A74" w:rsidP="006E5F9A">
            <w:pPr>
              <w:pStyle w:val="TableParagraph"/>
              <w:jc w:val="center"/>
            </w:pPr>
            <w:r w:rsidRPr="002A56B1">
              <w:t>1,13</w:t>
            </w:r>
          </w:p>
        </w:tc>
        <w:tc>
          <w:tcPr>
            <w:tcW w:w="2835" w:type="dxa"/>
          </w:tcPr>
          <w:p w14:paraId="13D9E6BC" w14:textId="77777777" w:rsidR="003B7027" w:rsidRPr="002A56B1" w:rsidRDefault="00296A74" w:rsidP="006E5F9A">
            <w:pPr>
              <w:pStyle w:val="TableParagraph"/>
              <w:jc w:val="center"/>
            </w:pPr>
            <w:r w:rsidRPr="002A56B1">
              <w:t>0,29*</w:t>
            </w:r>
          </w:p>
        </w:tc>
      </w:tr>
      <w:tr w:rsidR="003B7027" w:rsidRPr="00777B93" w14:paraId="39FBB0C3" w14:textId="77777777" w:rsidTr="00DE1F8E">
        <w:trPr>
          <w:trHeight w:val="251"/>
        </w:trPr>
        <w:tc>
          <w:tcPr>
            <w:tcW w:w="3243" w:type="dxa"/>
          </w:tcPr>
          <w:p w14:paraId="1BF7F476" w14:textId="77777777" w:rsidR="003B7027" w:rsidRPr="002A56B1" w:rsidRDefault="00296A74" w:rsidP="006E5F9A">
            <w:pPr>
              <w:pStyle w:val="TableParagraph"/>
            </w:pPr>
            <w:r w:rsidRPr="002A56B1">
              <w:t>Eroosioindeksi</w:t>
            </w:r>
          </w:p>
        </w:tc>
        <w:tc>
          <w:tcPr>
            <w:tcW w:w="2835" w:type="dxa"/>
          </w:tcPr>
          <w:p w14:paraId="126A1E79" w14:textId="77777777" w:rsidR="003B7027" w:rsidRPr="002A56B1" w:rsidRDefault="00296A74" w:rsidP="006E5F9A">
            <w:pPr>
              <w:pStyle w:val="TableParagraph"/>
              <w:jc w:val="center"/>
            </w:pPr>
            <w:r w:rsidRPr="002A56B1">
              <w:t>0,71</w:t>
            </w:r>
          </w:p>
        </w:tc>
        <w:tc>
          <w:tcPr>
            <w:tcW w:w="2835" w:type="dxa"/>
          </w:tcPr>
          <w:p w14:paraId="0C1FC600" w14:textId="77777777" w:rsidR="003B7027" w:rsidRPr="002A56B1" w:rsidRDefault="00296A74" w:rsidP="006E5F9A">
            <w:pPr>
              <w:pStyle w:val="TableParagraph"/>
              <w:jc w:val="center"/>
            </w:pPr>
            <w:r w:rsidRPr="002A56B1">
              <w:t>0,17*</w:t>
            </w:r>
          </w:p>
        </w:tc>
      </w:tr>
      <w:tr w:rsidR="003B7027" w:rsidRPr="00777B93" w14:paraId="5926D893" w14:textId="77777777" w:rsidTr="00DE1F8E">
        <w:trPr>
          <w:trHeight w:val="253"/>
        </w:trPr>
        <w:tc>
          <w:tcPr>
            <w:tcW w:w="3243" w:type="dxa"/>
          </w:tcPr>
          <w:p w14:paraId="07B8FC9D" w14:textId="77777777" w:rsidR="003B7027" w:rsidRPr="002A56B1" w:rsidRDefault="00296A74" w:rsidP="006E5F9A">
            <w:pPr>
              <w:pStyle w:val="TableParagraph"/>
            </w:pPr>
            <w:r w:rsidRPr="002A56B1">
              <w:t>Nivelraon kaventuminen</w:t>
            </w:r>
          </w:p>
        </w:tc>
        <w:tc>
          <w:tcPr>
            <w:tcW w:w="2835" w:type="dxa"/>
          </w:tcPr>
          <w:p w14:paraId="5EBFC95B" w14:textId="77777777" w:rsidR="003B7027" w:rsidRPr="002A56B1" w:rsidRDefault="00296A74" w:rsidP="006E5F9A">
            <w:pPr>
              <w:pStyle w:val="TableParagraph"/>
              <w:jc w:val="center"/>
            </w:pPr>
            <w:r w:rsidRPr="002A56B1">
              <w:t>0,42</w:t>
            </w:r>
          </w:p>
        </w:tc>
        <w:tc>
          <w:tcPr>
            <w:tcW w:w="2835" w:type="dxa"/>
          </w:tcPr>
          <w:p w14:paraId="7E9C9C58" w14:textId="77777777" w:rsidR="003B7027" w:rsidRPr="002A56B1" w:rsidRDefault="00296A74" w:rsidP="006E5F9A">
            <w:pPr>
              <w:pStyle w:val="TableParagraph"/>
              <w:jc w:val="center"/>
            </w:pPr>
            <w:r w:rsidRPr="002A56B1">
              <w:t>0,12**</w:t>
            </w:r>
          </w:p>
        </w:tc>
      </w:tr>
    </w:tbl>
    <w:p w14:paraId="424F5BF0" w14:textId="77777777" w:rsidR="003B7027" w:rsidRPr="0028514E" w:rsidRDefault="00296A74" w:rsidP="006E5F9A">
      <w:pPr>
        <w:rPr>
          <w:i/>
          <w:sz w:val="18"/>
        </w:rPr>
      </w:pPr>
      <w:r w:rsidRPr="0028514E">
        <w:rPr>
          <w:i/>
          <w:sz w:val="18"/>
        </w:rPr>
        <w:t>MTX</w:t>
      </w:r>
      <w:r w:rsidRPr="0028514E">
        <w:rPr>
          <w:i/>
          <w:sz w:val="18"/>
        </w:rPr>
        <w:tab/>
        <w:t xml:space="preserve">- </w:t>
      </w:r>
      <w:proofErr w:type="spellStart"/>
      <w:r w:rsidRPr="0028514E">
        <w:rPr>
          <w:i/>
          <w:sz w:val="18"/>
        </w:rPr>
        <w:t>metotreksaatti</w:t>
      </w:r>
      <w:proofErr w:type="spellEnd"/>
    </w:p>
    <w:p w14:paraId="7986EC89" w14:textId="77777777" w:rsidR="003B7027" w:rsidRPr="0028514E" w:rsidRDefault="00296A74" w:rsidP="006E5F9A">
      <w:pPr>
        <w:rPr>
          <w:i/>
          <w:sz w:val="18"/>
        </w:rPr>
      </w:pPr>
      <w:r w:rsidRPr="0028514E">
        <w:rPr>
          <w:i/>
          <w:sz w:val="18"/>
        </w:rPr>
        <w:t>TCZ</w:t>
      </w:r>
      <w:r w:rsidRPr="0028514E">
        <w:rPr>
          <w:i/>
          <w:sz w:val="18"/>
        </w:rPr>
        <w:tab/>
        <w:t xml:space="preserve">- </w:t>
      </w:r>
      <w:proofErr w:type="spellStart"/>
      <w:r w:rsidRPr="0028514E">
        <w:rPr>
          <w:i/>
          <w:sz w:val="18"/>
        </w:rPr>
        <w:t>tosilitsumabi</w:t>
      </w:r>
      <w:proofErr w:type="spellEnd"/>
    </w:p>
    <w:p w14:paraId="482D489E" w14:textId="77777777" w:rsidR="003B7027" w:rsidRPr="00CA43F5" w:rsidRDefault="00296A74" w:rsidP="006E5F9A">
      <w:pPr>
        <w:rPr>
          <w:i/>
          <w:sz w:val="18"/>
          <w:lang w:val="fi-FI"/>
        </w:rPr>
      </w:pPr>
      <w:r w:rsidRPr="00CA43F5">
        <w:rPr>
          <w:i/>
          <w:sz w:val="18"/>
          <w:lang w:val="fi-FI"/>
        </w:rPr>
        <w:t>*</w:t>
      </w:r>
      <w:r w:rsidRPr="00CA43F5">
        <w:rPr>
          <w:i/>
          <w:sz w:val="18"/>
          <w:lang w:val="fi-FI"/>
        </w:rPr>
        <w:tab/>
        <w:t xml:space="preserve">- p </w:t>
      </w:r>
      <w:r w:rsidRPr="00CA43F5">
        <w:rPr>
          <w:rFonts w:hint="eastAsia"/>
          <w:i/>
          <w:sz w:val="18"/>
          <w:lang w:val="fi-FI"/>
        </w:rPr>
        <w:t>≤</w:t>
      </w:r>
      <w:r w:rsidRPr="00CA43F5">
        <w:rPr>
          <w:i/>
          <w:sz w:val="18"/>
          <w:lang w:val="fi-FI"/>
        </w:rPr>
        <w:t xml:space="preserve"> 0,0001, kun tosilitsumabia verrattiin lumevalmisteen + MTX:n yhdistelmään.</w:t>
      </w:r>
    </w:p>
    <w:p w14:paraId="0C47B130" w14:textId="77777777" w:rsidR="003B7027" w:rsidRPr="00CA43F5" w:rsidRDefault="00296A74" w:rsidP="006E5F9A">
      <w:pPr>
        <w:rPr>
          <w:i/>
          <w:sz w:val="18"/>
          <w:lang w:val="fi-FI"/>
        </w:rPr>
      </w:pPr>
      <w:r w:rsidRPr="00CA43F5">
        <w:rPr>
          <w:i/>
          <w:sz w:val="18"/>
          <w:lang w:val="fi-FI"/>
        </w:rPr>
        <w:t>**</w:t>
      </w:r>
      <w:r w:rsidRPr="00CA43F5">
        <w:rPr>
          <w:i/>
          <w:sz w:val="18"/>
          <w:lang w:val="fi-FI"/>
        </w:rPr>
        <w:tab/>
        <w:t xml:space="preserve">- p </w:t>
      </w:r>
      <w:r w:rsidRPr="00CA43F5">
        <w:rPr>
          <w:rFonts w:hint="eastAsia"/>
          <w:i/>
          <w:sz w:val="18"/>
          <w:lang w:val="fi-FI"/>
        </w:rPr>
        <w:t>≤</w:t>
      </w:r>
      <w:r w:rsidRPr="00CA43F5">
        <w:rPr>
          <w:i/>
          <w:sz w:val="18"/>
          <w:lang w:val="fi-FI"/>
        </w:rPr>
        <w:t xml:space="preserve"> 0,005, kun tosilitsumabia verrattiin lumevalmisteen + MTX:n yhdistelmään.</w:t>
      </w:r>
    </w:p>
    <w:p w14:paraId="35654578" w14:textId="77777777" w:rsidR="003B7027" w:rsidRPr="0028514E" w:rsidRDefault="003B7027" w:rsidP="006E5F9A">
      <w:pPr>
        <w:pStyle w:val="a4"/>
        <w:ind w:left="0"/>
        <w:rPr>
          <w:i/>
          <w:sz w:val="18"/>
        </w:rPr>
      </w:pPr>
    </w:p>
    <w:p w14:paraId="0926EDEE" w14:textId="7A551AE8" w:rsidR="003B7027" w:rsidRPr="0028514E" w:rsidRDefault="00296A74" w:rsidP="006E5F9A">
      <w:pPr>
        <w:pStyle w:val="a4"/>
        <w:ind w:left="0"/>
      </w:pPr>
      <w:r w:rsidRPr="0028514E">
        <w:t xml:space="preserve">Vuoden kestäneen hoidon jälkeen </w:t>
      </w:r>
      <w:r w:rsidR="00C92F09">
        <w:t xml:space="preserve">tosilitsumabia </w:t>
      </w:r>
      <w:r w:rsidRPr="0028514E">
        <w:t>yhdessä MTX:n kanssa saaneista potilaista 85 %:lla (n</w:t>
      </w:r>
      <w:r w:rsidR="002D4BFB" w:rsidRPr="0028514E">
        <w:t xml:space="preserve"> </w:t>
      </w:r>
      <w:r w:rsidRPr="0028514E">
        <w:t>= 348) ei havaittu niveltuhon etenemistä Sharp-Genant-kokonaispistearvon muutoksena mitattuna (muutos 0 tai vähemmän). Vastaava tulos lumevalmistetta yhdessä MTX:n kanssa saaneilla potilailla</w:t>
      </w:r>
      <w:r w:rsidR="002D4BFB" w:rsidRPr="0028514E">
        <w:t xml:space="preserve"> </w:t>
      </w:r>
      <w:r w:rsidRPr="0028514E">
        <w:t>oli 67 % (n = 290) (p ≤ 0,001). Tulos säilyi samanlaisena kaksi vuotta kestäneen hoidon jälkeen (83 %; n = 353). Viikkojen 52 ja 104 välillä 93 %:lla potilaista (n= 271) ei havaittu niveltuhon etenemistä.</w:t>
      </w:r>
    </w:p>
    <w:p w14:paraId="35827510" w14:textId="77777777" w:rsidR="003B7027" w:rsidRPr="0028514E" w:rsidRDefault="003B7027" w:rsidP="006E5F9A">
      <w:pPr>
        <w:pStyle w:val="a4"/>
        <w:ind w:left="0"/>
      </w:pPr>
    </w:p>
    <w:p w14:paraId="68D1CA17" w14:textId="77777777" w:rsidR="003B7027" w:rsidRPr="00CA43F5" w:rsidRDefault="00296A74" w:rsidP="00C974BF">
      <w:pPr>
        <w:keepNext/>
        <w:rPr>
          <w:i/>
          <w:lang w:val="fi-FI"/>
        </w:rPr>
      </w:pPr>
      <w:r w:rsidRPr="00CA43F5">
        <w:rPr>
          <w:i/>
          <w:lang w:val="fi-FI"/>
        </w:rPr>
        <w:t>Terveydentilaa ja elämänlaatua kuvaavat tulokset</w:t>
      </w:r>
    </w:p>
    <w:p w14:paraId="5342C80B" w14:textId="1C3341D5" w:rsidR="003B7027" w:rsidRPr="0028514E" w:rsidRDefault="00296A74" w:rsidP="006E5F9A">
      <w:pPr>
        <w:pStyle w:val="a4"/>
        <w:ind w:left="0"/>
      </w:pPr>
      <w:r w:rsidRPr="0028514E">
        <w:t xml:space="preserve">Raportit </w:t>
      </w:r>
      <w:r w:rsidR="00E87550">
        <w:t>tosilitsumabi</w:t>
      </w:r>
      <w:r w:rsidRPr="0028514E">
        <w:t xml:space="preserve">hoitoa saaneilta potilailta osoittivat paranemista kaikissa potilaan arviointiin perustuvissa mittareissa (HAQ-DI = Health Assessment Questionnaire Disability Index, Sort Form - 36- ja FACIT = Functional Assessment of Chronic Illness Therapy -kyselylomakkeet). Fyysistä toimintakykyä mittaava HAQ-DI-tulos parani tilastollisesti merkitsevästi </w:t>
      </w:r>
      <w:r w:rsidR="00E87550">
        <w:t>tosilitsumabi</w:t>
      </w:r>
      <w:r w:rsidRPr="0028514E">
        <w:t xml:space="preserve">hoitoa saaneiden potilaiden ryhmässä DMARDeja saaneisiin potilaisiin verrattuna. Tutkimuksen II avoimessa vaiheessa havaittu parannus fyysisessä toimintakyvyssä säilyi jopa kahden vuoden ajan. Viikolla 52 keskimääräinen muutos HAQ-DI:ssä oli -0,58 niillä potilailla, jotka saivat </w:t>
      </w:r>
      <w:r w:rsidR="00E87550">
        <w:t xml:space="preserve">tosilitsumabia </w:t>
      </w:r>
      <w:r w:rsidRPr="0028514E">
        <w:t xml:space="preserve">8 mg/kg yhdessä MTX:n kanssa. Lumevalmistetta yhdessä MTX:n kanssa saaneilla potilailla vastaava tulos oli 0,39. Keskimääräinen muutos HAQ-DI:ssä säilyi viikon 104 loppuun asti </w:t>
      </w:r>
      <w:r w:rsidR="00E87550">
        <w:t xml:space="preserve">tosilitsumabia </w:t>
      </w:r>
      <w:r w:rsidRPr="0028514E">
        <w:t>8 mg/kg yhdessä MTX:n kanssa saaneilla potilailla (-0,61).</w:t>
      </w:r>
    </w:p>
    <w:p w14:paraId="44013938" w14:textId="77777777" w:rsidR="002D4BFB" w:rsidRPr="0028514E" w:rsidRDefault="002D4BFB" w:rsidP="006E5F9A">
      <w:pPr>
        <w:pStyle w:val="a4"/>
        <w:ind w:left="0"/>
      </w:pPr>
    </w:p>
    <w:p w14:paraId="7DFCF068" w14:textId="77777777" w:rsidR="003B7027" w:rsidRPr="00CA43F5" w:rsidRDefault="00296A74" w:rsidP="006E5F9A">
      <w:pPr>
        <w:rPr>
          <w:i/>
          <w:lang w:val="fi-FI"/>
        </w:rPr>
      </w:pPr>
      <w:r w:rsidRPr="00CA43F5">
        <w:rPr>
          <w:i/>
          <w:lang w:val="fi-FI"/>
        </w:rPr>
        <w:t>Hemoglobiiniarvot</w:t>
      </w:r>
    </w:p>
    <w:p w14:paraId="6B9FC887" w14:textId="75713B07" w:rsidR="003B7027" w:rsidRPr="0028514E" w:rsidRDefault="00E87550" w:rsidP="006E5F9A">
      <w:pPr>
        <w:pStyle w:val="a4"/>
        <w:ind w:left="0"/>
      </w:pPr>
      <w:r>
        <w:t>Tosilitsumabi</w:t>
      </w:r>
      <w:r w:rsidR="00296A74" w:rsidRPr="0028514E">
        <w:t>hoitoa saaneiden potilaiden hemoglobiiniarvot olivat parantuneet tilastollisesti merkitsevästi viikolla 24 verrattuna DMARDeja saaneiden potilaiden arvoihin (p &lt; 0.0001). Hemoglobiiniarvojen keskiarvot nousivat viikkoon kaksi mennessä ja pysyivät normaalialueella viikkoon 24 asti.</w:t>
      </w:r>
    </w:p>
    <w:p w14:paraId="6BDCE1E5" w14:textId="77777777" w:rsidR="002D4BFB" w:rsidRPr="0028514E" w:rsidRDefault="002D4BFB" w:rsidP="006E5F9A">
      <w:pPr>
        <w:pStyle w:val="a4"/>
        <w:ind w:left="0"/>
      </w:pPr>
    </w:p>
    <w:p w14:paraId="13D2FBF7" w14:textId="13F273A8" w:rsidR="003B7027" w:rsidRPr="00CA43F5" w:rsidRDefault="00E87550" w:rsidP="00D57B3C">
      <w:pPr>
        <w:keepNext/>
        <w:keepLines/>
        <w:rPr>
          <w:i/>
          <w:lang w:val="fi-FI"/>
        </w:rPr>
      </w:pPr>
      <w:r w:rsidRPr="00CA43F5">
        <w:rPr>
          <w:i/>
          <w:lang w:val="fi-FI"/>
        </w:rPr>
        <w:lastRenderedPageBreak/>
        <w:t xml:space="preserve">Tosilitsumabin </w:t>
      </w:r>
      <w:r w:rsidR="00296A74" w:rsidRPr="00CA43F5">
        <w:rPr>
          <w:i/>
          <w:lang w:val="fi-FI"/>
        </w:rPr>
        <w:t>vertailu adalimumabiin monoterapiassa</w:t>
      </w:r>
    </w:p>
    <w:p w14:paraId="2018EA41" w14:textId="27187253" w:rsidR="003B7027" w:rsidRPr="0028514E" w:rsidRDefault="00296A74" w:rsidP="006E5F9A">
      <w:pPr>
        <w:pStyle w:val="a4"/>
        <w:ind w:left="0"/>
      </w:pPr>
      <w:r w:rsidRPr="0028514E">
        <w:t xml:space="preserve">Tutkimuksessa VI (WA19924), joka oli 24 viikon pituinen kaksoissokkoutettu </w:t>
      </w:r>
      <w:r w:rsidR="00E87550">
        <w:t>tosilitsumabi</w:t>
      </w:r>
      <w:r w:rsidRPr="0028514E">
        <w:t xml:space="preserve">monoterapiaa ja adalimumabimonoterapiaa vertaileva tutkimus, oli mukana 326 nivelreumapotilasta, jotka eivät sietäneet MTX-hoitoa tai joille MTX-hoidon jatkamista ei katsottu tarkoituksenmukaiseksi (mukaan lukien potilaat, jotka eivät saaneet riittävää vastetta MTX-hoitoon). </w:t>
      </w:r>
      <w:r w:rsidR="00E87550">
        <w:t>Tosilitsumabi</w:t>
      </w:r>
      <w:r w:rsidRPr="0028514E">
        <w:t xml:space="preserve">ryhmän potilaat saivat </w:t>
      </w:r>
      <w:r w:rsidR="00E87550">
        <w:t>tosilitsumabia</w:t>
      </w:r>
      <w:r w:rsidR="00E87550" w:rsidRPr="0028514E" w:rsidDel="00E87550">
        <w:t xml:space="preserve"> </w:t>
      </w:r>
      <w:r w:rsidRPr="0028514E">
        <w:t>(8 mg/kg) infuusiona laskimoon (i.v.) neljän viikon välein ja lumevalmistetta ihon alle (s.c.) kahden viikon välein. Adalimumabiryhmän potilaat saivat adalimumabia (40 mg) injektiona ihon alle kahden viikon välein sekä lumevalmistetta infuusiona laskimoon neljän viikon välein.</w:t>
      </w:r>
    </w:p>
    <w:p w14:paraId="76DF89F0" w14:textId="77777777" w:rsidR="002D4BFB" w:rsidRPr="0028514E" w:rsidRDefault="002D4BFB" w:rsidP="006E5F9A">
      <w:pPr>
        <w:pStyle w:val="a4"/>
        <w:ind w:left="0"/>
      </w:pPr>
    </w:p>
    <w:p w14:paraId="78BBC394" w14:textId="6FE6A2FB" w:rsidR="003B7027" w:rsidRPr="0028514E" w:rsidRDefault="00E87550" w:rsidP="006E5F9A">
      <w:pPr>
        <w:pStyle w:val="a4"/>
        <w:ind w:left="0"/>
      </w:pPr>
      <w:r>
        <w:t>Tosilitsumabi</w:t>
      </w:r>
      <w:r w:rsidR="00296A74" w:rsidRPr="0028514E">
        <w:t>hoidon osoitettiin olevan adalimumabia tilastollisesti merkitsevästi tehokkaampi tautiaktiivisuuden hallinnassa sekä ensisijaisen päätetapahtuman osalta (DAS28-indeksin muutos lähtötilanteesta viikolle 24) että kaikkien toissijaisten päätetapahtumien osalta (taulukko 7).</w:t>
      </w:r>
    </w:p>
    <w:p w14:paraId="564B0DA9" w14:textId="77777777" w:rsidR="003B7027" w:rsidRPr="0028514E" w:rsidRDefault="003B7027" w:rsidP="006E5F9A">
      <w:pPr>
        <w:pStyle w:val="a4"/>
        <w:ind w:left="0"/>
      </w:pPr>
    </w:p>
    <w:p w14:paraId="1857E0D7" w14:textId="77777777" w:rsidR="003B7027" w:rsidRPr="00CA43F5" w:rsidRDefault="00296A74" w:rsidP="002A56B1">
      <w:pPr>
        <w:pStyle w:val="Tabletitle"/>
        <w:rPr>
          <w:lang w:val="fi-FI"/>
        </w:rPr>
      </w:pPr>
      <w:r w:rsidRPr="00CA43F5">
        <w:rPr>
          <w:lang w:val="fi-FI"/>
        </w:rPr>
        <w:t>Taulukko 7.</w:t>
      </w:r>
      <w:r w:rsidR="002D4BFB" w:rsidRPr="00CA43F5">
        <w:rPr>
          <w:lang w:val="fi-FI"/>
        </w:rPr>
        <w:tab/>
      </w:r>
      <w:r w:rsidRPr="00CA43F5">
        <w:rPr>
          <w:lang w:val="fi-FI"/>
        </w:rPr>
        <w:t>Tutkimuksen VI (WA19924) tehon tulokset</w:t>
      </w:r>
    </w:p>
    <w:p w14:paraId="7E5966C7" w14:textId="77777777" w:rsidR="002D4BFB" w:rsidRPr="00CA43F5" w:rsidRDefault="002D4BFB" w:rsidP="002A56B1">
      <w:pPr>
        <w:rPr>
          <w:lang w:val="fi-FI"/>
        </w:rPr>
      </w:pPr>
    </w:p>
    <w:tbl>
      <w:tblPr>
        <w:tblW w:w="5000" w:type="pct"/>
        <w:tblInd w:w="113" w:type="dxa"/>
        <w:tblLayout w:type="fixed"/>
        <w:tblCellMar>
          <w:top w:w="29" w:type="dxa"/>
          <w:bottom w:w="29" w:type="dxa"/>
        </w:tblCellMar>
        <w:tblLook w:val="01E0" w:firstRow="1" w:lastRow="1" w:firstColumn="1" w:lastColumn="1" w:noHBand="0" w:noVBand="0"/>
      </w:tblPr>
      <w:tblGrid>
        <w:gridCol w:w="3567"/>
        <w:gridCol w:w="21"/>
        <w:gridCol w:w="1811"/>
        <w:gridCol w:w="14"/>
        <w:gridCol w:w="1819"/>
        <w:gridCol w:w="6"/>
        <w:gridCol w:w="1826"/>
      </w:tblGrid>
      <w:tr w:rsidR="002D4BFB" w:rsidRPr="00777B93" w14:paraId="4A1B8930" w14:textId="77777777" w:rsidTr="00DE1F8E">
        <w:trPr>
          <w:trHeight w:val="20"/>
        </w:trPr>
        <w:tc>
          <w:tcPr>
            <w:tcW w:w="3600" w:type="dxa"/>
            <w:gridSpan w:val="2"/>
            <w:tcBorders>
              <w:top w:val="single" w:sz="8" w:space="0" w:color="000000"/>
              <w:left w:val="single" w:sz="4" w:space="0" w:color="000000"/>
              <w:bottom w:val="single" w:sz="8" w:space="0" w:color="000000"/>
              <w:right w:val="single" w:sz="4" w:space="0" w:color="auto"/>
            </w:tcBorders>
          </w:tcPr>
          <w:p w14:paraId="46C8D5DB" w14:textId="77777777" w:rsidR="002D4BFB" w:rsidRPr="0028514E" w:rsidRDefault="002D4BFB" w:rsidP="006E5F9A">
            <w:pPr>
              <w:pStyle w:val="TableParagraph"/>
              <w:rPr>
                <w:b/>
              </w:rPr>
            </w:pPr>
          </w:p>
        </w:tc>
        <w:tc>
          <w:tcPr>
            <w:tcW w:w="1830" w:type="dxa"/>
            <w:gridSpan w:val="2"/>
            <w:tcBorders>
              <w:top w:val="single" w:sz="4" w:space="0" w:color="auto"/>
              <w:left w:val="single" w:sz="4" w:space="0" w:color="auto"/>
              <w:bottom w:val="single" w:sz="4" w:space="0" w:color="auto"/>
              <w:right w:val="single" w:sz="4" w:space="0" w:color="auto"/>
            </w:tcBorders>
            <w:vAlign w:val="bottom"/>
          </w:tcPr>
          <w:p w14:paraId="21C10C40" w14:textId="77777777" w:rsidR="002D4BFB" w:rsidRPr="0028514E" w:rsidRDefault="002D4BFB" w:rsidP="006E5F9A">
            <w:pPr>
              <w:pStyle w:val="TableParagraph"/>
              <w:jc w:val="center"/>
              <w:rPr>
                <w:b/>
              </w:rPr>
            </w:pPr>
            <w:r w:rsidRPr="0028514E">
              <w:rPr>
                <w:b/>
              </w:rPr>
              <w:t>ADA + lume (i.v.) N = 162</w:t>
            </w:r>
          </w:p>
        </w:tc>
        <w:tc>
          <w:tcPr>
            <w:tcW w:w="1830" w:type="dxa"/>
            <w:gridSpan w:val="2"/>
            <w:tcBorders>
              <w:top w:val="single" w:sz="4" w:space="0" w:color="auto"/>
              <w:left w:val="single" w:sz="4" w:space="0" w:color="auto"/>
              <w:bottom w:val="single" w:sz="4" w:space="0" w:color="auto"/>
              <w:right w:val="single" w:sz="4" w:space="0" w:color="auto"/>
            </w:tcBorders>
            <w:vAlign w:val="bottom"/>
          </w:tcPr>
          <w:p w14:paraId="05FFB6FD" w14:textId="77777777" w:rsidR="002D4BFB" w:rsidRPr="0028514E" w:rsidRDefault="002D4BFB" w:rsidP="006E5F9A">
            <w:pPr>
              <w:pStyle w:val="TableParagraph"/>
              <w:jc w:val="center"/>
              <w:rPr>
                <w:b/>
              </w:rPr>
            </w:pPr>
            <w:r w:rsidRPr="0028514E">
              <w:rPr>
                <w:b/>
              </w:rPr>
              <w:t>TCZ + lume (s.c.) N = 163</w:t>
            </w:r>
          </w:p>
        </w:tc>
        <w:tc>
          <w:tcPr>
            <w:tcW w:w="1830" w:type="dxa"/>
            <w:tcBorders>
              <w:top w:val="single" w:sz="4" w:space="0" w:color="auto"/>
              <w:left w:val="single" w:sz="4" w:space="0" w:color="auto"/>
              <w:bottom w:val="single" w:sz="4" w:space="0" w:color="auto"/>
              <w:right w:val="single" w:sz="4" w:space="0" w:color="auto"/>
            </w:tcBorders>
            <w:vAlign w:val="bottom"/>
          </w:tcPr>
          <w:p w14:paraId="3E1BC32E" w14:textId="77777777" w:rsidR="002D4BFB" w:rsidRPr="0028514E" w:rsidRDefault="002D4BFB" w:rsidP="006E5F9A">
            <w:pPr>
              <w:pStyle w:val="TableParagraph"/>
              <w:jc w:val="center"/>
              <w:rPr>
                <w:b/>
                <w:bCs/>
              </w:rPr>
            </w:pPr>
            <w:r w:rsidRPr="0028514E">
              <w:rPr>
                <w:b/>
                <w:bCs/>
              </w:rPr>
              <w:t>p-arvo</w:t>
            </w:r>
            <w:r w:rsidRPr="0028514E">
              <w:rPr>
                <w:b/>
                <w:bCs/>
                <w:vertAlign w:val="superscript"/>
              </w:rPr>
              <w:t>(a)</w:t>
            </w:r>
          </w:p>
        </w:tc>
      </w:tr>
      <w:tr w:rsidR="003B7027" w:rsidRPr="00ED6BAC" w14:paraId="24B6D1A0" w14:textId="77777777" w:rsidTr="00DE1F8E">
        <w:trPr>
          <w:trHeight w:val="20"/>
        </w:trPr>
        <w:tc>
          <w:tcPr>
            <w:tcW w:w="9090" w:type="dxa"/>
            <w:gridSpan w:val="7"/>
            <w:tcBorders>
              <w:top w:val="single" w:sz="8" w:space="0" w:color="000000"/>
              <w:left w:val="single" w:sz="4" w:space="0" w:color="000000"/>
              <w:bottom w:val="single" w:sz="4" w:space="0" w:color="000000"/>
              <w:right w:val="single" w:sz="8" w:space="0" w:color="000000"/>
            </w:tcBorders>
            <w:vAlign w:val="center"/>
          </w:tcPr>
          <w:p w14:paraId="1D6AC93C" w14:textId="77777777" w:rsidR="003B7027" w:rsidRPr="0028514E" w:rsidRDefault="00296A74" w:rsidP="006E5F9A">
            <w:pPr>
              <w:pStyle w:val="TableParagraph"/>
              <w:rPr>
                <w:b/>
              </w:rPr>
            </w:pPr>
            <w:r w:rsidRPr="0028514E">
              <w:rPr>
                <w:b/>
              </w:rPr>
              <w:t>Ensisijainen päätetapahtuma: keskimuutos lähtötilanteesta viikkoon 24</w:t>
            </w:r>
          </w:p>
        </w:tc>
      </w:tr>
      <w:tr w:rsidR="003B7027" w:rsidRPr="00777B93" w14:paraId="6BBF80A8" w14:textId="77777777" w:rsidTr="00DE1F8E">
        <w:trPr>
          <w:trHeight w:val="20"/>
        </w:trPr>
        <w:tc>
          <w:tcPr>
            <w:tcW w:w="3579" w:type="dxa"/>
            <w:tcBorders>
              <w:top w:val="single" w:sz="4" w:space="0" w:color="000000"/>
              <w:left w:val="single" w:sz="4" w:space="0" w:color="000000"/>
              <w:bottom w:val="single" w:sz="4" w:space="0" w:color="auto"/>
              <w:right w:val="single" w:sz="4" w:space="0" w:color="auto"/>
            </w:tcBorders>
          </w:tcPr>
          <w:p w14:paraId="14949DE7" w14:textId="77777777" w:rsidR="003B7027" w:rsidRPr="0028514E" w:rsidRDefault="00296A74" w:rsidP="006E5F9A">
            <w:pPr>
              <w:pStyle w:val="TableParagraph"/>
              <w:jc w:val="right"/>
              <w:rPr>
                <w:bCs/>
              </w:rPr>
            </w:pPr>
            <w:r w:rsidRPr="0028514E">
              <w:rPr>
                <w:bCs/>
              </w:rPr>
              <w:t>DAS28 (korjattu keskiarvo)</w:t>
            </w:r>
          </w:p>
        </w:tc>
        <w:tc>
          <w:tcPr>
            <w:tcW w:w="1837" w:type="dxa"/>
            <w:gridSpan w:val="2"/>
            <w:tcBorders>
              <w:top w:val="single" w:sz="4" w:space="0" w:color="auto"/>
              <w:left w:val="single" w:sz="4" w:space="0" w:color="auto"/>
              <w:bottom w:val="single" w:sz="4" w:space="0" w:color="auto"/>
              <w:right w:val="single" w:sz="4" w:space="0" w:color="auto"/>
            </w:tcBorders>
            <w:vAlign w:val="center"/>
          </w:tcPr>
          <w:p w14:paraId="247A51EE" w14:textId="77777777" w:rsidR="003B7027" w:rsidRPr="00F13020" w:rsidRDefault="00296A74" w:rsidP="006E5F9A">
            <w:pPr>
              <w:pStyle w:val="TableParagraph"/>
              <w:jc w:val="center"/>
              <w:rPr>
                <w:bCs/>
              </w:rPr>
            </w:pPr>
            <w:r w:rsidRPr="00F13020">
              <w:rPr>
                <w:bCs/>
              </w:rPr>
              <w:t>-1,8</w:t>
            </w:r>
          </w:p>
        </w:tc>
        <w:tc>
          <w:tcPr>
            <w:tcW w:w="1837" w:type="dxa"/>
            <w:gridSpan w:val="2"/>
            <w:tcBorders>
              <w:top w:val="single" w:sz="4" w:space="0" w:color="auto"/>
              <w:left w:val="single" w:sz="4" w:space="0" w:color="auto"/>
              <w:bottom w:val="single" w:sz="4" w:space="0" w:color="auto"/>
              <w:right w:val="single" w:sz="4" w:space="0" w:color="auto"/>
            </w:tcBorders>
            <w:vAlign w:val="center"/>
          </w:tcPr>
          <w:p w14:paraId="03A5D4FB" w14:textId="77777777" w:rsidR="003B7027" w:rsidRPr="00F13020" w:rsidRDefault="00296A74" w:rsidP="006E5F9A">
            <w:pPr>
              <w:pStyle w:val="TableParagraph"/>
              <w:jc w:val="center"/>
              <w:rPr>
                <w:bCs/>
              </w:rPr>
            </w:pPr>
            <w:r w:rsidRPr="00F13020">
              <w:rPr>
                <w:bCs/>
              </w:rPr>
              <w:t>-3,3</w:t>
            </w:r>
          </w:p>
        </w:tc>
        <w:tc>
          <w:tcPr>
            <w:tcW w:w="1837" w:type="dxa"/>
            <w:gridSpan w:val="2"/>
            <w:tcBorders>
              <w:top w:val="single" w:sz="4" w:space="0" w:color="auto"/>
              <w:left w:val="single" w:sz="4" w:space="0" w:color="auto"/>
              <w:bottom w:val="single" w:sz="4" w:space="0" w:color="auto"/>
              <w:right w:val="single" w:sz="4" w:space="0" w:color="auto"/>
            </w:tcBorders>
            <w:vAlign w:val="center"/>
          </w:tcPr>
          <w:p w14:paraId="0BE85988" w14:textId="77777777" w:rsidR="003B7027" w:rsidRPr="00F13020" w:rsidRDefault="003B7027" w:rsidP="006E5F9A">
            <w:pPr>
              <w:pStyle w:val="TableParagraph"/>
              <w:jc w:val="center"/>
              <w:rPr>
                <w:bCs/>
              </w:rPr>
            </w:pPr>
          </w:p>
        </w:tc>
      </w:tr>
      <w:tr w:rsidR="003B7027" w:rsidRPr="00777B93" w14:paraId="3400422A" w14:textId="77777777" w:rsidTr="00DE1F8E">
        <w:trPr>
          <w:trHeight w:val="20"/>
        </w:trPr>
        <w:tc>
          <w:tcPr>
            <w:tcW w:w="3579" w:type="dxa"/>
            <w:tcBorders>
              <w:top w:val="single" w:sz="4" w:space="0" w:color="auto"/>
              <w:left w:val="single" w:sz="4" w:space="0" w:color="000000"/>
              <w:bottom w:val="single" w:sz="4" w:space="0" w:color="000000"/>
              <w:right w:val="single" w:sz="4" w:space="0" w:color="auto"/>
            </w:tcBorders>
          </w:tcPr>
          <w:p w14:paraId="2CB7AD76" w14:textId="77777777" w:rsidR="003B7027" w:rsidRPr="0028514E" w:rsidRDefault="00296A74" w:rsidP="006E5F9A">
            <w:pPr>
              <w:pStyle w:val="TableParagraph"/>
              <w:jc w:val="right"/>
              <w:rPr>
                <w:bCs/>
              </w:rPr>
            </w:pPr>
            <w:r w:rsidRPr="0028514E">
              <w:rPr>
                <w:bCs/>
              </w:rPr>
              <w:t>Korjatun keskiarvon ero (95 %:n</w:t>
            </w:r>
            <w:r w:rsidR="002D4BFB" w:rsidRPr="0028514E">
              <w:rPr>
                <w:bCs/>
              </w:rPr>
              <w:t xml:space="preserve"> </w:t>
            </w:r>
            <w:r w:rsidRPr="0028514E">
              <w:rPr>
                <w:bCs/>
              </w:rPr>
              <w:t>luottamusväli)</w:t>
            </w:r>
          </w:p>
        </w:tc>
        <w:tc>
          <w:tcPr>
            <w:tcW w:w="3675" w:type="dxa"/>
            <w:gridSpan w:val="4"/>
            <w:tcBorders>
              <w:top w:val="single" w:sz="4" w:space="0" w:color="auto"/>
              <w:left w:val="single" w:sz="4" w:space="0" w:color="auto"/>
              <w:bottom w:val="single" w:sz="4" w:space="0" w:color="auto"/>
              <w:right w:val="single" w:sz="4" w:space="0" w:color="auto"/>
            </w:tcBorders>
          </w:tcPr>
          <w:p w14:paraId="1D86483C" w14:textId="77777777" w:rsidR="003B7027" w:rsidRPr="00F13020" w:rsidRDefault="00296A74" w:rsidP="006E5F9A">
            <w:pPr>
              <w:pStyle w:val="TableParagraph"/>
              <w:jc w:val="center"/>
              <w:rPr>
                <w:bCs/>
              </w:rPr>
            </w:pPr>
            <w:r w:rsidRPr="00F13020">
              <w:rPr>
                <w:bCs/>
              </w:rPr>
              <w:t>-1,5 (-1,8, -1,1)</w:t>
            </w:r>
          </w:p>
        </w:tc>
        <w:tc>
          <w:tcPr>
            <w:tcW w:w="1836" w:type="dxa"/>
            <w:gridSpan w:val="2"/>
            <w:tcBorders>
              <w:top w:val="single" w:sz="4" w:space="0" w:color="auto"/>
              <w:left w:val="single" w:sz="4" w:space="0" w:color="auto"/>
              <w:bottom w:val="single" w:sz="4" w:space="0" w:color="auto"/>
              <w:right w:val="single" w:sz="4" w:space="0" w:color="auto"/>
            </w:tcBorders>
          </w:tcPr>
          <w:p w14:paraId="438DDA66" w14:textId="77777777" w:rsidR="003B7027" w:rsidRPr="00F13020" w:rsidRDefault="00296A74" w:rsidP="006E5F9A">
            <w:pPr>
              <w:pStyle w:val="TableParagraph"/>
              <w:jc w:val="center"/>
              <w:rPr>
                <w:bCs/>
              </w:rPr>
            </w:pPr>
            <w:r w:rsidRPr="00F13020">
              <w:rPr>
                <w:bCs/>
              </w:rPr>
              <w:t>&lt; 0,0001</w:t>
            </w:r>
          </w:p>
        </w:tc>
      </w:tr>
      <w:tr w:rsidR="003B7027" w:rsidRPr="00ED6BAC" w14:paraId="07DBDD03" w14:textId="77777777" w:rsidTr="00DE1F8E">
        <w:trPr>
          <w:trHeight w:val="20"/>
        </w:trPr>
        <w:tc>
          <w:tcPr>
            <w:tcW w:w="9090" w:type="dxa"/>
            <w:gridSpan w:val="7"/>
            <w:tcBorders>
              <w:top w:val="single" w:sz="4" w:space="0" w:color="000000"/>
              <w:left w:val="single" w:sz="4" w:space="0" w:color="000000"/>
              <w:bottom w:val="single" w:sz="4" w:space="0" w:color="auto"/>
              <w:right w:val="single" w:sz="8" w:space="0" w:color="000000"/>
            </w:tcBorders>
            <w:vAlign w:val="center"/>
          </w:tcPr>
          <w:p w14:paraId="08F70733" w14:textId="77777777" w:rsidR="003B7027" w:rsidRPr="0028514E" w:rsidRDefault="00296A74" w:rsidP="006E5F9A">
            <w:pPr>
              <w:pStyle w:val="TableParagraph"/>
              <w:rPr>
                <w:b/>
              </w:rPr>
            </w:pPr>
            <w:r w:rsidRPr="0028514E">
              <w:rPr>
                <w:b/>
              </w:rPr>
              <w:t xml:space="preserve">Toissijaiset päätetapahtumat: vasteen saaneiden prosenttiosuus viikolla 24 </w:t>
            </w:r>
            <w:r w:rsidRPr="0028514E">
              <w:rPr>
                <w:b/>
                <w:vertAlign w:val="superscript"/>
              </w:rPr>
              <w:t>(b)</w:t>
            </w:r>
          </w:p>
        </w:tc>
      </w:tr>
      <w:tr w:rsidR="003B7027" w:rsidRPr="00777B93" w14:paraId="0A5AF06B" w14:textId="77777777" w:rsidTr="00DE1F8E">
        <w:trPr>
          <w:trHeight w:val="20"/>
        </w:trPr>
        <w:tc>
          <w:tcPr>
            <w:tcW w:w="3579" w:type="dxa"/>
            <w:tcBorders>
              <w:top w:val="single" w:sz="4" w:space="0" w:color="auto"/>
              <w:left w:val="single" w:sz="4" w:space="0" w:color="auto"/>
              <w:bottom w:val="single" w:sz="4" w:space="0" w:color="auto"/>
              <w:right w:val="single" w:sz="4" w:space="0" w:color="auto"/>
            </w:tcBorders>
          </w:tcPr>
          <w:p w14:paraId="18BA7962" w14:textId="77777777" w:rsidR="003B7027" w:rsidRPr="0028514E" w:rsidRDefault="00296A74" w:rsidP="006E5F9A">
            <w:pPr>
              <w:pStyle w:val="TableParagraph"/>
              <w:jc w:val="right"/>
            </w:pPr>
            <w:r w:rsidRPr="0028514E">
              <w:t>DAS28 &lt; 2,6, n (%)</w:t>
            </w:r>
          </w:p>
        </w:tc>
        <w:tc>
          <w:tcPr>
            <w:tcW w:w="1837" w:type="dxa"/>
            <w:gridSpan w:val="2"/>
            <w:tcBorders>
              <w:top w:val="single" w:sz="4" w:space="0" w:color="auto"/>
              <w:left w:val="single" w:sz="4" w:space="0" w:color="auto"/>
              <w:bottom w:val="single" w:sz="4" w:space="0" w:color="auto"/>
              <w:right w:val="single" w:sz="4" w:space="0" w:color="auto"/>
            </w:tcBorders>
          </w:tcPr>
          <w:p w14:paraId="44CF6E68" w14:textId="77777777" w:rsidR="003B7027" w:rsidRPr="0028514E" w:rsidRDefault="00296A74" w:rsidP="006E5F9A">
            <w:pPr>
              <w:pStyle w:val="TableParagraph"/>
              <w:jc w:val="center"/>
            </w:pPr>
            <w:r w:rsidRPr="0028514E">
              <w:t>17 (10,5)</w:t>
            </w:r>
          </w:p>
        </w:tc>
        <w:tc>
          <w:tcPr>
            <w:tcW w:w="1837" w:type="dxa"/>
            <w:gridSpan w:val="2"/>
            <w:tcBorders>
              <w:top w:val="single" w:sz="4" w:space="0" w:color="auto"/>
              <w:left w:val="single" w:sz="4" w:space="0" w:color="auto"/>
              <w:bottom w:val="single" w:sz="4" w:space="0" w:color="auto"/>
              <w:right w:val="single" w:sz="4" w:space="0" w:color="auto"/>
            </w:tcBorders>
          </w:tcPr>
          <w:p w14:paraId="64CB6265" w14:textId="77777777" w:rsidR="003B7027" w:rsidRPr="0028514E" w:rsidRDefault="00296A74" w:rsidP="006E5F9A">
            <w:pPr>
              <w:pStyle w:val="TableParagraph"/>
              <w:jc w:val="center"/>
            </w:pPr>
            <w:r w:rsidRPr="0028514E">
              <w:t>65 (39,9)</w:t>
            </w:r>
          </w:p>
        </w:tc>
        <w:tc>
          <w:tcPr>
            <w:tcW w:w="1837" w:type="dxa"/>
            <w:gridSpan w:val="2"/>
            <w:tcBorders>
              <w:top w:val="single" w:sz="4" w:space="0" w:color="auto"/>
              <w:left w:val="single" w:sz="4" w:space="0" w:color="auto"/>
              <w:bottom w:val="single" w:sz="4" w:space="0" w:color="auto"/>
              <w:right w:val="single" w:sz="4" w:space="0" w:color="auto"/>
            </w:tcBorders>
          </w:tcPr>
          <w:p w14:paraId="698ABBFE" w14:textId="77777777" w:rsidR="003B7027" w:rsidRPr="0028514E" w:rsidRDefault="00296A74" w:rsidP="006E5F9A">
            <w:pPr>
              <w:pStyle w:val="TableParagraph"/>
              <w:jc w:val="center"/>
            </w:pPr>
            <w:r w:rsidRPr="0028514E">
              <w:t>&lt; 0,0001</w:t>
            </w:r>
          </w:p>
        </w:tc>
      </w:tr>
      <w:tr w:rsidR="003B7027" w:rsidRPr="00777B93" w14:paraId="0DD988C2" w14:textId="77777777" w:rsidTr="00DE1F8E">
        <w:trPr>
          <w:trHeight w:val="20"/>
        </w:trPr>
        <w:tc>
          <w:tcPr>
            <w:tcW w:w="3579" w:type="dxa"/>
            <w:tcBorders>
              <w:top w:val="single" w:sz="4" w:space="0" w:color="auto"/>
              <w:left w:val="single" w:sz="4" w:space="0" w:color="auto"/>
              <w:bottom w:val="single" w:sz="4" w:space="0" w:color="auto"/>
              <w:right w:val="single" w:sz="4" w:space="0" w:color="auto"/>
            </w:tcBorders>
          </w:tcPr>
          <w:p w14:paraId="5DC5F6FC" w14:textId="77777777" w:rsidR="003B7027" w:rsidRPr="0028514E" w:rsidRDefault="00296A74" w:rsidP="006E5F9A">
            <w:pPr>
              <w:pStyle w:val="TableParagraph"/>
              <w:jc w:val="right"/>
            </w:pPr>
            <w:r w:rsidRPr="0028514E">
              <w:t>DAS28 ≤ 3,2, n (%)</w:t>
            </w:r>
          </w:p>
        </w:tc>
        <w:tc>
          <w:tcPr>
            <w:tcW w:w="1837" w:type="dxa"/>
            <w:gridSpan w:val="2"/>
            <w:tcBorders>
              <w:top w:val="single" w:sz="4" w:space="0" w:color="auto"/>
              <w:left w:val="single" w:sz="4" w:space="0" w:color="auto"/>
              <w:bottom w:val="single" w:sz="4" w:space="0" w:color="auto"/>
              <w:right w:val="single" w:sz="4" w:space="0" w:color="auto"/>
            </w:tcBorders>
          </w:tcPr>
          <w:p w14:paraId="0EA111A5" w14:textId="77777777" w:rsidR="003B7027" w:rsidRPr="0028514E" w:rsidRDefault="00296A74" w:rsidP="006E5F9A">
            <w:pPr>
              <w:pStyle w:val="TableParagraph"/>
              <w:jc w:val="center"/>
            </w:pPr>
            <w:r w:rsidRPr="0028514E">
              <w:t>32 (19,8)</w:t>
            </w:r>
          </w:p>
        </w:tc>
        <w:tc>
          <w:tcPr>
            <w:tcW w:w="1837" w:type="dxa"/>
            <w:gridSpan w:val="2"/>
            <w:tcBorders>
              <w:top w:val="single" w:sz="4" w:space="0" w:color="auto"/>
              <w:left w:val="single" w:sz="4" w:space="0" w:color="auto"/>
              <w:bottom w:val="single" w:sz="4" w:space="0" w:color="auto"/>
              <w:right w:val="single" w:sz="4" w:space="0" w:color="auto"/>
            </w:tcBorders>
          </w:tcPr>
          <w:p w14:paraId="542E903A" w14:textId="77777777" w:rsidR="003B7027" w:rsidRPr="0028514E" w:rsidRDefault="00296A74" w:rsidP="006E5F9A">
            <w:pPr>
              <w:pStyle w:val="TableParagraph"/>
              <w:jc w:val="center"/>
            </w:pPr>
            <w:r w:rsidRPr="0028514E">
              <w:t>84 (51,5)</w:t>
            </w:r>
          </w:p>
        </w:tc>
        <w:tc>
          <w:tcPr>
            <w:tcW w:w="1837" w:type="dxa"/>
            <w:gridSpan w:val="2"/>
            <w:tcBorders>
              <w:top w:val="single" w:sz="4" w:space="0" w:color="auto"/>
              <w:left w:val="single" w:sz="4" w:space="0" w:color="auto"/>
              <w:bottom w:val="single" w:sz="4" w:space="0" w:color="auto"/>
              <w:right w:val="single" w:sz="4" w:space="0" w:color="auto"/>
            </w:tcBorders>
          </w:tcPr>
          <w:p w14:paraId="195FDE22" w14:textId="77777777" w:rsidR="003B7027" w:rsidRPr="0028514E" w:rsidRDefault="00296A74" w:rsidP="006E5F9A">
            <w:pPr>
              <w:pStyle w:val="TableParagraph"/>
              <w:jc w:val="center"/>
            </w:pPr>
            <w:r w:rsidRPr="0028514E">
              <w:t>&lt; 0,0001</w:t>
            </w:r>
          </w:p>
        </w:tc>
      </w:tr>
      <w:tr w:rsidR="003B7027" w:rsidRPr="00777B93" w14:paraId="09DC6989" w14:textId="77777777" w:rsidTr="00DE1F8E">
        <w:trPr>
          <w:trHeight w:val="20"/>
        </w:trPr>
        <w:tc>
          <w:tcPr>
            <w:tcW w:w="3579" w:type="dxa"/>
            <w:tcBorders>
              <w:top w:val="single" w:sz="4" w:space="0" w:color="auto"/>
              <w:left w:val="single" w:sz="4" w:space="0" w:color="auto"/>
              <w:bottom w:val="single" w:sz="4" w:space="0" w:color="auto"/>
              <w:right w:val="single" w:sz="4" w:space="0" w:color="auto"/>
            </w:tcBorders>
          </w:tcPr>
          <w:p w14:paraId="6D603C1C" w14:textId="77777777" w:rsidR="003B7027" w:rsidRPr="0028514E" w:rsidRDefault="00296A74" w:rsidP="006E5F9A">
            <w:pPr>
              <w:pStyle w:val="TableParagraph"/>
              <w:jc w:val="right"/>
            </w:pPr>
            <w:r w:rsidRPr="0028514E">
              <w:t>ACR20-vaste, n (%)</w:t>
            </w:r>
          </w:p>
        </w:tc>
        <w:tc>
          <w:tcPr>
            <w:tcW w:w="1837" w:type="dxa"/>
            <w:gridSpan w:val="2"/>
            <w:tcBorders>
              <w:top w:val="single" w:sz="4" w:space="0" w:color="auto"/>
              <w:left w:val="single" w:sz="4" w:space="0" w:color="auto"/>
              <w:bottom w:val="single" w:sz="4" w:space="0" w:color="auto"/>
              <w:right w:val="single" w:sz="4" w:space="0" w:color="auto"/>
            </w:tcBorders>
          </w:tcPr>
          <w:p w14:paraId="1FEF02DF" w14:textId="77777777" w:rsidR="003B7027" w:rsidRPr="0028514E" w:rsidRDefault="00296A74" w:rsidP="006E5F9A">
            <w:pPr>
              <w:pStyle w:val="TableParagraph"/>
              <w:jc w:val="center"/>
            </w:pPr>
            <w:r w:rsidRPr="0028514E">
              <w:t>80 (49,4)</w:t>
            </w:r>
          </w:p>
        </w:tc>
        <w:tc>
          <w:tcPr>
            <w:tcW w:w="1837" w:type="dxa"/>
            <w:gridSpan w:val="2"/>
            <w:tcBorders>
              <w:top w:val="single" w:sz="4" w:space="0" w:color="auto"/>
              <w:left w:val="single" w:sz="4" w:space="0" w:color="auto"/>
              <w:bottom w:val="single" w:sz="4" w:space="0" w:color="auto"/>
              <w:right w:val="single" w:sz="4" w:space="0" w:color="auto"/>
            </w:tcBorders>
          </w:tcPr>
          <w:p w14:paraId="2F4DF2DD" w14:textId="77777777" w:rsidR="003B7027" w:rsidRPr="0028514E" w:rsidRDefault="00296A74" w:rsidP="006E5F9A">
            <w:pPr>
              <w:pStyle w:val="TableParagraph"/>
              <w:jc w:val="center"/>
            </w:pPr>
            <w:r w:rsidRPr="0028514E">
              <w:t>106 (65,0)</w:t>
            </w:r>
          </w:p>
        </w:tc>
        <w:tc>
          <w:tcPr>
            <w:tcW w:w="1837" w:type="dxa"/>
            <w:gridSpan w:val="2"/>
            <w:tcBorders>
              <w:top w:val="single" w:sz="4" w:space="0" w:color="auto"/>
              <w:left w:val="single" w:sz="4" w:space="0" w:color="auto"/>
              <w:bottom w:val="single" w:sz="4" w:space="0" w:color="auto"/>
              <w:right w:val="single" w:sz="4" w:space="0" w:color="auto"/>
            </w:tcBorders>
          </w:tcPr>
          <w:p w14:paraId="5C6AD78F" w14:textId="77777777" w:rsidR="003B7027" w:rsidRPr="0028514E" w:rsidRDefault="00296A74" w:rsidP="006E5F9A">
            <w:pPr>
              <w:pStyle w:val="TableParagraph"/>
              <w:jc w:val="center"/>
            </w:pPr>
            <w:r w:rsidRPr="0028514E">
              <w:t>0,0038</w:t>
            </w:r>
          </w:p>
        </w:tc>
      </w:tr>
      <w:tr w:rsidR="003B7027" w:rsidRPr="00777B93" w14:paraId="3A2F4798" w14:textId="77777777" w:rsidTr="00DE1F8E">
        <w:trPr>
          <w:trHeight w:val="20"/>
        </w:trPr>
        <w:tc>
          <w:tcPr>
            <w:tcW w:w="3579" w:type="dxa"/>
            <w:tcBorders>
              <w:top w:val="single" w:sz="4" w:space="0" w:color="auto"/>
              <w:left w:val="single" w:sz="4" w:space="0" w:color="auto"/>
              <w:bottom w:val="single" w:sz="4" w:space="0" w:color="auto"/>
              <w:right w:val="single" w:sz="4" w:space="0" w:color="auto"/>
            </w:tcBorders>
          </w:tcPr>
          <w:p w14:paraId="67C9656A" w14:textId="77777777" w:rsidR="003B7027" w:rsidRPr="0028514E" w:rsidRDefault="00296A74" w:rsidP="006E5F9A">
            <w:pPr>
              <w:pStyle w:val="TableParagraph"/>
              <w:jc w:val="right"/>
            </w:pPr>
            <w:r w:rsidRPr="0028514E">
              <w:t>ACR50-vaste, n (%)</w:t>
            </w:r>
          </w:p>
        </w:tc>
        <w:tc>
          <w:tcPr>
            <w:tcW w:w="1837" w:type="dxa"/>
            <w:gridSpan w:val="2"/>
            <w:tcBorders>
              <w:top w:val="single" w:sz="4" w:space="0" w:color="auto"/>
              <w:left w:val="single" w:sz="4" w:space="0" w:color="auto"/>
              <w:bottom w:val="single" w:sz="4" w:space="0" w:color="auto"/>
              <w:right w:val="single" w:sz="4" w:space="0" w:color="auto"/>
            </w:tcBorders>
          </w:tcPr>
          <w:p w14:paraId="344479A3" w14:textId="77777777" w:rsidR="003B7027" w:rsidRPr="0028514E" w:rsidRDefault="00296A74" w:rsidP="006E5F9A">
            <w:pPr>
              <w:pStyle w:val="TableParagraph"/>
              <w:jc w:val="center"/>
            </w:pPr>
            <w:r w:rsidRPr="0028514E">
              <w:t>45 (27,8)</w:t>
            </w:r>
          </w:p>
        </w:tc>
        <w:tc>
          <w:tcPr>
            <w:tcW w:w="1837" w:type="dxa"/>
            <w:gridSpan w:val="2"/>
            <w:tcBorders>
              <w:top w:val="single" w:sz="4" w:space="0" w:color="auto"/>
              <w:left w:val="single" w:sz="4" w:space="0" w:color="auto"/>
              <w:bottom w:val="single" w:sz="4" w:space="0" w:color="auto"/>
              <w:right w:val="single" w:sz="4" w:space="0" w:color="auto"/>
            </w:tcBorders>
          </w:tcPr>
          <w:p w14:paraId="41FB2BCB" w14:textId="77777777" w:rsidR="003B7027" w:rsidRPr="0028514E" w:rsidRDefault="00296A74" w:rsidP="006E5F9A">
            <w:pPr>
              <w:pStyle w:val="TableParagraph"/>
              <w:jc w:val="center"/>
            </w:pPr>
            <w:r w:rsidRPr="0028514E">
              <w:t>77 (47,2)</w:t>
            </w:r>
          </w:p>
        </w:tc>
        <w:tc>
          <w:tcPr>
            <w:tcW w:w="1837" w:type="dxa"/>
            <w:gridSpan w:val="2"/>
            <w:tcBorders>
              <w:top w:val="single" w:sz="4" w:space="0" w:color="auto"/>
              <w:left w:val="single" w:sz="4" w:space="0" w:color="auto"/>
              <w:bottom w:val="single" w:sz="4" w:space="0" w:color="auto"/>
              <w:right w:val="single" w:sz="4" w:space="0" w:color="auto"/>
            </w:tcBorders>
          </w:tcPr>
          <w:p w14:paraId="5BCBF2D2" w14:textId="77777777" w:rsidR="003B7027" w:rsidRPr="0028514E" w:rsidRDefault="00296A74" w:rsidP="006E5F9A">
            <w:pPr>
              <w:pStyle w:val="TableParagraph"/>
              <w:jc w:val="center"/>
            </w:pPr>
            <w:r w:rsidRPr="0028514E">
              <w:t>0,0002</w:t>
            </w:r>
          </w:p>
        </w:tc>
      </w:tr>
      <w:tr w:rsidR="003B7027" w:rsidRPr="00777B93" w14:paraId="6FCAD83D" w14:textId="77777777" w:rsidTr="00DE1F8E">
        <w:trPr>
          <w:trHeight w:val="20"/>
        </w:trPr>
        <w:tc>
          <w:tcPr>
            <w:tcW w:w="3579" w:type="dxa"/>
            <w:tcBorders>
              <w:top w:val="single" w:sz="4" w:space="0" w:color="auto"/>
              <w:left w:val="single" w:sz="4" w:space="0" w:color="auto"/>
              <w:bottom w:val="single" w:sz="4" w:space="0" w:color="auto"/>
              <w:right w:val="single" w:sz="4" w:space="0" w:color="auto"/>
            </w:tcBorders>
          </w:tcPr>
          <w:p w14:paraId="42DA5BE0" w14:textId="77777777" w:rsidR="003B7027" w:rsidRPr="0028514E" w:rsidRDefault="00296A74" w:rsidP="006E5F9A">
            <w:pPr>
              <w:pStyle w:val="TableParagraph"/>
              <w:jc w:val="right"/>
            </w:pPr>
            <w:r w:rsidRPr="0028514E">
              <w:t>ACR70-vaste, n (%)</w:t>
            </w:r>
          </w:p>
        </w:tc>
        <w:tc>
          <w:tcPr>
            <w:tcW w:w="1837" w:type="dxa"/>
            <w:gridSpan w:val="2"/>
            <w:tcBorders>
              <w:top w:val="single" w:sz="4" w:space="0" w:color="auto"/>
              <w:left w:val="single" w:sz="4" w:space="0" w:color="auto"/>
              <w:bottom w:val="single" w:sz="4" w:space="0" w:color="auto"/>
              <w:right w:val="single" w:sz="4" w:space="0" w:color="auto"/>
            </w:tcBorders>
          </w:tcPr>
          <w:p w14:paraId="4E03690E" w14:textId="77777777" w:rsidR="003B7027" w:rsidRPr="0028514E" w:rsidRDefault="00296A74" w:rsidP="006E5F9A">
            <w:pPr>
              <w:pStyle w:val="TableParagraph"/>
              <w:jc w:val="center"/>
            </w:pPr>
            <w:r w:rsidRPr="0028514E">
              <w:t>29 (17,9)</w:t>
            </w:r>
          </w:p>
        </w:tc>
        <w:tc>
          <w:tcPr>
            <w:tcW w:w="1837" w:type="dxa"/>
            <w:gridSpan w:val="2"/>
            <w:tcBorders>
              <w:top w:val="single" w:sz="4" w:space="0" w:color="auto"/>
              <w:left w:val="single" w:sz="4" w:space="0" w:color="auto"/>
              <w:bottom w:val="single" w:sz="4" w:space="0" w:color="auto"/>
              <w:right w:val="single" w:sz="4" w:space="0" w:color="auto"/>
            </w:tcBorders>
          </w:tcPr>
          <w:p w14:paraId="73E21F44" w14:textId="77777777" w:rsidR="003B7027" w:rsidRPr="0028514E" w:rsidRDefault="00296A74" w:rsidP="006E5F9A">
            <w:pPr>
              <w:pStyle w:val="TableParagraph"/>
              <w:jc w:val="center"/>
            </w:pPr>
            <w:r w:rsidRPr="0028514E">
              <w:t>53 (32,5)</w:t>
            </w:r>
          </w:p>
        </w:tc>
        <w:tc>
          <w:tcPr>
            <w:tcW w:w="1837" w:type="dxa"/>
            <w:gridSpan w:val="2"/>
            <w:tcBorders>
              <w:top w:val="single" w:sz="4" w:space="0" w:color="auto"/>
              <w:left w:val="single" w:sz="4" w:space="0" w:color="auto"/>
              <w:bottom w:val="single" w:sz="4" w:space="0" w:color="auto"/>
              <w:right w:val="single" w:sz="4" w:space="0" w:color="auto"/>
            </w:tcBorders>
          </w:tcPr>
          <w:p w14:paraId="44D66418" w14:textId="77777777" w:rsidR="003B7027" w:rsidRPr="0028514E" w:rsidRDefault="00296A74" w:rsidP="006E5F9A">
            <w:pPr>
              <w:pStyle w:val="TableParagraph"/>
              <w:jc w:val="center"/>
            </w:pPr>
            <w:r w:rsidRPr="0028514E">
              <w:t>0,0023</w:t>
            </w:r>
          </w:p>
        </w:tc>
      </w:tr>
    </w:tbl>
    <w:p w14:paraId="53D68F19" w14:textId="77777777" w:rsidR="003B7027" w:rsidRPr="00CA43F5" w:rsidRDefault="00296A74" w:rsidP="006E5F9A">
      <w:pPr>
        <w:rPr>
          <w:i/>
          <w:sz w:val="18"/>
          <w:szCs w:val="24"/>
          <w:lang w:val="fi-FI"/>
        </w:rPr>
      </w:pPr>
      <w:r w:rsidRPr="00CA43F5">
        <w:rPr>
          <w:i/>
          <w:sz w:val="18"/>
          <w:szCs w:val="24"/>
          <w:vertAlign w:val="superscript"/>
          <w:lang w:val="fi-FI"/>
        </w:rPr>
        <w:t>a</w:t>
      </w:r>
      <w:r w:rsidR="00F13020" w:rsidRPr="00CA43F5">
        <w:rPr>
          <w:i/>
          <w:sz w:val="18"/>
          <w:szCs w:val="24"/>
          <w:vertAlign w:val="superscript"/>
          <w:lang w:val="fi-FI"/>
        </w:rPr>
        <w:t xml:space="preserve"> </w:t>
      </w:r>
      <w:r w:rsidRPr="00CA43F5">
        <w:rPr>
          <w:i/>
          <w:sz w:val="18"/>
          <w:szCs w:val="24"/>
          <w:lang w:val="fi-FI"/>
        </w:rPr>
        <w:t>p-arvo on korjattu potilaiden maantieteellisen sijainnin ja nivelreuman kestoajan suhteen kaikkien päätetapahtumien osalta sekä lisäksi kaikkien jatkuvien päätetapahtumien lähtötilanteen arvon osalta.</w:t>
      </w:r>
    </w:p>
    <w:p w14:paraId="693CA47F" w14:textId="77777777" w:rsidR="003B7027" w:rsidRPr="00CA43F5" w:rsidRDefault="00296A74" w:rsidP="006E5F9A">
      <w:pPr>
        <w:rPr>
          <w:i/>
          <w:sz w:val="18"/>
          <w:szCs w:val="24"/>
          <w:lang w:val="fi-FI"/>
        </w:rPr>
      </w:pPr>
      <w:r w:rsidRPr="00CA43F5">
        <w:rPr>
          <w:i/>
          <w:sz w:val="18"/>
          <w:szCs w:val="24"/>
          <w:vertAlign w:val="superscript"/>
          <w:lang w:val="fi-FI"/>
        </w:rPr>
        <w:t>b</w:t>
      </w:r>
      <w:r w:rsidRPr="00CA43F5">
        <w:rPr>
          <w:i/>
          <w:sz w:val="18"/>
          <w:szCs w:val="24"/>
          <w:lang w:val="fi-FI"/>
        </w:rPr>
        <w:t xml:space="preserve"> Hoitoon vastaamattomien potilaiden puuttuvien tietojen paikkaus. Monivertailun hallintaan käytetty Bonferroni-Holmin menetelmää</w:t>
      </w:r>
    </w:p>
    <w:p w14:paraId="567F83FC" w14:textId="77777777" w:rsidR="002D4BFB" w:rsidRPr="00CA43F5" w:rsidRDefault="002D4BFB" w:rsidP="006E5F9A">
      <w:pPr>
        <w:rPr>
          <w:i/>
          <w:sz w:val="16"/>
          <w:lang w:val="fi-FI"/>
        </w:rPr>
      </w:pPr>
    </w:p>
    <w:p w14:paraId="74F7514E" w14:textId="4F32EEC6" w:rsidR="003B7027" w:rsidRPr="0028514E" w:rsidRDefault="00E87550" w:rsidP="006E5F9A">
      <w:pPr>
        <w:pStyle w:val="a4"/>
        <w:ind w:left="0"/>
      </w:pPr>
      <w:r>
        <w:t>Tosilitsumabin</w:t>
      </w:r>
      <w:r w:rsidR="00296A74" w:rsidRPr="0028514E">
        <w:t xml:space="preserve"> ja adalimumabin kliiniset haittatapahtumaprofiilit olivat yleisesti ottaen samankaltaiset. Niiden potilaiden osuus, joilla esiintyi vakavia haittatapahtumia, oli samankaltainen kummassakin hoitoryhmässä (</w:t>
      </w:r>
      <w:r>
        <w:t xml:space="preserve">tosilitsumabi </w:t>
      </w:r>
      <w:r w:rsidR="00296A74" w:rsidRPr="0028514E">
        <w:t xml:space="preserve">11,7 % vs. adalimumabi 9,9 %). </w:t>
      </w:r>
      <w:r>
        <w:t>Tosilitsumabi</w:t>
      </w:r>
      <w:r w:rsidR="00296A74" w:rsidRPr="0028514E">
        <w:t xml:space="preserve">haarassa havaitut haittavaikutukset olivat luonteeltaan yhdenmukaisia </w:t>
      </w:r>
      <w:r>
        <w:t xml:space="preserve">tosilitsumabin </w:t>
      </w:r>
      <w:r w:rsidR="00296A74" w:rsidRPr="0028514E">
        <w:t xml:space="preserve">tunnetun turvallisuusprofiilin kanssa ja ne ilmenivät vastaavalla frekvenssillä kuin taulukossa 1 luetellut haittavaikukset. Infektioita ja infestaatioita ilmeni enemmän </w:t>
      </w:r>
      <w:r>
        <w:t>tosilitsumabi</w:t>
      </w:r>
      <w:r w:rsidR="00296A74" w:rsidRPr="0028514E">
        <w:t xml:space="preserve">haarassa (48 % vs. 42 %), vakavien infektioiden ilmaantuvuus oli samanlainen (3,1 %). Kumpikin tutkimushoito aiheutti samantyyppisiä turvallisuuteen liittyvien laboratorioarvojen muutoksia (neutrofiili- ja trombosyyttimäärän vähenemistä, ALAT- ja ASAT- sekä lipidiarvojen suurenemista), mutta muutosten suuruus ja huomattavien poikkeavuuksien esiintymistiheys oli </w:t>
      </w:r>
      <w:r>
        <w:t>tosilitsumabi</w:t>
      </w:r>
      <w:r w:rsidR="00296A74" w:rsidRPr="0028514E">
        <w:t xml:space="preserve">ryhmässä suurempi kuin adalimumabiryhmässä. Neljällä (2,5 %) potilaalla </w:t>
      </w:r>
      <w:r>
        <w:t>tosilitsumabi</w:t>
      </w:r>
      <w:r w:rsidR="00296A74" w:rsidRPr="0028514E">
        <w:t xml:space="preserve">ryhmässä ja kahdella (1,2 %) potilaalla adalimumabiryhmässä esiintyi CTC-luokituksen mukaista gradus 3 tai 4 neutrofiilimäärän vähenemistä. Yhdellätoista (6,8 %) potilaalla </w:t>
      </w:r>
      <w:r>
        <w:t>tosilitsumabi</w:t>
      </w:r>
      <w:r w:rsidR="00296A74" w:rsidRPr="0028514E">
        <w:t xml:space="preserve">ryhmässä ja viidellä (3,1 %) potilaalla adalimumabiryhmässä esiintyi CTC-luokituksen mukaista gradus 2 tai vaikeampiasteista ALAT-arvon suurenemista. LDL-arvo suureni lähtötilanteesta </w:t>
      </w:r>
      <w:r>
        <w:t>tosilitsumabi</w:t>
      </w:r>
      <w:r w:rsidR="00296A74" w:rsidRPr="0028514E">
        <w:t>ryhmässä keskimäärin 0,64 mmol/l</w:t>
      </w:r>
      <w:r w:rsidR="002D4BFB" w:rsidRPr="0028514E">
        <w:t xml:space="preserve"> </w:t>
      </w:r>
      <w:r w:rsidR="00296A74" w:rsidRPr="0028514E">
        <w:t xml:space="preserve">(25 mg/dl) ja adalimumabiryhmässä 0,19 mmol/l (7 mg/dl). Turvallisuuden havaittiin olleen tosilitsumabiryhmässä yhdenmukainen </w:t>
      </w:r>
      <w:r>
        <w:t xml:space="preserve">tosilitsumabin </w:t>
      </w:r>
      <w:r w:rsidR="00296A74" w:rsidRPr="0028514E">
        <w:t>tunnetun turvallisuusprofiilin kanssa eikä uusia tai odottamattomia haittavaikutuksia havaittu (ks. taulukko 1).</w:t>
      </w:r>
    </w:p>
    <w:p w14:paraId="4EF719B7" w14:textId="77777777" w:rsidR="003B7027" w:rsidRPr="0028514E" w:rsidRDefault="003B7027" w:rsidP="006E5F9A">
      <w:pPr>
        <w:pStyle w:val="a4"/>
        <w:ind w:left="0"/>
      </w:pPr>
    </w:p>
    <w:p w14:paraId="78A26F66" w14:textId="77777777" w:rsidR="003B7027" w:rsidRPr="0028514E" w:rsidRDefault="00296A74" w:rsidP="00D57B3C">
      <w:pPr>
        <w:pStyle w:val="2"/>
        <w:keepNext/>
        <w:keepLines/>
        <w:ind w:left="562" w:hanging="562"/>
      </w:pPr>
      <w:r w:rsidRPr="0028514E">
        <w:t>5.2</w:t>
      </w:r>
      <w:r w:rsidRPr="0028514E">
        <w:tab/>
        <w:t>Farmakokinetiikka</w:t>
      </w:r>
    </w:p>
    <w:p w14:paraId="0A9887CE" w14:textId="77777777" w:rsidR="002D4BFB" w:rsidRPr="0028514E" w:rsidRDefault="002D4BFB" w:rsidP="001C1F69"/>
    <w:p w14:paraId="189EA51B" w14:textId="2E4E22B5" w:rsidR="003B7027" w:rsidRPr="0028514E" w:rsidRDefault="00E87550" w:rsidP="006E5F9A">
      <w:pPr>
        <w:pStyle w:val="a4"/>
        <w:ind w:left="0"/>
      </w:pPr>
      <w:r>
        <w:lastRenderedPageBreak/>
        <w:t xml:space="preserve">Tosilitsumabin </w:t>
      </w:r>
      <w:r w:rsidR="00296A74" w:rsidRPr="0028514E">
        <w:t xml:space="preserve">farmakokinetiikalle tyypillistä on epälineaarinen eliminaatio, joka on lineaarisen puhdistuman ja Michaelis-Mentenin eliminaation yhdistelmä. </w:t>
      </w:r>
      <w:r>
        <w:t xml:space="preserve">Tosilitsumabin </w:t>
      </w:r>
      <w:r w:rsidR="00296A74" w:rsidRPr="0028514E">
        <w:t xml:space="preserve">eliminaation epälineaarinen osuus johtaa altistuksen lisääntymiseen enemmän kuin suhteessa annokseen. </w:t>
      </w:r>
      <w:r>
        <w:t xml:space="preserve">Tosilitsumabin </w:t>
      </w:r>
      <w:r w:rsidR="00296A74" w:rsidRPr="0028514E">
        <w:t xml:space="preserve">farmakokineettiset parametrit eivät muutu ajan mittaan. Koska kokonaispuhdistuma on riippuvainen </w:t>
      </w:r>
      <w:r>
        <w:t xml:space="preserve">tosilitsumabin </w:t>
      </w:r>
      <w:r w:rsidR="00296A74" w:rsidRPr="0028514E">
        <w:t xml:space="preserve">pitoisuudesta seerumissa, myös </w:t>
      </w:r>
      <w:r>
        <w:t xml:space="preserve">tosilitsumabin </w:t>
      </w:r>
      <w:r w:rsidR="00296A74" w:rsidRPr="0028514E">
        <w:t>puoliintumisaika on pitoisuudesta riippuvainen ja vaihtelee seerumissa olevan pitoisuuden mukaan. Minkään tähän mennessä testatun potilasjoukon populaatiofarmakokineettiset analyysit eivät osoita, että näennäisen puhdistuman ja vasta-aineiden esiintymisen lääkkeelle välillä olisi suhde.</w:t>
      </w:r>
    </w:p>
    <w:p w14:paraId="1930CA4A" w14:textId="77777777" w:rsidR="003B7027" w:rsidRPr="0028514E" w:rsidRDefault="003B7027" w:rsidP="006E5F9A">
      <w:pPr>
        <w:pStyle w:val="a4"/>
        <w:ind w:left="0"/>
      </w:pPr>
    </w:p>
    <w:p w14:paraId="7FCD2550" w14:textId="77777777" w:rsidR="002D4BFB" w:rsidRPr="0028514E" w:rsidRDefault="00296A74" w:rsidP="006E5F9A">
      <w:pPr>
        <w:pStyle w:val="a4"/>
        <w:ind w:left="0"/>
      </w:pPr>
      <w:r w:rsidRPr="0028514E">
        <w:rPr>
          <w:u w:val="single"/>
        </w:rPr>
        <w:t>Nivelreuma</w:t>
      </w:r>
    </w:p>
    <w:p w14:paraId="7C1D633F" w14:textId="77777777" w:rsidR="003B7027" w:rsidRPr="0028514E" w:rsidRDefault="00296A74" w:rsidP="006E5F9A">
      <w:pPr>
        <w:pStyle w:val="a4"/>
        <w:ind w:left="0"/>
      </w:pPr>
      <w:r w:rsidRPr="0028514E">
        <w:rPr>
          <w:u w:val="single"/>
        </w:rPr>
        <w:t>Laskimonsisäinen annostelu</w:t>
      </w:r>
    </w:p>
    <w:p w14:paraId="0E756B64" w14:textId="4F56E84C" w:rsidR="003B7027" w:rsidRPr="0028514E" w:rsidRDefault="00E87550" w:rsidP="006E5F9A">
      <w:pPr>
        <w:pStyle w:val="a4"/>
        <w:ind w:left="0"/>
      </w:pPr>
      <w:r>
        <w:t xml:space="preserve">Tosilitsumabin </w:t>
      </w:r>
      <w:r w:rsidR="00296A74" w:rsidRPr="0028514E">
        <w:t>farmakokinetiikka määritettiin populaatiofarmakokineettisellä analyysillä</w:t>
      </w:r>
      <w:r w:rsidR="002D4BFB" w:rsidRPr="0028514E">
        <w:t xml:space="preserve"> </w:t>
      </w:r>
      <w:r w:rsidR="00296A74" w:rsidRPr="0028514E">
        <w:t xml:space="preserve">3552 nivelreumapotilaan tietokannasta. Potilaat saivat </w:t>
      </w:r>
      <w:r>
        <w:t xml:space="preserve">tosilitsumabia </w:t>
      </w:r>
      <w:r w:rsidR="00296A74" w:rsidRPr="0028514E">
        <w:t>4 mg/kg tai 8 mg/kg tunnin kestävänä infuusiona neljän viikon välein 24 viikon ajan, tai 162 mg ihon alle joko kerran viikossa tai kerran kahdessa viikossa 24 viikon ajan.</w:t>
      </w:r>
    </w:p>
    <w:p w14:paraId="49A58669" w14:textId="77777777" w:rsidR="003B7027" w:rsidRPr="0028514E" w:rsidRDefault="003B7027" w:rsidP="006E5F9A">
      <w:pPr>
        <w:pStyle w:val="a4"/>
        <w:ind w:left="0"/>
      </w:pPr>
    </w:p>
    <w:p w14:paraId="6E2254FD" w14:textId="5D1608DF" w:rsidR="003B7027" w:rsidRPr="00AC1401" w:rsidRDefault="00296A74" w:rsidP="006E5F9A">
      <w:pPr>
        <w:pStyle w:val="a4"/>
        <w:ind w:left="0"/>
      </w:pPr>
      <w:r w:rsidRPr="00AC1401">
        <w:t xml:space="preserve">Seuraavat parametrit (odotettu keskiarvo ± SD) arvioitiin </w:t>
      </w:r>
      <w:r w:rsidR="00E87550">
        <w:t>tosilitsumabi</w:t>
      </w:r>
      <w:r w:rsidRPr="00AC1401">
        <w:t>annokselle 8 mg/kg, joka annettiin neljän viikon välein: vakaan tilan AUC = 38000 ± 13000 h•µg/ml, minimipitoisuus (C</w:t>
      </w:r>
      <w:r w:rsidRPr="00AC1401">
        <w:rPr>
          <w:vertAlign w:val="subscript"/>
        </w:rPr>
        <w:t>min</w:t>
      </w:r>
      <w:r w:rsidRPr="00AC1401">
        <w:t>) = 15,9 ± 13,1 μg/ml ja maksimipitoisuus (C</w:t>
      </w:r>
      <w:r w:rsidRPr="00AC1401">
        <w:rPr>
          <w:vertAlign w:val="subscript"/>
        </w:rPr>
        <w:t>max</w:t>
      </w:r>
      <w:r w:rsidRPr="00AC1401">
        <w:t>) = 182 ± 50,4 µg/ml. AUC- ja C</w:t>
      </w:r>
      <w:r w:rsidRPr="00AC1401">
        <w:rPr>
          <w:vertAlign w:val="subscript"/>
        </w:rPr>
        <w:t>max</w:t>
      </w:r>
      <w:r w:rsidRPr="00AC1401">
        <w:t>-arvojen kumulaatiosuhteet olivat pienet: AUC 1,32 ja C</w:t>
      </w:r>
      <w:r w:rsidRPr="00AC1401">
        <w:rPr>
          <w:vertAlign w:val="subscript"/>
        </w:rPr>
        <w:t>max</w:t>
      </w:r>
      <w:r w:rsidRPr="00AC1401">
        <w:t xml:space="preserve"> 1,09. Kumulaatiosuhde oli suurempi C</w:t>
      </w:r>
      <w:r w:rsidRPr="00AC1401">
        <w:rPr>
          <w:vertAlign w:val="subscript"/>
        </w:rPr>
        <w:t>min</w:t>
      </w:r>
      <w:r w:rsidRPr="00AC1401">
        <w:t>-arvojen osalta (2,49), mikä oli odotettua johtuen epälineaarisesta puhdistumasta alhaisilla pitoisuustasoilla.</w:t>
      </w:r>
      <w:r w:rsidR="002D4BFB" w:rsidRPr="00AC1401">
        <w:t xml:space="preserve"> </w:t>
      </w:r>
      <w:r w:rsidRPr="00AC1401">
        <w:t>C</w:t>
      </w:r>
      <w:r w:rsidRPr="00AC1401">
        <w:rPr>
          <w:vertAlign w:val="subscript"/>
        </w:rPr>
        <w:t>max</w:t>
      </w:r>
      <w:r w:rsidRPr="00AC1401">
        <w:t>-arvon osalta vakaa tila saavutettiin ensimmäisen annoksen jälkeen, AUC:n osalta 8 viikon kuluttua ja C</w:t>
      </w:r>
      <w:r w:rsidRPr="00AC1401">
        <w:rPr>
          <w:vertAlign w:val="subscript"/>
        </w:rPr>
        <w:t>min</w:t>
      </w:r>
      <w:r w:rsidRPr="00AC1401">
        <w:t xml:space="preserve">-arvon osalta 20 viikon kuluttua. </w:t>
      </w:r>
      <w:r w:rsidR="00E87550">
        <w:t xml:space="preserve">Tosilitsumabin </w:t>
      </w:r>
      <w:r w:rsidRPr="00AC1401">
        <w:t>AUC-, C</w:t>
      </w:r>
      <w:r w:rsidRPr="00AC1401">
        <w:rPr>
          <w:vertAlign w:val="subscript"/>
        </w:rPr>
        <w:t>min</w:t>
      </w:r>
      <w:r w:rsidRPr="00AC1401">
        <w:t>- ja C</w:t>
      </w:r>
      <w:r w:rsidRPr="00AC1401">
        <w:rPr>
          <w:vertAlign w:val="subscript"/>
        </w:rPr>
        <w:t>max</w:t>
      </w:r>
      <w:r w:rsidRPr="00AC1401">
        <w:t xml:space="preserve">-arvot nousivat potilaan painon mukaan. Jos potilas painoi 100 kg tai enemmän, </w:t>
      </w:r>
      <w:r w:rsidR="00E87550">
        <w:t xml:space="preserve">tosilitsumabin </w:t>
      </w:r>
      <w:r w:rsidRPr="00AC1401">
        <w:t>vakaan tilan AUC-arvo (odotettu keskiarvo ± SD) oli 50000 ± 16800 μg•h/ml, C</w:t>
      </w:r>
      <w:r w:rsidRPr="00AC1401">
        <w:rPr>
          <w:vertAlign w:val="subscript"/>
        </w:rPr>
        <w:t>min</w:t>
      </w:r>
      <w:r w:rsidRPr="00AC1401">
        <w:t>-arvo 24,4 ± 17,5 μg/ml, ja C</w:t>
      </w:r>
      <w:r w:rsidRPr="00AC1401">
        <w:rPr>
          <w:vertAlign w:val="subscript"/>
        </w:rPr>
        <w:t>max</w:t>
      </w:r>
      <w:r w:rsidRPr="00AC1401">
        <w:t>-arvo</w:t>
      </w:r>
      <w:r w:rsidR="002D4BFB" w:rsidRPr="00AC1401">
        <w:t xml:space="preserve"> </w:t>
      </w:r>
      <w:r w:rsidRPr="00AC1401">
        <w:t xml:space="preserve">226 ± 50,3 μg/ml. Arvot ovat korkeammat kuin edellä analysoidun potilaspopulaation keskimääräiset arvot (ts. kaikki painoryhmät). Tosilitsumabin annosvastekäyrä tasaantuu suuremmilla altistuksilla siten, että lisäykset </w:t>
      </w:r>
      <w:r w:rsidR="00E87550">
        <w:t xml:space="preserve">tosilitsumabin </w:t>
      </w:r>
      <w:r w:rsidRPr="00AC1401">
        <w:t>pitoisuudessa eivät samassa suhteessa anna lisähyötyä tehossa.</w:t>
      </w:r>
      <w:r w:rsidR="002D4BFB" w:rsidRPr="00AC1401">
        <w:t xml:space="preserve"> </w:t>
      </w:r>
      <w:r w:rsidRPr="00AC1401">
        <w:t xml:space="preserve">Kliinisesti merkittävää parannusta tehossa ei havaittu potilailla, joita hoidettiin yli 800 mg:n </w:t>
      </w:r>
      <w:r w:rsidR="00E87550">
        <w:t>tosilitsumabi</w:t>
      </w:r>
      <w:r w:rsidRPr="00AC1401">
        <w:t xml:space="preserve">annoksilla. Siksi ei suositella </w:t>
      </w:r>
      <w:r w:rsidR="00E87550">
        <w:t xml:space="preserve">tosilitsumabin </w:t>
      </w:r>
      <w:r w:rsidRPr="00AC1401">
        <w:t>kerta-annoksia, jotka ylittävät 800 mg (ks. kohta 4.2).</w:t>
      </w:r>
    </w:p>
    <w:p w14:paraId="36236EDD" w14:textId="77777777" w:rsidR="002D4BFB" w:rsidRPr="00AC1401" w:rsidRDefault="002D4BFB" w:rsidP="006E5F9A">
      <w:pPr>
        <w:pStyle w:val="a4"/>
        <w:ind w:left="0"/>
      </w:pPr>
    </w:p>
    <w:p w14:paraId="0860DEFE" w14:textId="77777777" w:rsidR="003B7027" w:rsidRPr="0028514E" w:rsidRDefault="00296A74" w:rsidP="002A56B1">
      <w:pPr>
        <w:pStyle w:val="a4"/>
        <w:ind w:left="0"/>
      </w:pPr>
      <w:r w:rsidRPr="0028514E">
        <w:rPr>
          <w:u w:val="single"/>
        </w:rPr>
        <w:t>Jakautuminen</w:t>
      </w:r>
    </w:p>
    <w:p w14:paraId="07576D6D" w14:textId="77777777" w:rsidR="003B7027" w:rsidRPr="0028514E" w:rsidRDefault="00296A74" w:rsidP="002A56B1">
      <w:pPr>
        <w:pStyle w:val="a4"/>
        <w:ind w:left="0"/>
      </w:pPr>
      <w:r w:rsidRPr="0028514E">
        <w:t>Nivelreumapotilailla sentraalinen jakautumistilavuus oli 3,72 l ja perifeerinen jakautumistilavuus 3,35 l, joten jakautumistilavuus oli vakaan tilan aikana 7,07 l.</w:t>
      </w:r>
    </w:p>
    <w:p w14:paraId="400D9616" w14:textId="77777777" w:rsidR="002D4BFB" w:rsidRPr="0028514E" w:rsidRDefault="002D4BFB" w:rsidP="002A56B1">
      <w:pPr>
        <w:pStyle w:val="a4"/>
        <w:ind w:left="0"/>
      </w:pPr>
    </w:p>
    <w:p w14:paraId="64439944" w14:textId="77777777" w:rsidR="003B7027" w:rsidRPr="0028514E" w:rsidRDefault="00296A74" w:rsidP="00DE1F8E">
      <w:pPr>
        <w:pStyle w:val="a4"/>
        <w:keepNext/>
        <w:ind w:left="0"/>
      </w:pPr>
      <w:r w:rsidRPr="0028514E">
        <w:rPr>
          <w:u w:val="single"/>
        </w:rPr>
        <w:t>Eliminaatio</w:t>
      </w:r>
    </w:p>
    <w:p w14:paraId="105BA64A" w14:textId="519DCAB2" w:rsidR="003B7027" w:rsidRPr="0028514E" w:rsidRDefault="00296A74" w:rsidP="002A56B1">
      <w:pPr>
        <w:pStyle w:val="a4"/>
        <w:ind w:left="0"/>
      </w:pPr>
      <w:r w:rsidRPr="0028514E">
        <w:t xml:space="preserve">Laskimoon annettu </w:t>
      </w:r>
      <w:r w:rsidR="00E87550">
        <w:t xml:space="preserve">tosilitsumabi </w:t>
      </w:r>
      <w:r w:rsidRPr="0028514E">
        <w:t xml:space="preserve">poistuu verenkierrosta kaksivaiheisesti. </w:t>
      </w:r>
      <w:r w:rsidR="00E87550">
        <w:t xml:space="preserve">Tosilitsumabin </w:t>
      </w:r>
      <w:r w:rsidRPr="0028514E">
        <w:t xml:space="preserve">kokonaispuhdistuma oli pitoisuudesta riippuva, ja se on lineaarisen ja epälineaarisen puhdistuman summa. Lineaarinen puhdistuma arvioitiin populaatiofarmakokineettisen analyysin parametrina, ja se oli 9,5 ml/h. Pitoisuudesta riippuva epälineaarinen puhdistuma on ratkaisevassa asemassa, kun </w:t>
      </w:r>
      <w:r w:rsidR="00E87550">
        <w:t>tosilitsumabi</w:t>
      </w:r>
      <w:r w:rsidRPr="0028514E">
        <w:t xml:space="preserve">pitoisuus on alhainen. </w:t>
      </w:r>
      <w:r w:rsidR="00E87550">
        <w:t>Tosilitsumabi</w:t>
      </w:r>
      <w:r w:rsidRPr="0028514E">
        <w:t>pitoisuuden suurentuessa epälineaarinen puhdistumareitti kyllästyy, minkä jälkeen puhdistuma määräytyy pääasiassa lineaarisen puhdistuman perusteella.</w:t>
      </w:r>
    </w:p>
    <w:p w14:paraId="27071D88" w14:textId="77777777" w:rsidR="003B7027" w:rsidRPr="0028514E" w:rsidRDefault="003B7027" w:rsidP="002A56B1">
      <w:pPr>
        <w:pStyle w:val="a4"/>
        <w:ind w:left="0"/>
      </w:pPr>
    </w:p>
    <w:p w14:paraId="5704AA2B" w14:textId="2D75F8EA" w:rsidR="003B7027" w:rsidRPr="000247C0" w:rsidRDefault="00E87550" w:rsidP="002A56B1">
      <w:pPr>
        <w:pStyle w:val="a4"/>
        <w:ind w:left="0"/>
      </w:pPr>
      <w:r>
        <w:t>Tosilitsumabin</w:t>
      </w:r>
      <w:r w:rsidR="00296A74" w:rsidRPr="000247C0">
        <w:t xml:space="preserve"> puoliintumisaika (t</w:t>
      </w:r>
      <w:r w:rsidR="00296A74" w:rsidRPr="000247C0">
        <w:rPr>
          <w:vertAlign w:val="subscript"/>
        </w:rPr>
        <w:t>1/2</w:t>
      </w:r>
      <w:r w:rsidR="00296A74" w:rsidRPr="000247C0">
        <w:t>) riippui pitoisuudesta. Kun vakaa tila oli saavutettu annoksen ollessa 8 mg/kg neljän viikon välein, efektiivinen t</w:t>
      </w:r>
      <w:r w:rsidR="00296A74" w:rsidRPr="000247C0">
        <w:rPr>
          <w:vertAlign w:val="subscript"/>
        </w:rPr>
        <w:t>1/2</w:t>
      </w:r>
      <w:r w:rsidR="00296A74" w:rsidRPr="000247C0">
        <w:t xml:space="preserve"> lyheni pitoisuuden pienentyessä annosvälin aikana 18 vuorokaudesta 6 vuorokauteen.</w:t>
      </w:r>
    </w:p>
    <w:p w14:paraId="69012390" w14:textId="77777777" w:rsidR="003B7027" w:rsidRPr="0028514E" w:rsidRDefault="003B7027" w:rsidP="002A56B1">
      <w:pPr>
        <w:pStyle w:val="a4"/>
        <w:ind w:left="0"/>
      </w:pPr>
    </w:p>
    <w:p w14:paraId="6BBE3363" w14:textId="77777777" w:rsidR="003B7027" w:rsidRPr="0028514E" w:rsidRDefault="00296A74" w:rsidP="002A56B1">
      <w:pPr>
        <w:pStyle w:val="a4"/>
        <w:ind w:left="0"/>
      </w:pPr>
      <w:r w:rsidRPr="0028514E">
        <w:rPr>
          <w:u w:val="single"/>
        </w:rPr>
        <w:t>Lineaarisuus</w:t>
      </w:r>
    </w:p>
    <w:p w14:paraId="7AC64244" w14:textId="21DAF237" w:rsidR="003B7027" w:rsidRPr="001B58C3" w:rsidRDefault="00E87550" w:rsidP="002A56B1">
      <w:pPr>
        <w:pStyle w:val="a4"/>
        <w:ind w:left="0"/>
      </w:pPr>
      <w:r>
        <w:t xml:space="preserve">Tosilitsumabin </w:t>
      </w:r>
      <w:r w:rsidR="00296A74" w:rsidRPr="001B58C3">
        <w:t>farmakokineettiset parametrit eivät muuttuneet ajan myötä. AUC- ja C</w:t>
      </w:r>
      <w:r w:rsidR="00296A74" w:rsidRPr="001B58C3">
        <w:rPr>
          <w:vertAlign w:val="subscript"/>
        </w:rPr>
        <w:t>min</w:t>
      </w:r>
      <w:r w:rsidR="00296A74" w:rsidRPr="001B58C3">
        <w:t>-arvojen havaittiin suurenevan annossuhdetta enemmän annoksen ollessa 4 mg/kg tai 8 mg/kg neljän viikon välein. C</w:t>
      </w:r>
      <w:r w:rsidR="00296A74" w:rsidRPr="001B58C3">
        <w:rPr>
          <w:vertAlign w:val="subscript"/>
        </w:rPr>
        <w:t>max</w:t>
      </w:r>
      <w:r w:rsidR="00296A74" w:rsidRPr="001B58C3">
        <w:t xml:space="preserve"> nousi samassa suhteessa kuin annos. Annoksen ollessa 8 mg/kg arvioitu vakaan tilan AUC-arvo oli 3,2-kertainen verrattuna annokseen 4 mg/kg. Vastaava vakaan tilan C</w:t>
      </w:r>
      <w:r w:rsidR="00296A74" w:rsidRPr="001B58C3">
        <w:rPr>
          <w:vertAlign w:val="subscript"/>
        </w:rPr>
        <w:t>min</w:t>
      </w:r>
      <w:r w:rsidR="00296A74" w:rsidRPr="001B58C3">
        <w:t>-arvo oli 30- kertainen.</w:t>
      </w:r>
    </w:p>
    <w:p w14:paraId="22E91AB9" w14:textId="77777777" w:rsidR="003B7027" w:rsidRPr="001B58C3" w:rsidRDefault="003B7027" w:rsidP="002A56B1">
      <w:pPr>
        <w:pStyle w:val="a4"/>
        <w:ind w:left="0"/>
      </w:pPr>
    </w:p>
    <w:p w14:paraId="63B2F3F6" w14:textId="77777777" w:rsidR="003B7027" w:rsidRPr="0028514E" w:rsidRDefault="00296A74" w:rsidP="006E5F9A">
      <w:pPr>
        <w:pStyle w:val="a4"/>
        <w:ind w:left="0"/>
      </w:pPr>
      <w:r w:rsidRPr="0028514E">
        <w:rPr>
          <w:u w:val="single"/>
        </w:rPr>
        <w:t>Ihonalainen annostelu</w:t>
      </w:r>
    </w:p>
    <w:p w14:paraId="63460C84" w14:textId="57BB2A86" w:rsidR="003B7027" w:rsidRPr="0028514E" w:rsidRDefault="00E87550" w:rsidP="006E5F9A">
      <w:pPr>
        <w:pStyle w:val="a4"/>
        <w:ind w:left="0"/>
      </w:pPr>
      <w:r>
        <w:lastRenderedPageBreak/>
        <w:t xml:space="preserve">Tosilitsumabin </w:t>
      </w:r>
      <w:r w:rsidR="00296A74" w:rsidRPr="0028514E">
        <w:t>farmakokinetiikka määritettiin populaatiofarmakokineettisellä analyysillä</w:t>
      </w:r>
      <w:r w:rsidR="002D4BFB" w:rsidRPr="0028514E">
        <w:t xml:space="preserve"> </w:t>
      </w:r>
      <w:r w:rsidR="00296A74" w:rsidRPr="0028514E">
        <w:t xml:space="preserve">3552 nivelreumapotilaan tietokannasta. Potilaat olivat saaneet </w:t>
      </w:r>
      <w:r>
        <w:t xml:space="preserve">tosilitsumabia </w:t>
      </w:r>
      <w:r w:rsidR="00296A74" w:rsidRPr="0028514E">
        <w:t>162 mg ihon alle viikoittain, 162 mg ihon alle kerran kahdessa viikossa tai 4 mg/kg tai 8 mg/kg laskimoon neljän viikon välein 24 viikon ajan.</w:t>
      </w:r>
    </w:p>
    <w:p w14:paraId="115B103A" w14:textId="77777777" w:rsidR="003B7027" w:rsidRPr="0028514E" w:rsidRDefault="003B7027" w:rsidP="006E5F9A">
      <w:pPr>
        <w:pStyle w:val="a4"/>
        <w:ind w:left="0"/>
      </w:pPr>
    </w:p>
    <w:p w14:paraId="6D8A469A" w14:textId="426C2CF1" w:rsidR="003B7027" w:rsidRPr="001B58C3" w:rsidRDefault="00E87550" w:rsidP="006E5F9A">
      <w:pPr>
        <w:pStyle w:val="a4"/>
        <w:ind w:left="0"/>
      </w:pPr>
      <w:r>
        <w:t xml:space="preserve">Tosilitsumabin </w:t>
      </w:r>
      <w:r w:rsidR="00296A74" w:rsidRPr="001B58C3">
        <w:t>farmakokineettiset parametrit eivät muuttuneet ajan myötä. Viikoittain annettujen</w:t>
      </w:r>
      <w:r w:rsidR="002D4BFB" w:rsidRPr="001B58C3">
        <w:t xml:space="preserve"> </w:t>
      </w:r>
      <w:r w:rsidR="00296A74" w:rsidRPr="001B58C3">
        <w:t xml:space="preserve">162 mg:n annosten yhteydessä </w:t>
      </w:r>
      <w:r>
        <w:t xml:space="preserve">tosilitsumabin </w:t>
      </w:r>
      <w:r w:rsidR="00296A74" w:rsidRPr="001B58C3">
        <w:t>vakaan tilan AUC</w:t>
      </w:r>
      <w:r w:rsidR="00296A74" w:rsidRPr="001B58C3">
        <w:rPr>
          <w:vertAlign w:val="subscript"/>
        </w:rPr>
        <w:t>1 viikon</w:t>
      </w:r>
      <w:r w:rsidR="00296A74" w:rsidRPr="001B58C3">
        <w:t xml:space="preserve"> -arvo (odotettu keskiarvo ±SD) oli 7970 ± 3432 μg•h/ml, C</w:t>
      </w:r>
      <w:r w:rsidR="00296A74" w:rsidRPr="001B58C3">
        <w:rPr>
          <w:vertAlign w:val="subscript"/>
        </w:rPr>
        <w:t>min</w:t>
      </w:r>
      <w:r w:rsidR="00296A74" w:rsidRPr="001B58C3">
        <w:t>-arvo oli 43,0 ± 19,8 μg/ml ja C</w:t>
      </w:r>
      <w:r w:rsidR="00296A74" w:rsidRPr="001B58C3">
        <w:rPr>
          <w:vertAlign w:val="subscript"/>
        </w:rPr>
        <w:t>max</w:t>
      </w:r>
      <w:r w:rsidR="00296A74" w:rsidRPr="001B58C3">
        <w:t>-arvo oli 49,8 ± 21,0 μg/ml.</w:t>
      </w:r>
      <w:r w:rsidR="002D4BFB" w:rsidRPr="001B58C3">
        <w:t xml:space="preserve"> </w:t>
      </w:r>
      <w:r w:rsidR="00296A74" w:rsidRPr="001B58C3">
        <w:t>Kumulaatiosuhde oli AUC-arvon osalta 6,32, C</w:t>
      </w:r>
      <w:r w:rsidR="00296A74" w:rsidRPr="001B58C3">
        <w:rPr>
          <w:vertAlign w:val="subscript"/>
        </w:rPr>
        <w:t>min</w:t>
      </w:r>
      <w:r w:rsidR="00296A74" w:rsidRPr="001B58C3">
        <w:t>-arvon osalta 6,30 ja C</w:t>
      </w:r>
      <w:r w:rsidR="00296A74" w:rsidRPr="001B58C3">
        <w:rPr>
          <w:vertAlign w:val="subscript"/>
        </w:rPr>
        <w:t>max</w:t>
      </w:r>
      <w:r w:rsidR="00296A74" w:rsidRPr="001B58C3">
        <w:t>-arvon osalta 5,27. AUC-, C</w:t>
      </w:r>
      <w:r w:rsidR="00296A74" w:rsidRPr="001B58C3">
        <w:rPr>
          <w:vertAlign w:val="subscript"/>
        </w:rPr>
        <w:t>min</w:t>
      </w:r>
      <w:r w:rsidR="00296A74" w:rsidRPr="001B58C3">
        <w:t>- ja C</w:t>
      </w:r>
      <w:r w:rsidR="00296A74" w:rsidRPr="001B58C3">
        <w:rPr>
          <w:vertAlign w:val="subscript"/>
        </w:rPr>
        <w:t>max</w:t>
      </w:r>
      <w:r w:rsidR="00296A74" w:rsidRPr="001B58C3">
        <w:t>-arvojen vakaa tila saavutettiin 12 viikon jälkeen.</w:t>
      </w:r>
    </w:p>
    <w:p w14:paraId="6CC3715C" w14:textId="77777777" w:rsidR="002D4BFB" w:rsidRPr="001B58C3" w:rsidRDefault="002D4BFB" w:rsidP="006E5F9A">
      <w:pPr>
        <w:pStyle w:val="a4"/>
        <w:ind w:left="0"/>
      </w:pPr>
    </w:p>
    <w:p w14:paraId="20E0DA86" w14:textId="4B04EEAB" w:rsidR="003B7027" w:rsidRPr="003A6943" w:rsidRDefault="00296A74" w:rsidP="006E5F9A">
      <w:pPr>
        <w:pStyle w:val="a4"/>
        <w:ind w:left="0"/>
      </w:pPr>
      <w:r w:rsidRPr="001B58C3">
        <w:t xml:space="preserve">Kerran kahdessa viikossa annettujen 162 mg:n annosten yhteydessä </w:t>
      </w:r>
      <w:r w:rsidR="00E87550">
        <w:t xml:space="preserve">tosilitsumabin </w:t>
      </w:r>
      <w:r w:rsidRPr="001B58C3">
        <w:t>vakaan tilan AUC</w:t>
      </w:r>
      <w:r w:rsidRPr="001B58C3">
        <w:rPr>
          <w:vertAlign w:val="subscript"/>
        </w:rPr>
        <w:t>2 viikon</w:t>
      </w:r>
      <w:r w:rsidRPr="001B58C3">
        <w:t xml:space="preserve"> -arvo (odotettu keskiarvo ±SD) oli 3430 ± 2660 μg•h/ml, C</w:t>
      </w:r>
      <w:r w:rsidRPr="001B58C3">
        <w:rPr>
          <w:vertAlign w:val="subscript"/>
        </w:rPr>
        <w:t>min</w:t>
      </w:r>
      <w:r w:rsidRPr="001B58C3">
        <w:t>-arvo oli 5,7 ± 6,8 μg/ml ja</w:t>
      </w:r>
      <w:r w:rsidR="002D4BFB" w:rsidRPr="001B58C3">
        <w:t xml:space="preserve"> </w:t>
      </w:r>
      <w:r w:rsidRPr="001B58C3">
        <w:t>C</w:t>
      </w:r>
      <w:r w:rsidRPr="001B58C3">
        <w:rPr>
          <w:vertAlign w:val="subscript"/>
        </w:rPr>
        <w:t>max</w:t>
      </w:r>
      <w:r w:rsidRPr="001B58C3">
        <w:t>-arvo oli 13,2 ± 8,8 μg/ml. Kumulaatiosuhde oli AUC-arvon osalta 2,67, C</w:t>
      </w:r>
      <w:r w:rsidRPr="001B58C3">
        <w:rPr>
          <w:vertAlign w:val="subscript"/>
        </w:rPr>
        <w:t>min</w:t>
      </w:r>
      <w:r w:rsidRPr="001B58C3">
        <w:t>-arvon osalta 6,02 ja C</w:t>
      </w:r>
      <w:r w:rsidRPr="001B58C3">
        <w:rPr>
          <w:vertAlign w:val="subscript"/>
        </w:rPr>
        <w:t>max</w:t>
      </w:r>
      <w:r w:rsidRPr="001B58C3">
        <w:t>-</w:t>
      </w:r>
      <w:r w:rsidRPr="003A6943">
        <w:t>arvon osalta 2,12. AUC- ja C</w:t>
      </w:r>
      <w:r w:rsidRPr="003A6943">
        <w:rPr>
          <w:vertAlign w:val="subscript"/>
        </w:rPr>
        <w:t>min</w:t>
      </w:r>
      <w:r w:rsidRPr="003A6943">
        <w:t>-arvojen vakaa tila saavutettiin 12 viikon jälkeen ja Cmax-arvon vakaa tila 10 viikon jälkeen.</w:t>
      </w:r>
    </w:p>
    <w:p w14:paraId="6D2C0325" w14:textId="77777777" w:rsidR="002D4BFB" w:rsidRPr="003A6943" w:rsidRDefault="002D4BFB" w:rsidP="006E5F9A">
      <w:pPr>
        <w:pStyle w:val="a4"/>
        <w:ind w:left="0"/>
      </w:pPr>
    </w:p>
    <w:p w14:paraId="4C8192AF" w14:textId="77777777" w:rsidR="003B7027" w:rsidRPr="003A6943" w:rsidRDefault="00296A74" w:rsidP="006E5F9A">
      <w:pPr>
        <w:pStyle w:val="a4"/>
        <w:ind w:left="0"/>
      </w:pPr>
      <w:r w:rsidRPr="003A6943">
        <w:rPr>
          <w:u w:val="single"/>
        </w:rPr>
        <w:t>Imeytyminen</w:t>
      </w:r>
    </w:p>
    <w:p w14:paraId="21E52150" w14:textId="1744FD26" w:rsidR="003B7027" w:rsidRPr="003A6943" w:rsidRDefault="00296A74" w:rsidP="006E5F9A">
      <w:pPr>
        <w:pStyle w:val="a4"/>
        <w:ind w:left="0"/>
      </w:pPr>
      <w:r w:rsidRPr="003A6943">
        <w:t xml:space="preserve">Ihon alle annostellun </w:t>
      </w:r>
      <w:r w:rsidR="00E87550">
        <w:t xml:space="preserve">tosilitsumabin </w:t>
      </w:r>
      <w:r w:rsidRPr="003A6943">
        <w:t>t</w:t>
      </w:r>
      <w:r w:rsidRPr="003A6943">
        <w:rPr>
          <w:vertAlign w:val="subscript"/>
        </w:rPr>
        <w:t>max</w:t>
      </w:r>
      <w:r w:rsidRPr="003A6943">
        <w:t>-arvo (huippupitoisuuden ajankohta) nivelreumapotilailla oli noin 2,8 vuorokautta. Ihon alle annosteltavan lääkemuodon biologinen hyötyosuus oli 79 %.</w:t>
      </w:r>
    </w:p>
    <w:p w14:paraId="6E3BB674" w14:textId="77777777" w:rsidR="002D4BFB" w:rsidRPr="003A6943" w:rsidRDefault="002D4BFB" w:rsidP="006E5F9A">
      <w:pPr>
        <w:pStyle w:val="a4"/>
        <w:ind w:left="0"/>
      </w:pPr>
    </w:p>
    <w:p w14:paraId="03D3696B" w14:textId="77777777" w:rsidR="003B7027" w:rsidRPr="003A6943" w:rsidRDefault="00296A74" w:rsidP="006E5F9A">
      <w:pPr>
        <w:pStyle w:val="a4"/>
        <w:ind w:left="0"/>
      </w:pPr>
      <w:r w:rsidRPr="003A6943">
        <w:rPr>
          <w:u w:val="single"/>
        </w:rPr>
        <w:t>Eliminaatio</w:t>
      </w:r>
    </w:p>
    <w:p w14:paraId="607FE94A" w14:textId="77777777" w:rsidR="003B7027" w:rsidRPr="003A6943" w:rsidRDefault="00296A74" w:rsidP="006E5F9A">
      <w:pPr>
        <w:pStyle w:val="a4"/>
        <w:ind w:left="0"/>
      </w:pPr>
      <w:r w:rsidRPr="003A6943">
        <w:t>Nivelreumapotilailla tosilitsumabin efektiivinen t½ oli jopa 13 vuorokautta vakaassa tilassa potilailla, jotka saivat tosilitsumabia 162 mg viikossa ihon alle ja enintään viisi vuorokautta potilailla, jotka saivat tosilitsumabia 162 mg kerran kahdessa viikossa.</w:t>
      </w:r>
    </w:p>
    <w:p w14:paraId="2625974C" w14:textId="77777777" w:rsidR="003B7027" w:rsidRPr="003A6943" w:rsidRDefault="003B7027" w:rsidP="006E5F9A">
      <w:pPr>
        <w:pStyle w:val="a4"/>
        <w:ind w:left="0"/>
      </w:pPr>
    </w:p>
    <w:p w14:paraId="0B2A092B" w14:textId="77777777" w:rsidR="002D4BFB" w:rsidRPr="003A6943" w:rsidRDefault="00296A74" w:rsidP="006E5F9A">
      <w:pPr>
        <w:pStyle w:val="a4"/>
        <w:ind w:left="0"/>
      </w:pPr>
      <w:r w:rsidRPr="003A6943">
        <w:rPr>
          <w:u w:val="single"/>
        </w:rPr>
        <w:t>Yleisoireista lastenreumaa sairastavat potilaat</w:t>
      </w:r>
    </w:p>
    <w:p w14:paraId="66AE5FD4" w14:textId="77777777" w:rsidR="003B7027" w:rsidRPr="003A6943" w:rsidRDefault="00296A74" w:rsidP="006E5F9A">
      <w:pPr>
        <w:pStyle w:val="a4"/>
        <w:ind w:left="0"/>
      </w:pPr>
      <w:r w:rsidRPr="003A6943">
        <w:rPr>
          <w:u w:val="single"/>
        </w:rPr>
        <w:t>Ihonalainen annostelu</w:t>
      </w:r>
    </w:p>
    <w:p w14:paraId="4A9F4479" w14:textId="27105FC8" w:rsidR="002D4BFB" w:rsidRPr="003A6943" w:rsidRDefault="00E87550" w:rsidP="006E5F9A">
      <w:pPr>
        <w:pStyle w:val="a4"/>
        <w:ind w:left="0"/>
      </w:pPr>
      <w:r>
        <w:t xml:space="preserve">Tosilitsumabin </w:t>
      </w:r>
      <w:r w:rsidR="00296A74" w:rsidRPr="003A6943">
        <w:t>farmakokinetiikka määritettiin populaatiofarmakokineettisellä analyysillä</w:t>
      </w:r>
      <w:r w:rsidR="002D4BFB" w:rsidRPr="003A6943">
        <w:t xml:space="preserve"> </w:t>
      </w:r>
      <w:r w:rsidR="00296A74" w:rsidRPr="003A6943">
        <w:t xml:space="preserve">140 yleisoireista lastenreumaa sairastavan potilaan potilasjoukosta. Potilaat olivat saaneet </w:t>
      </w:r>
      <w:r>
        <w:t xml:space="preserve">tosilitsumabia </w:t>
      </w:r>
      <w:r w:rsidR="00296A74" w:rsidRPr="003A6943">
        <w:t>8 mg/kg laskimoon joka toinen viikko (≥ 30 kg painavat potilaat), 12 mg/kg laskimoon joka toinen viikko (&lt; 30 kg painavat potilaat), 162 mg ihon alle joka viikko (≥ 30 kg painavat potilaat), 162 mg ihon alle 10 päivän välein tai joka toinen viikko (&lt; 30 kg painavat potilaat)</w:t>
      </w:r>
    </w:p>
    <w:p w14:paraId="5B12A47B" w14:textId="77777777" w:rsidR="002D4BFB" w:rsidRPr="003A6943" w:rsidRDefault="002D4BFB" w:rsidP="006E5F9A">
      <w:pPr>
        <w:pStyle w:val="a4"/>
        <w:ind w:left="0"/>
      </w:pPr>
    </w:p>
    <w:p w14:paraId="753CEA4E" w14:textId="747C4179" w:rsidR="003B7027" w:rsidRPr="0028514E" w:rsidRDefault="00296A74" w:rsidP="006E5F9A">
      <w:pPr>
        <w:pStyle w:val="a4"/>
        <w:ind w:left="0"/>
      </w:pPr>
      <w:r w:rsidRPr="0028514E">
        <w:t xml:space="preserve">Ihon alle annetun </w:t>
      </w:r>
      <w:r w:rsidR="00E87550">
        <w:t xml:space="preserve">tosilitsumabin </w:t>
      </w:r>
      <w:r w:rsidRPr="0028514E">
        <w:t xml:space="preserve">altistuksesta yleisoireista lastenreumaa sairastaville alle 2-vuotiaille ja alle 10 kg:n painaville lapsipotilaille on vähän tietoja. Yleisoireista lastenreumaa sairastavien potilaiden painon on oltava vähintään 10 kg, jotta heille voidaan antaa </w:t>
      </w:r>
      <w:r w:rsidR="00E87550">
        <w:t>tosilitsumabi</w:t>
      </w:r>
      <w:r w:rsidRPr="0028514E">
        <w:t>hoitoa ihon alle (ks. kohta 4.2).</w:t>
      </w:r>
    </w:p>
    <w:p w14:paraId="3CF5BA8E" w14:textId="77777777" w:rsidR="003B7027" w:rsidRPr="0028514E" w:rsidRDefault="003B7027" w:rsidP="006E5F9A">
      <w:pPr>
        <w:pStyle w:val="a4"/>
        <w:ind w:left="0"/>
      </w:pPr>
    </w:p>
    <w:p w14:paraId="3A02BC1E" w14:textId="77777777" w:rsidR="003B7027" w:rsidRPr="00CA43F5" w:rsidRDefault="00296A74" w:rsidP="00C974BF">
      <w:pPr>
        <w:pStyle w:val="Tabletitle"/>
        <w:keepNext/>
        <w:rPr>
          <w:lang w:val="fi-FI"/>
        </w:rPr>
      </w:pPr>
      <w:r w:rsidRPr="00CA43F5">
        <w:rPr>
          <w:lang w:val="fi-FI"/>
        </w:rPr>
        <w:t>Taulukko 8.</w:t>
      </w:r>
      <w:r w:rsidR="002D4BFB" w:rsidRPr="00CA43F5">
        <w:rPr>
          <w:lang w:val="fi-FI"/>
        </w:rPr>
        <w:tab/>
      </w:r>
      <w:r w:rsidRPr="00CA43F5">
        <w:rPr>
          <w:lang w:val="fi-FI"/>
        </w:rPr>
        <w:t>Yleisoireista lastenreumaa sairastaville lapsipotilaille ihon alle annetun hoidon farmakokineettisten parametrien ennakoidut vakaan tilan keskiarvot ± keskihajonnat</w:t>
      </w:r>
    </w:p>
    <w:p w14:paraId="15F79F45" w14:textId="77777777" w:rsidR="002D4BFB" w:rsidRPr="00CA43F5" w:rsidRDefault="002D4BFB" w:rsidP="003A6943">
      <w:pPr>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3114"/>
        <w:gridCol w:w="2698"/>
        <w:gridCol w:w="2976"/>
      </w:tblGrid>
      <w:tr w:rsidR="003B7027" w:rsidRPr="00ED6BAC" w14:paraId="60E72FF5" w14:textId="77777777" w:rsidTr="00C82B5A">
        <w:trPr>
          <w:trHeight w:val="20"/>
        </w:trPr>
        <w:tc>
          <w:tcPr>
            <w:tcW w:w="3114" w:type="dxa"/>
          </w:tcPr>
          <w:p w14:paraId="57A5E1C6" w14:textId="5DE8C347" w:rsidR="003B7027" w:rsidRPr="001B58C3" w:rsidRDefault="00E87550" w:rsidP="006E5F9A">
            <w:pPr>
              <w:pStyle w:val="TableParagraph"/>
              <w:rPr>
                <w:b/>
                <w:sz w:val="20"/>
                <w:szCs w:val="20"/>
              </w:rPr>
            </w:pPr>
            <w:r>
              <w:rPr>
                <w:b/>
                <w:sz w:val="20"/>
                <w:szCs w:val="20"/>
              </w:rPr>
              <w:t>Tosilitsumabin</w:t>
            </w:r>
            <w:r w:rsidRPr="001B58C3">
              <w:rPr>
                <w:b/>
                <w:sz w:val="20"/>
                <w:szCs w:val="20"/>
              </w:rPr>
              <w:t xml:space="preserve"> </w:t>
            </w:r>
            <w:r w:rsidR="00296A74" w:rsidRPr="001B58C3">
              <w:rPr>
                <w:b/>
                <w:sz w:val="20"/>
                <w:szCs w:val="20"/>
              </w:rPr>
              <w:t>farmakokineettiset parametrit</w:t>
            </w:r>
          </w:p>
        </w:tc>
        <w:tc>
          <w:tcPr>
            <w:tcW w:w="2698" w:type="dxa"/>
          </w:tcPr>
          <w:p w14:paraId="6FBB3C7D" w14:textId="124E3D32" w:rsidR="003B7027" w:rsidRPr="001B58C3" w:rsidRDefault="00296A74" w:rsidP="00C974BF">
            <w:pPr>
              <w:pStyle w:val="TableParagraph"/>
              <w:jc w:val="center"/>
              <w:rPr>
                <w:b/>
                <w:sz w:val="20"/>
                <w:szCs w:val="20"/>
              </w:rPr>
            </w:pPr>
            <w:r w:rsidRPr="001B58C3">
              <w:rPr>
                <w:b/>
                <w:sz w:val="20"/>
                <w:szCs w:val="20"/>
              </w:rPr>
              <w:t>162 mg joka viikko</w:t>
            </w:r>
            <w:r w:rsidR="00C974BF">
              <w:rPr>
                <w:b/>
                <w:sz w:val="20"/>
                <w:szCs w:val="20"/>
              </w:rPr>
              <w:t xml:space="preserve"> </w:t>
            </w:r>
            <w:r w:rsidRPr="001B58C3">
              <w:rPr>
                <w:b/>
                <w:sz w:val="20"/>
                <w:szCs w:val="20"/>
              </w:rPr>
              <w:t>≥ 30 kg</w:t>
            </w:r>
          </w:p>
        </w:tc>
        <w:tc>
          <w:tcPr>
            <w:tcW w:w="2976" w:type="dxa"/>
          </w:tcPr>
          <w:p w14:paraId="7D0C6E0F" w14:textId="77777777" w:rsidR="003B7027" w:rsidRPr="001B58C3" w:rsidRDefault="00296A74" w:rsidP="006E5F9A">
            <w:pPr>
              <w:pStyle w:val="TableParagraph"/>
              <w:jc w:val="center"/>
              <w:rPr>
                <w:b/>
                <w:sz w:val="20"/>
                <w:szCs w:val="20"/>
              </w:rPr>
            </w:pPr>
            <w:r w:rsidRPr="001B58C3">
              <w:rPr>
                <w:b/>
                <w:sz w:val="20"/>
                <w:szCs w:val="20"/>
              </w:rPr>
              <w:t>162 mg joka 2. viikko</w:t>
            </w:r>
            <w:r w:rsidR="00962390" w:rsidRPr="001B58C3">
              <w:rPr>
                <w:b/>
                <w:sz w:val="20"/>
                <w:szCs w:val="20"/>
              </w:rPr>
              <w:t xml:space="preserve"> </w:t>
            </w:r>
            <w:r w:rsidRPr="001B58C3">
              <w:rPr>
                <w:b/>
                <w:sz w:val="20"/>
                <w:szCs w:val="20"/>
              </w:rPr>
              <w:t>alle 30 kg</w:t>
            </w:r>
          </w:p>
        </w:tc>
      </w:tr>
      <w:tr w:rsidR="003B7027" w:rsidRPr="00777B93" w14:paraId="7F99AD31" w14:textId="77777777" w:rsidTr="00C82B5A">
        <w:trPr>
          <w:trHeight w:val="20"/>
        </w:trPr>
        <w:tc>
          <w:tcPr>
            <w:tcW w:w="3114" w:type="dxa"/>
          </w:tcPr>
          <w:p w14:paraId="2027A33F" w14:textId="77777777" w:rsidR="003B7027" w:rsidRPr="001B58C3" w:rsidRDefault="00296A74" w:rsidP="006E5F9A">
            <w:pPr>
              <w:pStyle w:val="TableParagraph"/>
              <w:rPr>
                <w:sz w:val="20"/>
                <w:szCs w:val="20"/>
              </w:rPr>
            </w:pPr>
            <w:r w:rsidRPr="001B58C3">
              <w:rPr>
                <w:sz w:val="20"/>
                <w:szCs w:val="20"/>
              </w:rPr>
              <w:t>C</w:t>
            </w:r>
            <w:r w:rsidRPr="001B58C3">
              <w:rPr>
                <w:sz w:val="20"/>
                <w:szCs w:val="20"/>
                <w:vertAlign w:val="subscript"/>
              </w:rPr>
              <w:t>max</w:t>
            </w:r>
            <w:r w:rsidRPr="001B58C3">
              <w:rPr>
                <w:sz w:val="20"/>
                <w:szCs w:val="20"/>
              </w:rPr>
              <w:t xml:space="preserve"> (µg/ml)</w:t>
            </w:r>
          </w:p>
        </w:tc>
        <w:tc>
          <w:tcPr>
            <w:tcW w:w="2698" w:type="dxa"/>
          </w:tcPr>
          <w:p w14:paraId="2BAE682D" w14:textId="77777777" w:rsidR="003B7027" w:rsidRPr="001B58C3" w:rsidRDefault="00296A74" w:rsidP="006E5F9A">
            <w:pPr>
              <w:pStyle w:val="TableParagraph"/>
              <w:jc w:val="center"/>
              <w:rPr>
                <w:sz w:val="20"/>
                <w:szCs w:val="20"/>
              </w:rPr>
            </w:pPr>
            <w:r w:rsidRPr="001B58C3">
              <w:rPr>
                <w:sz w:val="20"/>
                <w:szCs w:val="20"/>
              </w:rPr>
              <w:t>99,8 ± 46,2</w:t>
            </w:r>
          </w:p>
        </w:tc>
        <w:tc>
          <w:tcPr>
            <w:tcW w:w="2976" w:type="dxa"/>
          </w:tcPr>
          <w:p w14:paraId="5CDF5A57" w14:textId="77777777" w:rsidR="003B7027" w:rsidRPr="001B58C3" w:rsidRDefault="00296A74" w:rsidP="006E5F9A">
            <w:pPr>
              <w:pStyle w:val="TableParagraph"/>
              <w:jc w:val="center"/>
              <w:rPr>
                <w:sz w:val="20"/>
                <w:szCs w:val="20"/>
              </w:rPr>
            </w:pPr>
            <w:r w:rsidRPr="001B58C3">
              <w:rPr>
                <w:sz w:val="20"/>
                <w:szCs w:val="20"/>
              </w:rPr>
              <w:t>134 ± 58,6</w:t>
            </w:r>
          </w:p>
        </w:tc>
      </w:tr>
      <w:tr w:rsidR="003B7027" w:rsidRPr="00777B93" w14:paraId="528948A1" w14:textId="77777777" w:rsidTr="00C82B5A">
        <w:trPr>
          <w:trHeight w:val="20"/>
        </w:trPr>
        <w:tc>
          <w:tcPr>
            <w:tcW w:w="3114" w:type="dxa"/>
          </w:tcPr>
          <w:p w14:paraId="45963F17" w14:textId="77777777" w:rsidR="003B7027" w:rsidRPr="001B58C3" w:rsidRDefault="00296A74" w:rsidP="006E5F9A">
            <w:pPr>
              <w:pStyle w:val="TableParagraph"/>
              <w:rPr>
                <w:sz w:val="20"/>
                <w:szCs w:val="20"/>
              </w:rPr>
            </w:pPr>
            <w:r w:rsidRPr="001B58C3">
              <w:rPr>
                <w:sz w:val="20"/>
                <w:szCs w:val="20"/>
              </w:rPr>
              <w:t>C</w:t>
            </w:r>
            <w:r w:rsidRPr="001B58C3">
              <w:rPr>
                <w:sz w:val="20"/>
                <w:szCs w:val="20"/>
                <w:vertAlign w:val="subscript"/>
              </w:rPr>
              <w:t>min</w:t>
            </w:r>
            <w:r w:rsidRPr="001B58C3">
              <w:rPr>
                <w:sz w:val="20"/>
                <w:szCs w:val="20"/>
              </w:rPr>
              <w:t xml:space="preserve"> (µg/ml)</w:t>
            </w:r>
          </w:p>
        </w:tc>
        <w:tc>
          <w:tcPr>
            <w:tcW w:w="2698" w:type="dxa"/>
          </w:tcPr>
          <w:p w14:paraId="2FFF2CCC" w14:textId="77777777" w:rsidR="003B7027" w:rsidRPr="001B58C3" w:rsidRDefault="00296A74" w:rsidP="006E5F9A">
            <w:pPr>
              <w:pStyle w:val="TableParagraph"/>
              <w:jc w:val="center"/>
              <w:rPr>
                <w:sz w:val="20"/>
                <w:szCs w:val="20"/>
              </w:rPr>
            </w:pPr>
            <w:r w:rsidRPr="001B58C3">
              <w:rPr>
                <w:sz w:val="20"/>
                <w:szCs w:val="20"/>
              </w:rPr>
              <w:t>79,2 ± 35,6</w:t>
            </w:r>
          </w:p>
        </w:tc>
        <w:tc>
          <w:tcPr>
            <w:tcW w:w="2976" w:type="dxa"/>
          </w:tcPr>
          <w:p w14:paraId="6B6666F9" w14:textId="77777777" w:rsidR="003B7027" w:rsidRPr="001B58C3" w:rsidRDefault="00296A74" w:rsidP="006E5F9A">
            <w:pPr>
              <w:pStyle w:val="TableParagraph"/>
              <w:jc w:val="center"/>
              <w:rPr>
                <w:sz w:val="20"/>
                <w:szCs w:val="20"/>
              </w:rPr>
            </w:pPr>
            <w:r w:rsidRPr="001B58C3">
              <w:rPr>
                <w:sz w:val="20"/>
                <w:szCs w:val="20"/>
              </w:rPr>
              <w:t>65,9 ± 31,3</w:t>
            </w:r>
          </w:p>
        </w:tc>
      </w:tr>
      <w:tr w:rsidR="003B7027" w:rsidRPr="00777B93" w14:paraId="2FC58F64" w14:textId="77777777" w:rsidTr="00C82B5A">
        <w:trPr>
          <w:trHeight w:val="20"/>
        </w:trPr>
        <w:tc>
          <w:tcPr>
            <w:tcW w:w="3114" w:type="dxa"/>
          </w:tcPr>
          <w:p w14:paraId="77B43129" w14:textId="77777777" w:rsidR="003B7027" w:rsidRPr="001B58C3" w:rsidRDefault="00296A74" w:rsidP="006E5F9A">
            <w:pPr>
              <w:pStyle w:val="TableParagraph"/>
              <w:rPr>
                <w:sz w:val="20"/>
                <w:szCs w:val="20"/>
              </w:rPr>
            </w:pPr>
            <w:r w:rsidRPr="001B58C3">
              <w:rPr>
                <w:sz w:val="20"/>
                <w:szCs w:val="20"/>
              </w:rPr>
              <w:t>C</w:t>
            </w:r>
            <w:r w:rsidRPr="001B58C3">
              <w:rPr>
                <w:sz w:val="20"/>
                <w:szCs w:val="20"/>
                <w:vertAlign w:val="subscript"/>
              </w:rPr>
              <w:t>mean</w:t>
            </w:r>
            <w:r w:rsidRPr="001B58C3">
              <w:rPr>
                <w:sz w:val="20"/>
                <w:szCs w:val="20"/>
              </w:rPr>
              <w:t xml:space="preserve"> (µg/ml)</w:t>
            </w:r>
          </w:p>
        </w:tc>
        <w:tc>
          <w:tcPr>
            <w:tcW w:w="2698" w:type="dxa"/>
          </w:tcPr>
          <w:p w14:paraId="56CEE894" w14:textId="77777777" w:rsidR="003B7027" w:rsidRPr="001B58C3" w:rsidRDefault="00296A74" w:rsidP="006E5F9A">
            <w:pPr>
              <w:pStyle w:val="TableParagraph"/>
              <w:jc w:val="center"/>
              <w:rPr>
                <w:sz w:val="20"/>
                <w:szCs w:val="20"/>
              </w:rPr>
            </w:pPr>
            <w:r w:rsidRPr="001B58C3">
              <w:rPr>
                <w:sz w:val="20"/>
                <w:szCs w:val="20"/>
              </w:rPr>
              <w:t>91,3 ± 40,4</w:t>
            </w:r>
          </w:p>
        </w:tc>
        <w:tc>
          <w:tcPr>
            <w:tcW w:w="2976" w:type="dxa"/>
          </w:tcPr>
          <w:p w14:paraId="5ABD6B2D" w14:textId="77777777" w:rsidR="003B7027" w:rsidRPr="001B58C3" w:rsidRDefault="00296A74" w:rsidP="006E5F9A">
            <w:pPr>
              <w:pStyle w:val="TableParagraph"/>
              <w:jc w:val="center"/>
              <w:rPr>
                <w:sz w:val="20"/>
                <w:szCs w:val="20"/>
              </w:rPr>
            </w:pPr>
            <w:r w:rsidRPr="001B58C3">
              <w:rPr>
                <w:sz w:val="20"/>
                <w:szCs w:val="20"/>
              </w:rPr>
              <w:t>101 ± 43,2</w:t>
            </w:r>
          </w:p>
        </w:tc>
      </w:tr>
      <w:tr w:rsidR="003B7027" w:rsidRPr="00777B93" w14:paraId="6E6EA912" w14:textId="77777777" w:rsidTr="00C82B5A">
        <w:trPr>
          <w:trHeight w:val="20"/>
        </w:trPr>
        <w:tc>
          <w:tcPr>
            <w:tcW w:w="3114" w:type="dxa"/>
          </w:tcPr>
          <w:p w14:paraId="491AB456" w14:textId="77777777" w:rsidR="003B7027" w:rsidRPr="001B58C3" w:rsidRDefault="00296A74" w:rsidP="006E5F9A">
            <w:pPr>
              <w:pStyle w:val="TableParagraph"/>
              <w:rPr>
                <w:sz w:val="20"/>
                <w:szCs w:val="20"/>
              </w:rPr>
            </w:pPr>
            <w:r w:rsidRPr="001B58C3">
              <w:rPr>
                <w:sz w:val="20"/>
                <w:szCs w:val="20"/>
              </w:rPr>
              <w:t>Kumuloitumisen C</w:t>
            </w:r>
            <w:r w:rsidRPr="001B58C3">
              <w:rPr>
                <w:sz w:val="20"/>
                <w:szCs w:val="20"/>
                <w:vertAlign w:val="subscript"/>
              </w:rPr>
              <w:t>max</w:t>
            </w:r>
          </w:p>
        </w:tc>
        <w:tc>
          <w:tcPr>
            <w:tcW w:w="2698" w:type="dxa"/>
          </w:tcPr>
          <w:p w14:paraId="20852C3F" w14:textId="77777777" w:rsidR="003B7027" w:rsidRPr="001B58C3" w:rsidRDefault="00296A74" w:rsidP="006E5F9A">
            <w:pPr>
              <w:pStyle w:val="TableParagraph"/>
              <w:jc w:val="center"/>
              <w:rPr>
                <w:sz w:val="20"/>
                <w:szCs w:val="20"/>
              </w:rPr>
            </w:pPr>
            <w:r w:rsidRPr="001B58C3">
              <w:rPr>
                <w:sz w:val="20"/>
                <w:szCs w:val="20"/>
              </w:rPr>
              <w:t>3,66</w:t>
            </w:r>
          </w:p>
        </w:tc>
        <w:tc>
          <w:tcPr>
            <w:tcW w:w="2976" w:type="dxa"/>
          </w:tcPr>
          <w:p w14:paraId="2FFF4108" w14:textId="77777777" w:rsidR="003B7027" w:rsidRPr="001B58C3" w:rsidRDefault="00296A74" w:rsidP="006E5F9A">
            <w:pPr>
              <w:pStyle w:val="TableParagraph"/>
              <w:jc w:val="center"/>
              <w:rPr>
                <w:sz w:val="20"/>
                <w:szCs w:val="20"/>
              </w:rPr>
            </w:pPr>
            <w:r w:rsidRPr="001B58C3">
              <w:rPr>
                <w:sz w:val="20"/>
                <w:szCs w:val="20"/>
              </w:rPr>
              <w:t>1,88</w:t>
            </w:r>
          </w:p>
        </w:tc>
      </w:tr>
      <w:tr w:rsidR="003B7027" w:rsidRPr="00777B93" w14:paraId="00F79435" w14:textId="77777777" w:rsidTr="00C82B5A">
        <w:trPr>
          <w:trHeight w:val="20"/>
        </w:trPr>
        <w:tc>
          <w:tcPr>
            <w:tcW w:w="3114" w:type="dxa"/>
          </w:tcPr>
          <w:p w14:paraId="2658F739" w14:textId="77777777" w:rsidR="003B7027" w:rsidRPr="001B58C3" w:rsidRDefault="00296A74" w:rsidP="006E5F9A">
            <w:pPr>
              <w:pStyle w:val="TableParagraph"/>
              <w:rPr>
                <w:sz w:val="20"/>
                <w:szCs w:val="20"/>
              </w:rPr>
            </w:pPr>
            <w:r w:rsidRPr="001B58C3">
              <w:rPr>
                <w:sz w:val="20"/>
                <w:szCs w:val="20"/>
              </w:rPr>
              <w:t>Kumuloitumisen C</w:t>
            </w:r>
            <w:r w:rsidRPr="001B58C3">
              <w:rPr>
                <w:sz w:val="20"/>
                <w:szCs w:val="20"/>
                <w:vertAlign w:val="subscript"/>
              </w:rPr>
              <w:t>min</w:t>
            </w:r>
          </w:p>
        </w:tc>
        <w:tc>
          <w:tcPr>
            <w:tcW w:w="2698" w:type="dxa"/>
          </w:tcPr>
          <w:p w14:paraId="3E111DE6" w14:textId="77777777" w:rsidR="003B7027" w:rsidRPr="001B58C3" w:rsidRDefault="00296A74" w:rsidP="006E5F9A">
            <w:pPr>
              <w:pStyle w:val="TableParagraph"/>
              <w:jc w:val="center"/>
              <w:rPr>
                <w:sz w:val="20"/>
                <w:szCs w:val="20"/>
              </w:rPr>
            </w:pPr>
            <w:r w:rsidRPr="001B58C3">
              <w:rPr>
                <w:sz w:val="20"/>
                <w:szCs w:val="20"/>
              </w:rPr>
              <w:t>4,39</w:t>
            </w:r>
          </w:p>
        </w:tc>
        <w:tc>
          <w:tcPr>
            <w:tcW w:w="2976" w:type="dxa"/>
          </w:tcPr>
          <w:p w14:paraId="31B4D261" w14:textId="77777777" w:rsidR="003B7027" w:rsidRPr="001B58C3" w:rsidRDefault="00296A74" w:rsidP="006E5F9A">
            <w:pPr>
              <w:pStyle w:val="TableParagraph"/>
              <w:jc w:val="center"/>
              <w:rPr>
                <w:sz w:val="20"/>
                <w:szCs w:val="20"/>
              </w:rPr>
            </w:pPr>
            <w:r w:rsidRPr="001B58C3">
              <w:rPr>
                <w:sz w:val="20"/>
                <w:szCs w:val="20"/>
              </w:rPr>
              <w:t>3,21</w:t>
            </w:r>
          </w:p>
        </w:tc>
      </w:tr>
      <w:tr w:rsidR="003B7027" w:rsidRPr="00777B93" w14:paraId="06CD95B6" w14:textId="77777777" w:rsidTr="00C82B5A">
        <w:trPr>
          <w:trHeight w:val="20"/>
        </w:trPr>
        <w:tc>
          <w:tcPr>
            <w:tcW w:w="3114" w:type="dxa"/>
          </w:tcPr>
          <w:p w14:paraId="34FD54E0" w14:textId="77777777" w:rsidR="003B7027" w:rsidRPr="001B58C3" w:rsidRDefault="00296A74" w:rsidP="006E5F9A">
            <w:pPr>
              <w:pStyle w:val="TableParagraph"/>
              <w:rPr>
                <w:sz w:val="20"/>
                <w:szCs w:val="20"/>
              </w:rPr>
            </w:pPr>
            <w:r w:rsidRPr="001B58C3">
              <w:rPr>
                <w:sz w:val="20"/>
                <w:szCs w:val="20"/>
              </w:rPr>
              <w:t>Kumuloitumisen C</w:t>
            </w:r>
            <w:r w:rsidRPr="001B58C3">
              <w:rPr>
                <w:sz w:val="20"/>
                <w:szCs w:val="20"/>
                <w:vertAlign w:val="subscript"/>
              </w:rPr>
              <w:t>mean</w:t>
            </w:r>
            <w:r w:rsidRPr="001B58C3">
              <w:rPr>
                <w:sz w:val="20"/>
                <w:szCs w:val="20"/>
              </w:rPr>
              <w:t xml:space="preserve"> tai AUC</w:t>
            </w:r>
            <w:r w:rsidRPr="001B58C3">
              <w:rPr>
                <w:sz w:val="20"/>
                <w:szCs w:val="20"/>
                <w:vertAlign w:val="subscript"/>
              </w:rPr>
              <w:t>τ</w:t>
            </w:r>
            <w:r w:rsidRPr="001B58C3">
              <w:rPr>
                <w:sz w:val="20"/>
                <w:szCs w:val="20"/>
              </w:rPr>
              <w:t>*</w:t>
            </w:r>
          </w:p>
        </w:tc>
        <w:tc>
          <w:tcPr>
            <w:tcW w:w="2698" w:type="dxa"/>
          </w:tcPr>
          <w:p w14:paraId="75ADE1E0" w14:textId="77777777" w:rsidR="003B7027" w:rsidRPr="001B58C3" w:rsidRDefault="00296A74" w:rsidP="006E5F9A">
            <w:pPr>
              <w:pStyle w:val="TableParagraph"/>
              <w:jc w:val="center"/>
              <w:rPr>
                <w:sz w:val="20"/>
                <w:szCs w:val="20"/>
              </w:rPr>
            </w:pPr>
            <w:r w:rsidRPr="001B58C3">
              <w:rPr>
                <w:sz w:val="20"/>
                <w:szCs w:val="20"/>
              </w:rPr>
              <w:t>4,28</w:t>
            </w:r>
          </w:p>
        </w:tc>
        <w:tc>
          <w:tcPr>
            <w:tcW w:w="2976" w:type="dxa"/>
          </w:tcPr>
          <w:p w14:paraId="2ABF452D" w14:textId="77777777" w:rsidR="003B7027" w:rsidRPr="001B58C3" w:rsidRDefault="00296A74" w:rsidP="006E5F9A">
            <w:pPr>
              <w:pStyle w:val="TableParagraph"/>
              <w:jc w:val="center"/>
              <w:rPr>
                <w:sz w:val="20"/>
                <w:szCs w:val="20"/>
              </w:rPr>
            </w:pPr>
            <w:r w:rsidRPr="001B58C3">
              <w:rPr>
                <w:sz w:val="20"/>
                <w:szCs w:val="20"/>
              </w:rPr>
              <w:t>2,27</w:t>
            </w:r>
          </w:p>
        </w:tc>
      </w:tr>
    </w:tbl>
    <w:p w14:paraId="17F509BD" w14:textId="77777777" w:rsidR="003B7027" w:rsidRPr="00CA43F5" w:rsidRDefault="00296A74" w:rsidP="006E5F9A">
      <w:pPr>
        <w:rPr>
          <w:sz w:val="18"/>
          <w:lang w:val="fi-FI"/>
        </w:rPr>
      </w:pPr>
      <w:r w:rsidRPr="00CA43F5">
        <w:rPr>
          <w:sz w:val="18"/>
          <w:lang w:val="fi-FI"/>
        </w:rPr>
        <w:t>*</w:t>
      </w:r>
      <w:r w:rsidRPr="0028514E">
        <w:rPr>
          <w:sz w:val="18"/>
        </w:rPr>
        <w:t>τ</w:t>
      </w:r>
      <w:r w:rsidRPr="00CA43F5">
        <w:rPr>
          <w:sz w:val="18"/>
          <w:lang w:val="fi-FI"/>
        </w:rPr>
        <w:t xml:space="preserve"> = kaksi hoito-ohjelmaa: kerran viikossa ja joka toinen viikko ihon alle</w:t>
      </w:r>
    </w:p>
    <w:p w14:paraId="2E8347FE" w14:textId="77777777" w:rsidR="003B7027" w:rsidRPr="0028514E" w:rsidRDefault="003B7027" w:rsidP="006E5F9A">
      <w:pPr>
        <w:pStyle w:val="a4"/>
        <w:ind w:left="0"/>
        <w:rPr>
          <w:sz w:val="18"/>
        </w:rPr>
      </w:pPr>
    </w:p>
    <w:p w14:paraId="7D6D94D1" w14:textId="77777777" w:rsidR="003B7027" w:rsidRPr="0028514E" w:rsidRDefault="00296A74" w:rsidP="006E5F9A">
      <w:pPr>
        <w:pStyle w:val="a4"/>
        <w:ind w:left="0"/>
      </w:pPr>
      <w:r w:rsidRPr="0028514E">
        <w:t>Noin 90 % potilaista saavutti vakaan tilan ihon alle annettujen annosten 162 mg kerran viikossa ja joka toinen viikko yhteydessä viikkoon 12 mennessä.</w:t>
      </w:r>
    </w:p>
    <w:p w14:paraId="6FF302F2" w14:textId="77777777" w:rsidR="002D4BFB" w:rsidRPr="0028514E" w:rsidRDefault="002D4BFB" w:rsidP="006E5F9A">
      <w:pPr>
        <w:pStyle w:val="a4"/>
        <w:ind w:left="0"/>
      </w:pPr>
    </w:p>
    <w:p w14:paraId="58C4E2D7" w14:textId="77777777" w:rsidR="003B7027" w:rsidRPr="0028514E" w:rsidRDefault="00296A74" w:rsidP="006E5F9A">
      <w:pPr>
        <w:pStyle w:val="a4"/>
        <w:ind w:left="0"/>
      </w:pPr>
      <w:r w:rsidRPr="0028514E">
        <w:rPr>
          <w:u w:val="single"/>
        </w:rPr>
        <w:t>Imeytyminen</w:t>
      </w:r>
    </w:p>
    <w:p w14:paraId="143F45B9" w14:textId="77777777" w:rsidR="003B7027" w:rsidRPr="0028514E" w:rsidRDefault="00296A74" w:rsidP="006E5F9A">
      <w:pPr>
        <w:pStyle w:val="a4"/>
        <w:ind w:left="0"/>
      </w:pPr>
      <w:r w:rsidRPr="0028514E">
        <w:lastRenderedPageBreak/>
        <w:t>Yleisoireista lastenreumaa sairastavien lapsipotilaiden ihon alle annettuna imeytymisen puoliintumisaika oli noin 2 vuorokautta ja yleisoireista lastenreumaa sairastavien lapsipotilaiden ihon alle annettavaksi tarkoitetun lääkemuodon biologinen hyötyosuus oli 95 %.</w:t>
      </w:r>
    </w:p>
    <w:p w14:paraId="5A628819" w14:textId="77777777" w:rsidR="003B7027" w:rsidRPr="0028514E" w:rsidRDefault="003B7027" w:rsidP="006E5F9A">
      <w:pPr>
        <w:pStyle w:val="a4"/>
        <w:ind w:left="0"/>
      </w:pPr>
    </w:p>
    <w:p w14:paraId="110C0246" w14:textId="77777777" w:rsidR="003B7027" w:rsidRPr="0028514E" w:rsidRDefault="00296A74" w:rsidP="00D440EB">
      <w:pPr>
        <w:pStyle w:val="a4"/>
        <w:keepNext/>
        <w:ind w:left="0"/>
      </w:pPr>
      <w:r w:rsidRPr="0028514E">
        <w:rPr>
          <w:u w:val="single"/>
        </w:rPr>
        <w:t>Jakautuminen</w:t>
      </w:r>
    </w:p>
    <w:p w14:paraId="14BFED15" w14:textId="77777777" w:rsidR="003B7027" w:rsidRPr="0028514E" w:rsidRDefault="00296A74" w:rsidP="006E5F9A">
      <w:pPr>
        <w:pStyle w:val="a4"/>
        <w:ind w:left="0"/>
      </w:pPr>
      <w:r w:rsidRPr="0028514E">
        <w:t>Yleisoireista lastenreumaa sairastavien lapsipotilaiden keskusjakautumistilavuus oli 1,87 l ja ääreisjakautumistilavuus oli 2,14 l, joten vakaan tilan jakautumistilavuus oli 4,01 l.</w:t>
      </w:r>
    </w:p>
    <w:p w14:paraId="21F6F434" w14:textId="77777777" w:rsidR="003B7027" w:rsidRPr="0028514E" w:rsidRDefault="003B7027" w:rsidP="006E5F9A">
      <w:pPr>
        <w:pStyle w:val="a4"/>
        <w:ind w:left="0"/>
      </w:pPr>
    </w:p>
    <w:p w14:paraId="1A0343DD" w14:textId="77777777" w:rsidR="003B7027" w:rsidRPr="0028514E" w:rsidRDefault="00296A74" w:rsidP="006E5F9A">
      <w:pPr>
        <w:pStyle w:val="a4"/>
        <w:ind w:left="0"/>
      </w:pPr>
      <w:r w:rsidRPr="0028514E">
        <w:rPr>
          <w:u w:val="single"/>
        </w:rPr>
        <w:t>Eliminaatio</w:t>
      </w:r>
    </w:p>
    <w:p w14:paraId="0A4F2804" w14:textId="4598729A" w:rsidR="003B7027" w:rsidRPr="001B58C3" w:rsidRDefault="00296A74" w:rsidP="006E5F9A">
      <w:pPr>
        <w:pStyle w:val="a4"/>
        <w:ind w:left="0"/>
      </w:pPr>
      <w:r w:rsidRPr="001B58C3">
        <w:t>Tosilitsumabin kokonaispuhdistuma oli pitoisuudesta riippuvainen ja se on lineaarisen ja epälineaarisen puhdistuman summa. Lineaarista puhdistumaa arvioitiin populaatiofarmakokineettisen analyysin parametrina, ja se oli yleisoireista lastenreumaa sairastavilla lapsipotilailla 5,7 ml/h.</w:t>
      </w:r>
      <w:r w:rsidR="002D4BFB" w:rsidRPr="001B58C3">
        <w:t xml:space="preserve"> </w:t>
      </w:r>
      <w:r w:rsidRPr="001B58C3">
        <w:t xml:space="preserve">Yleisoireista lastenreumaa sairastavien lapsipotilaiden ihon alle annetun </w:t>
      </w:r>
      <w:r w:rsidR="00E87550">
        <w:t xml:space="preserve">tosilitsumabin </w:t>
      </w:r>
      <w:r w:rsidRPr="001B58C3">
        <w:t>efektiivinen t½ on antovälin aikana vakaassa tilassa enintään 14 vuorokautta riippumatta siitä, annetaanko annos 162 mg kerran viikossa vai joka toinen viikko.</w:t>
      </w:r>
    </w:p>
    <w:p w14:paraId="19BED3CF" w14:textId="77777777" w:rsidR="002D4BFB" w:rsidRPr="0028514E" w:rsidRDefault="002D4BFB" w:rsidP="006E5F9A">
      <w:pPr>
        <w:pStyle w:val="a4"/>
        <w:ind w:left="0"/>
      </w:pPr>
    </w:p>
    <w:p w14:paraId="1E086FC1" w14:textId="44B3FD9B" w:rsidR="00B865DC" w:rsidRDefault="00296A74" w:rsidP="006E5F9A">
      <w:pPr>
        <w:pStyle w:val="a4"/>
        <w:ind w:left="0"/>
      </w:pPr>
      <w:r w:rsidRPr="0028514E">
        <w:rPr>
          <w:u w:val="single"/>
        </w:rPr>
        <w:t>Polyartriitti</w:t>
      </w:r>
    </w:p>
    <w:p w14:paraId="48D06213" w14:textId="01EA8BF9" w:rsidR="003B7027" w:rsidRPr="0028514E" w:rsidRDefault="00296A74" w:rsidP="006E5F9A">
      <w:pPr>
        <w:pStyle w:val="a4"/>
        <w:ind w:left="0"/>
      </w:pPr>
      <w:r w:rsidRPr="0028514E">
        <w:rPr>
          <w:u w:val="single"/>
        </w:rPr>
        <w:t>Ihonalainen annostelu</w:t>
      </w:r>
    </w:p>
    <w:p w14:paraId="7D4F3D61" w14:textId="0DCE0E56" w:rsidR="003B7027" w:rsidRPr="0028514E" w:rsidRDefault="00E87550" w:rsidP="006E5F9A">
      <w:pPr>
        <w:pStyle w:val="a4"/>
        <w:ind w:left="0"/>
      </w:pPr>
      <w:r>
        <w:t xml:space="preserve">Tosilitsumabin </w:t>
      </w:r>
      <w:r w:rsidR="00296A74" w:rsidRPr="0028514E">
        <w:t>farmakokinetiikka määritettiin populaatiofarmakokineettisellä analyysillä</w:t>
      </w:r>
      <w:r w:rsidR="002D4BFB" w:rsidRPr="0028514E">
        <w:t xml:space="preserve"> </w:t>
      </w:r>
      <w:r w:rsidR="00296A74" w:rsidRPr="0028514E">
        <w:t xml:space="preserve">237 polyartriittia sairastavan potilaan potilasjoukosta. Potilaat olivat saaneet </w:t>
      </w:r>
      <w:r>
        <w:t xml:space="preserve">tosilitsumabia </w:t>
      </w:r>
      <w:r w:rsidR="00296A74" w:rsidRPr="0028514E">
        <w:t>8 mg/kg laskimoon joka neljäs viikko (≥ 30 kg painavat potilaat), 10 mg/kg laskimoon joka neljäs viikko</w:t>
      </w:r>
      <w:r w:rsidR="002D4BFB" w:rsidRPr="0028514E">
        <w:t xml:space="preserve"> </w:t>
      </w:r>
      <w:r w:rsidR="00296A74" w:rsidRPr="0028514E">
        <w:t>(&lt; 30 kg painavat potilaat), 162 mg ihon alle joka toinen viikko (≥ 30 kg painavat potilaat), 162 mg ihon alle joka kolmas viikko (&lt; 30 kg painavat potilaat)</w:t>
      </w:r>
    </w:p>
    <w:p w14:paraId="63F2A135" w14:textId="77777777" w:rsidR="002D4BFB" w:rsidRPr="0028514E" w:rsidRDefault="002D4BFB" w:rsidP="006E5F9A">
      <w:pPr>
        <w:pStyle w:val="a4"/>
        <w:ind w:left="0"/>
      </w:pPr>
    </w:p>
    <w:p w14:paraId="6E1F488A" w14:textId="77777777" w:rsidR="003B7027" w:rsidRPr="00CA43F5" w:rsidRDefault="00296A74" w:rsidP="003A6943">
      <w:pPr>
        <w:pStyle w:val="Tabletitle"/>
        <w:rPr>
          <w:lang w:val="fi-FI"/>
        </w:rPr>
      </w:pPr>
      <w:r w:rsidRPr="00CA43F5">
        <w:rPr>
          <w:lang w:val="fi-FI"/>
        </w:rPr>
        <w:t>Taulukko 9.</w:t>
      </w:r>
      <w:r w:rsidR="002D4BFB" w:rsidRPr="00CA43F5">
        <w:rPr>
          <w:lang w:val="fi-FI"/>
        </w:rPr>
        <w:tab/>
      </w:r>
      <w:r w:rsidRPr="00CA43F5">
        <w:rPr>
          <w:lang w:val="fi-FI"/>
        </w:rPr>
        <w:t>Polyartriittia sairastaville lapsipotilaille ihon alle annetun hoidon farmakokineettisten parametrien ennakoidut vakaan tilan keskiarvot ± keskihajonnat</w:t>
      </w:r>
    </w:p>
    <w:p w14:paraId="412ED19D" w14:textId="77777777" w:rsidR="002D4BFB" w:rsidRPr="00CA43F5" w:rsidRDefault="002D4BFB" w:rsidP="003A6943">
      <w:pPr>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972"/>
        <w:gridCol w:w="2804"/>
        <w:gridCol w:w="2980"/>
      </w:tblGrid>
      <w:tr w:rsidR="003B7027" w:rsidRPr="00ED6BAC" w14:paraId="13F8E4AA" w14:textId="77777777" w:rsidTr="006A0FEE">
        <w:trPr>
          <w:trHeight w:val="20"/>
          <w:tblHeader/>
        </w:trPr>
        <w:tc>
          <w:tcPr>
            <w:tcW w:w="2972" w:type="dxa"/>
          </w:tcPr>
          <w:p w14:paraId="3C2C5B10" w14:textId="3508C3DF" w:rsidR="003B7027" w:rsidRPr="001B58C3" w:rsidRDefault="00E87550" w:rsidP="006E5F9A">
            <w:pPr>
              <w:pStyle w:val="TableParagraph"/>
              <w:rPr>
                <w:b/>
                <w:sz w:val="20"/>
                <w:szCs w:val="20"/>
              </w:rPr>
            </w:pPr>
            <w:r>
              <w:rPr>
                <w:b/>
                <w:sz w:val="20"/>
                <w:szCs w:val="20"/>
              </w:rPr>
              <w:t>Tosilitsumabin</w:t>
            </w:r>
            <w:r w:rsidRPr="001B58C3">
              <w:rPr>
                <w:b/>
                <w:sz w:val="20"/>
                <w:szCs w:val="20"/>
              </w:rPr>
              <w:t xml:space="preserve"> </w:t>
            </w:r>
            <w:r w:rsidR="00296A74" w:rsidRPr="001B58C3">
              <w:rPr>
                <w:b/>
                <w:sz w:val="20"/>
                <w:szCs w:val="20"/>
              </w:rPr>
              <w:t>farmakokineettiset parametrit</w:t>
            </w:r>
          </w:p>
        </w:tc>
        <w:tc>
          <w:tcPr>
            <w:tcW w:w="2804" w:type="dxa"/>
          </w:tcPr>
          <w:p w14:paraId="0CAE454A" w14:textId="77777777" w:rsidR="003B7027" w:rsidRPr="001B58C3" w:rsidRDefault="00296A74" w:rsidP="006E5F9A">
            <w:pPr>
              <w:pStyle w:val="TableParagraph"/>
              <w:jc w:val="center"/>
              <w:rPr>
                <w:b/>
                <w:sz w:val="20"/>
                <w:szCs w:val="20"/>
              </w:rPr>
            </w:pPr>
            <w:r w:rsidRPr="001B58C3">
              <w:rPr>
                <w:b/>
                <w:sz w:val="20"/>
                <w:szCs w:val="20"/>
              </w:rPr>
              <w:t>162 mg joka 2. viikko ≥ 30 kg</w:t>
            </w:r>
          </w:p>
        </w:tc>
        <w:tc>
          <w:tcPr>
            <w:tcW w:w="2980" w:type="dxa"/>
          </w:tcPr>
          <w:p w14:paraId="14A4DE82" w14:textId="77777777" w:rsidR="003B7027" w:rsidRPr="001B58C3" w:rsidRDefault="00296A74" w:rsidP="006E5F9A">
            <w:pPr>
              <w:pStyle w:val="TableParagraph"/>
              <w:jc w:val="center"/>
              <w:rPr>
                <w:b/>
                <w:sz w:val="20"/>
                <w:szCs w:val="20"/>
              </w:rPr>
            </w:pPr>
            <w:r w:rsidRPr="001B58C3">
              <w:rPr>
                <w:b/>
                <w:sz w:val="20"/>
                <w:szCs w:val="20"/>
              </w:rPr>
              <w:t>162 mg joka 3. viikko alle 30 kg</w:t>
            </w:r>
          </w:p>
        </w:tc>
      </w:tr>
      <w:tr w:rsidR="003B7027" w:rsidRPr="00777B93" w14:paraId="6061933F" w14:textId="77777777" w:rsidTr="006A0FEE">
        <w:trPr>
          <w:trHeight w:val="20"/>
        </w:trPr>
        <w:tc>
          <w:tcPr>
            <w:tcW w:w="2972" w:type="dxa"/>
          </w:tcPr>
          <w:p w14:paraId="4E691384" w14:textId="77777777" w:rsidR="003B7027" w:rsidRPr="001B58C3" w:rsidRDefault="00296A74" w:rsidP="006E5F9A">
            <w:pPr>
              <w:pStyle w:val="TableParagraph"/>
              <w:rPr>
                <w:sz w:val="20"/>
                <w:szCs w:val="20"/>
              </w:rPr>
            </w:pPr>
            <w:r w:rsidRPr="001B58C3">
              <w:rPr>
                <w:sz w:val="20"/>
                <w:szCs w:val="20"/>
              </w:rPr>
              <w:t>C</w:t>
            </w:r>
            <w:r w:rsidRPr="001B58C3">
              <w:rPr>
                <w:sz w:val="20"/>
                <w:szCs w:val="20"/>
                <w:vertAlign w:val="subscript"/>
              </w:rPr>
              <w:t>max</w:t>
            </w:r>
            <w:r w:rsidRPr="001B58C3">
              <w:rPr>
                <w:sz w:val="20"/>
                <w:szCs w:val="20"/>
              </w:rPr>
              <w:t xml:space="preserve"> (µg/ml)</w:t>
            </w:r>
          </w:p>
        </w:tc>
        <w:tc>
          <w:tcPr>
            <w:tcW w:w="2804" w:type="dxa"/>
            <w:vAlign w:val="center"/>
          </w:tcPr>
          <w:p w14:paraId="301E8CEA" w14:textId="77777777" w:rsidR="003B7027" w:rsidRPr="001B58C3" w:rsidRDefault="00296A74" w:rsidP="006E5F9A">
            <w:pPr>
              <w:pStyle w:val="TableParagraph"/>
              <w:jc w:val="center"/>
              <w:rPr>
                <w:sz w:val="20"/>
                <w:szCs w:val="20"/>
              </w:rPr>
            </w:pPr>
            <w:r w:rsidRPr="001B58C3">
              <w:rPr>
                <w:sz w:val="20"/>
                <w:szCs w:val="20"/>
              </w:rPr>
              <w:t>29,4 ± 13,5</w:t>
            </w:r>
          </w:p>
        </w:tc>
        <w:tc>
          <w:tcPr>
            <w:tcW w:w="2980" w:type="dxa"/>
            <w:vAlign w:val="center"/>
          </w:tcPr>
          <w:p w14:paraId="1F10BE4F" w14:textId="77777777" w:rsidR="003B7027" w:rsidRPr="001B58C3" w:rsidRDefault="00296A74" w:rsidP="006E5F9A">
            <w:pPr>
              <w:pStyle w:val="TableParagraph"/>
              <w:jc w:val="center"/>
              <w:rPr>
                <w:sz w:val="20"/>
                <w:szCs w:val="20"/>
              </w:rPr>
            </w:pPr>
            <w:r w:rsidRPr="001B58C3">
              <w:rPr>
                <w:sz w:val="20"/>
                <w:szCs w:val="20"/>
              </w:rPr>
              <w:t>75,5 ± 24,1</w:t>
            </w:r>
          </w:p>
        </w:tc>
      </w:tr>
      <w:tr w:rsidR="003B7027" w:rsidRPr="00777B93" w14:paraId="74DF9C90" w14:textId="77777777" w:rsidTr="006A0FEE">
        <w:trPr>
          <w:trHeight w:val="20"/>
        </w:trPr>
        <w:tc>
          <w:tcPr>
            <w:tcW w:w="2972" w:type="dxa"/>
          </w:tcPr>
          <w:p w14:paraId="1A5ABAB8" w14:textId="77777777" w:rsidR="003B7027" w:rsidRPr="001B58C3" w:rsidRDefault="00296A74" w:rsidP="006E5F9A">
            <w:pPr>
              <w:pStyle w:val="TableParagraph"/>
              <w:rPr>
                <w:sz w:val="20"/>
                <w:szCs w:val="20"/>
              </w:rPr>
            </w:pPr>
            <w:r w:rsidRPr="001B58C3">
              <w:rPr>
                <w:sz w:val="20"/>
                <w:szCs w:val="20"/>
              </w:rPr>
              <w:t>C</w:t>
            </w:r>
            <w:r w:rsidRPr="001B58C3">
              <w:rPr>
                <w:sz w:val="20"/>
                <w:szCs w:val="20"/>
                <w:vertAlign w:val="subscript"/>
              </w:rPr>
              <w:t>min</w:t>
            </w:r>
            <w:r w:rsidRPr="001B58C3">
              <w:rPr>
                <w:sz w:val="20"/>
                <w:szCs w:val="20"/>
              </w:rPr>
              <w:t xml:space="preserve"> (µg/ml)</w:t>
            </w:r>
          </w:p>
        </w:tc>
        <w:tc>
          <w:tcPr>
            <w:tcW w:w="2804" w:type="dxa"/>
            <w:vAlign w:val="center"/>
          </w:tcPr>
          <w:p w14:paraId="25B9EEBA" w14:textId="77777777" w:rsidR="003B7027" w:rsidRPr="001B58C3" w:rsidRDefault="00296A74" w:rsidP="006E5F9A">
            <w:pPr>
              <w:pStyle w:val="TableParagraph"/>
              <w:jc w:val="center"/>
              <w:rPr>
                <w:sz w:val="20"/>
                <w:szCs w:val="20"/>
              </w:rPr>
            </w:pPr>
            <w:r w:rsidRPr="001B58C3">
              <w:rPr>
                <w:sz w:val="20"/>
                <w:szCs w:val="20"/>
              </w:rPr>
              <w:t>11,8 ± 7,08</w:t>
            </w:r>
          </w:p>
        </w:tc>
        <w:tc>
          <w:tcPr>
            <w:tcW w:w="2980" w:type="dxa"/>
            <w:vAlign w:val="center"/>
          </w:tcPr>
          <w:p w14:paraId="69080CCA" w14:textId="77777777" w:rsidR="003B7027" w:rsidRPr="001B58C3" w:rsidRDefault="00296A74" w:rsidP="006E5F9A">
            <w:pPr>
              <w:pStyle w:val="TableParagraph"/>
              <w:jc w:val="center"/>
              <w:rPr>
                <w:sz w:val="20"/>
                <w:szCs w:val="20"/>
              </w:rPr>
            </w:pPr>
            <w:r w:rsidRPr="001B58C3">
              <w:rPr>
                <w:sz w:val="20"/>
                <w:szCs w:val="20"/>
              </w:rPr>
              <w:t>18,4 ± 12,9</w:t>
            </w:r>
          </w:p>
        </w:tc>
      </w:tr>
      <w:tr w:rsidR="003B7027" w:rsidRPr="00777B93" w14:paraId="44D8A054" w14:textId="77777777" w:rsidTr="006A0FEE">
        <w:trPr>
          <w:trHeight w:val="20"/>
        </w:trPr>
        <w:tc>
          <w:tcPr>
            <w:tcW w:w="2972" w:type="dxa"/>
          </w:tcPr>
          <w:p w14:paraId="418631D4" w14:textId="77777777" w:rsidR="003B7027" w:rsidRPr="001B58C3" w:rsidRDefault="00296A74" w:rsidP="006E5F9A">
            <w:pPr>
              <w:pStyle w:val="TableParagraph"/>
              <w:rPr>
                <w:sz w:val="20"/>
                <w:szCs w:val="20"/>
              </w:rPr>
            </w:pPr>
            <w:r w:rsidRPr="001B58C3">
              <w:rPr>
                <w:sz w:val="20"/>
                <w:szCs w:val="20"/>
              </w:rPr>
              <w:t>C</w:t>
            </w:r>
            <w:r w:rsidRPr="001B58C3">
              <w:rPr>
                <w:sz w:val="20"/>
                <w:szCs w:val="20"/>
                <w:vertAlign w:val="subscript"/>
              </w:rPr>
              <w:t>avg</w:t>
            </w:r>
            <w:r w:rsidRPr="001B58C3">
              <w:rPr>
                <w:sz w:val="20"/>
                <w:szCs w:val="20"/>
              </w:rPr>
              <w:t xml:space="preserve"> (µg/ml)</w:t>
            </w:r>
          </w:p>
        </w:tc>
        <w:tc>
          <w:tcPr>
            <w:tcW w:w="2804" w:type="dxa"/>
            <w:vAlign w:val="center"/>
          </w:tcPr>
          <w:p w14:paraId="5432730C" w14:textId="77777777" w:rsidR="003B7027" w:rsidRPr="001B58C3" w:rsidRDefault="00296A74" w:rsidP="006E5F9A">
            <w:pPr>
              <w:pStyle w:val="TableParagraph"/>
              <w:jc w:val="center"/>
              <w:rPr>
                <w:sz w:val="20"/>
                <w:szCs w:val="20"/>
              </w:rPr>
            </w:pPr>
            <w:r w:rsidRPr="001B58C3">
              <w:rPr>
                <w:sz w:val="20"/>
                <w:szCs w:val="20"/>
              </w:rPr>
              <w:t>21,7 ± 10,4</w:t>
            </w:r>
          </w:p>
        </w:tc>
        <w:tc>
          <w:tcPr>
            <w:tcW w:w="2980" w:type="dxa"/>
            <w:vAlign w:val="center"/>
          </w:tcPr>
          <w:p w14:paraId="2E7475D1" w14:textId="77777777" w:rsidR="003B7027" w:rsidRPr="001B58C3" w:rsidRDefault="00296A74" w:rsidP="006E5F9A">
            <w:pPr>
              <w:pStyle w:val="TableParagraph"/>
              <w:jc w:val="center"/>
              <w:rPr>
                <w:sz w:val="20"/>
                <w:szCs w:val="20"/>
              </w:rPr>
            </w:pPr>
            <w:r w:rsidRPr="001B58C3">
              <w:rPr>
                <w:sz w:val="20"/>
                <w:szCs w:val="20"/>
              </w:rPr>
              <w:t>45,5 ± 19,8</w:t>
            </w:r>
          </w:p>
        </w:tc>
      </w:tr>
      <w:tr w:rsidR="003B7027" w:rsidRPr="00777B93" w14:paraId="10F08F77" w14:textId="77777777" w:rsidTr="006A0FEE">
        <w:trPr>
          <w:trHeight w:val="20"/>
        </w:trPr>
        <w:tc>
          <w:tcPr>
            <w:tcW w:w="2972" w:type="dxa"/>
          </w:tcPr>
          <w:p w14:paraId="458B8258" w14:textId="77777777" w:rsidR="003B7027" w:rsidRPr="001B58C3" w:rsidRDefault="00296A74" w:rsidP="006E5F9A">
            <w:pPr>
              <w:pStyle w:val="TableParagraph"/>
              <w:rPr>
                <w:sz w:val="20"/>
                <w:szCs w:val="20"/>
              </w:rPr>
            </w:pPr>
            <w:r w:rsidRPr="001B58C3">
              <w:rPr>
                <w:sz w:val="20"/>
                <w:szCs w:val="20"/>
              </w:rPr>
              <w:t>Kumuloitumisen C</w:t>
            </w:r>
            <w:r w:rsidRPr="001B58C3">
              <w:rPr>
                <w:sz w:val="20"/>
                <w:szCs w:val="20"/>
                <w:vertAlign w:val="subscript"/>
              </w:rPr>
              <w:t>max</w:t>
            </w:r>
          </w:p>
        </w:tc>
        <w:tc>
          <w:tcPr>
            <w:tcW w:w="2804" w:type="dxa"/>
            <w:vAlign w:val="center"/>
          </w:tcPr>
          <w:p w14:paraId="14143CEB" w14:textId="77777777" w:rsidR="003B7027" w:rsidRPr="001B58C3" w:rsidRDefault="00296A74" w:rsidP="006E5F9A">
            <w:pPr>
              <w:pStyle w:val="TableParagraph"/>
              <w:jc w:val="center"/>
              <w:rPr>
                <w:sz w:val="20"/>
                <w:szCs w:val="20"/>
              </w:rPr>
            </w:pPr>
            <w:r w:rsidRPr="001B58C3">
              <w:rPr>
                <w:sz w:val="20"/>
                <w:szCs w:val="20"/>
              </w:rPr>
              <w:t>1,72</w:t>
            </w:r>
          </w:p>
        </w:tc>
        <w:tc>
          <w:tcPr>
            <w:tcW w:w="2980" w:type="dxa"/>
            <w:vAlign w:val="center"/>
          </w:tcPr>
          <w:p w14:paraId="6771B9C4" w14:textId="77777777" w:rsidR="003B7027" w:rsidRPr="001B58C3" w:rsidRDefault="00296A74" w:rsidP="006E5F9A">
            <w:pPr>
              <w:pStyle w:val="TableParagraph"/>
              <w:jc w:val="center"/>
              <w:rPr>
                <w:sz w:val="20"/>
                <w:szCs w:val="20"/>
              </w:rPr>
            </w:pPr>
            <w:r w:rsidRPr="001B58C3">
              <w:rPr>
                <w:sz w:val="20"/>
                <w:szCs w:val="20"/>
              </w:rPr>
              <w:t>1,32</w:t>
            </w:r>
          </w:p>
        </w:tc>
      </w:tr>
      <w:tr w:rsidR="003B7027" w:rsidRPr="00777B93" w14:paraId="0BFEA920" w14:textId="77777777" w:rsidTr="006A0FEE">
        <w:trPr>
          <w:trHeight w:val="20"/>
        </w:trPr>
        <w:tc>
          <w:tcPr>
            <w:tcW w:w="2972" w:type="dxa"/>
          </w:tcPr>
          <w:p w14:paraId="77BC73FC" w14:textId="77777777" w:rsidR="003B7027" w:rsidRPr="001B58C3" w:rsidRDefault="00296A74" w:rsidP="006E5F9A">
            <w:pPr>
              <w:pStyle w:val="TableParagraph"/>
              <w:rPr>
                <w:sz w:val="20"/>
                <w:szCs w:val="20"/>
              </w:rPr>
            </w:pPr>
            <w:r w:rsidRPr="001B58C3">
              <w:rPr>
                <w:sz w:val="20"/>
                <w:szCs w:val="20"/>
              </w:rPr>
              <w:t>Kumuloitumisen C</w:t>
            </w:r>
            <w:r w:rsidRPr="001B58C3">
              <w:rPr>
                <w:sz w:val="20"/>
                <w:szCs w:val="20"/>
                <w:vertAlign w:val="subscript"/>
              </w:rPr>
              <w:t>min</w:t>
            </w:r>
          </w:p>
        </w:tc>
        <w:tc>
          <w:tcPr>
            <w:tcW w:w="2804" w:type="dxa"/>
            <w:vAlign w:val="center"/>
          </w:tcPr>
          <w:p w14:paraId="13BA8DC0" w14:textId="77777777" w:rsidR="003B7027" w:rsidRPr="001B58C3" w:rsidRDefault="00296A74" w:rsidP="006E5F9A">
            <w:pPr>
              <w:pStyle w:val="TableParagraph"/>
              <w:jc w:val="center"/>
              <w:rPr>
                <w:sz w:val="20"/>
                <w:szCs w:val="20"/>
              </w:rPr>
            </w:pPr>
            <w:r w:rsidRPr="001B58C3">
              <w:rPr>
                <w:sz w:val="20"/>
                <w:szCs w:val="20"/>
              </w:rPr>
              <w:t>3,58</w:t>
            </w:r>
          </w:p>
        </w:tc>
        <w:tc>
          <w:tcPr>
            <w:tcW w:w="2980" w:type="dxa"/>
            <w:vAlign w:val="center"/>
          </w:tcPr>
          <w:p w14:paraId="76DCB452" w14:textId="77777777" w:rsidR="003B7027" w:rsidRPr="001B58C3" w:rsidRDefault="00296A74" w:rsidP="006E5F9A">
            <w:pPr>
              <w:pStyle w:val="TableParagraph"/>
              <w:jc w:val="center"/>
              <w:rPr>
                <w:sz w:val="20"/>
                <w:szCs w:val="20"/>
              </w:rPr>
            </w:pPr>
            <w:r w:rsidRPr="001B58C3">
              <w:rPr>
                <w:sz w:val="20"/>
                <w:szCs w:val="20"/>
              </w:rPr>
              <w:t>2,08</w:t>
            </w:r>
          </w:p>
        </w:tc>
      </w:tr>
      <w:tr w:rsidR="003B7027" w:rsidRPr="00777B93" w14:paraId="49C37E7C" w14:textId="77777777" w:rsidTr="006A0FEE">
        <w:trPr>
          <w:cantSplit/>
          <w:trHeight w:val="20"/>
        </w:trPr>
        <w:tc>
          <w:tcPr>
            <w:tcW w:w="2972" w:type="dxa"/>
          </w:tcPr>
          <w:p w14:paraId="43AAE380" w14:textId="7668FD1D" w:rsidR="003B7027" w:rsidRPr="001B58C3" w:rsidRDefault="00296A74" w:rsidP="006E5F9A">
            <w:pPr>
              <w:pStyle w:val="TableParagraph"/>
              <w:rPr>
                <w:sz w:val="20"/>
                <w:szCs w:val="20"/>
              </w:rPr>
            </w:pPr>
            <w:r w:rsidRPr="001B58C3">
              <w:rPr>
                <w:sz w:val="20"/>
                <w:szCs w:val="20"/>
              </w:rPr>
              <w:t>Kumuloitumisen C</w:t>
            </w:r>
            <w:r w:rsidRPr="001B58C3">
              <w:rPr>
                <w:sz w:val="20"/>
                <w:szCs w:val="20"/>
                <w:vertAlign w:val="subscript"/>
              </w:rPr>
              <w:t>mean</w:t>
            </w:r>
            <w:r w:rsidRPr="001B58C3">
              <w:rPr>
                <w:sz w:val="20"/>
                <w:szCs w:val="20"/>
              </w:rPr>
              <w:t xml:space="preserve"> tai AUC</w:t>
            </w:r>
            <w:r w:rsidRPr="001B58C3">
              <w:rPr>
                <w:sz w:val="20"/>
                <w:szCs w:val="20"/>
                <w:vertAlign w:val="subscript"/>
              </w:rPr>
              <w:t>τ</w:t>
            </w:r>
            <w:r w:rsidRPr="001B58C3">
              <w:rPr>
                <w:sz w:val="20"/>
                <w:szCs w:val="20"/>
              </w:rPr>
              <w:t xml:space="preserve"> </w:t>
            </w:r>
            <w:r w:rsidR="00DE1F8E" w:rsidRPr="001B58C3">
              <w:rPr>
                <w:sz w:val="20"/>
                <w:szCs w:val="20"/>
              </w:rPr>
              <w:t>*</w:t>
            </w:r>
          </w:p>
        </w:tc>
        <w:tc>
          <w:tcPr>
            <w:tcW w:w="2804" w:type="dxa"/>
            <w:vAlign w:val="center"/>
          </w:tcPr>
          <w:p w14:paraId="0DE68C28" w14:textId="77777777" w:rsidR="003B7027" w:rsidRPr="001B58C3" w:rsidRDefault="00296A74" w:rsidP="006E5F9A">
            <w:pPr>
              <w:pStyle w:val="TableParagraph"/>
              <w:jc w:val="center"/>
              <w:rPr>
                <w:sz w:val="20"/>
                <w:szCs w:val="20"/>
              </w:rPr>
            </w:pPr>
            <w:r w:rsidRPr="001B58C3">
              <w:rPr>
                <w:sz w:val="20"/>
                <w:szCs w:val="20"/>
              </w:rPr>
              <w:t>2,04</w:t>
            </w:r>
          </w:p>
        </w:tc>
        <w:tc>
          <w:tcPr>
            <w:tcW w:w="2980" w:type="dxa"/>
            <w:vAlign w:val="center"/>
          </w:tcPr>
          <w:p w14:paraId="609B8829" w14:textId="77777777" w:rsidR="003B7027" w:rsidRPr="001B58C3" w:rsidRDefault="00296A74" w:rsidP="006E5F9A">
            <w:pPr>
              <w:pStyle w:val="TableParagraph"/>
              <w:jc w:val="center"/>
              <w:rPr>
                <w:sz w:val="20"/>
                <w:szCs w:val="20"/>
              </w:rPr>
            </w:pPr>
            <w:r w:rsidRPr="001B58C3">
              <w:rPr>
                <w:sz w:val="20"/>
                <w:szCs w:val="20"/>
              </w:rPr>
              <w:t>1,46</w:t>
            </w:r>
          </w:p>
        </w:tc>
      </w:tr>
    </w:tbl>
    <w:p w14:paraId="6BD842F8" w14:textId="77777777" w:rsidR="003B7027" w:rsidRPr="00CA43F5" w:rsidRDefault="00296A74" w:rsidP="006E5F9A">
      <w:pPr>
        <w:rPr>
          <w:sz w:val="18"/>
          <w:lang w:val="fi-FI"/>
        </w:rPr>
      </w:pPr>
      <w:r w:rsidRPr="00CA43F5">
        <w:rPr>
          <w:sz w:val="18"/>
          <w:lang w:val="fi-FI"/>
        </w:rPr>
        <w:t>*</w:t>
      </w:r>
      <w:r w:rsidRPr="0028514E">
        <w:rPr>
          <w:sz w:val="18"/>
        </w:rPr>
        <w:t>τ</w:t>
      </w:r>
      <w:r w:rsidRPr="00CA43F5">
        <w:rPr>
          <w:sz w:val="18"/>
          <w:lang w:val="fi-FI"/>
        </w:rPr>
        <w:t xml:space="preserve"> = kaksi hoito-ohjelmaa: joka 2. viikko tai joka 3. viikko ihon alle</w:t>
      </w:r>
    </w:p>
    <w:p w14:paraId="628E21D2" w14:textId="77777777" w:rsidR="003B7027" w:rsidRPr="0028514E" w:rsidRDefault="003B7027" w:rsidP="003A6943">
      <w:pPr>
        <w:pStyle w:val="a4"/>
        <w:ind w:left="0"/>
        <w:rPr>
          <w:sz w:val="18"/>
        </w:rPr>
      </w:pPr>
    </w:p>
    <w:p w14:paraId="01B46DB4" w14:textId="77777777" w:rsidR="003B7027" w:rsidRPr="0028514E" w:rsidRDefault="00296A74" w:rsidP="003A6943">
      <w:pPr>
        <w:pStyle w:val="a4"/>
        <w:ind w:left="0"/>
      </w:pPr>
      <w:r w:rsidRPr="0028514E">
        <w:t>Noin 90 % potilaista saavutti vakaan tilan laskimoon annettujen annosten 10 mg/kg (paino &lt; 30 kg) yhteydessä viikkoon 12 mennessä ja annosten 8 mg/kg (paino ≥ 30 kg) yhteydessä viikkoon 16 mennessä. Noin 90 % potilaista kummassakin ryhmässä (antotiheys joka toinen viikko ja joka kolmas viikko) saavutti vakaan tilan ihon alle annettujen 162 mg:n annosten yhteydessä viikkoon 12 mennessä.</w:t>
      </w:r>
    </w:p>
    <w:p w14:paraId="01E141E6" w14:textId="77777777" w:rsidR="00E84F40" w:rsidRPr="0028514E" w:rsidRDefault="00E84F40" w:rsidP="003A6943">
      <w:pPr>
        <w:pStyle w:val="a4"/>
        <w:ind w:left="0"/>
      </w:pPr>
    </w:p>
    <w:p w14:paraId="39A9CE2D" w14:textId="77777777" w:rsidR="003B7027" w:rsidRPr="0028514E" w:rsidRDefault="00296A74" w:rsidP="003A6943">
      <w:pPr>
        <w:pStyle w:val="a4"/>
        <w:keepNext/>
        <w:keepLines/>
        <w:ind w:left="0"/>
      </w:pPr>
      <w:r w:rsidRPr="0028514E">
        <w:rPr>
          <w:u w:val="single"/>
        </w:rPr>
        <w:t>Imeytyminen</w:t>
      </w:r>
    </w:p>
    <w:p w14:paraId="425778F9" w14:textId="77777777" w:rsidR="003B7027" w:rsidRPr="0028514E" w:rsidRDefault="00296A74" w:rsidP="003A6943">
      <w:pPr>
        <w:pStyle w:val="a4"/>
        <w:ind w:left="0"/>
      </w:pPr>
      <w:r w:rsidRPr="0028514E">
        <w:t>Polyartriittia sairastavien lapsipotilaiden ihon alle annettuna imeytymisen puoliintumisaika oli noin 2 vuorokautta ja polyartriittia sairastavien lapsipotilaiden ihon alle annettavaksi tarkoitetun lääkemuodon biologinen hyötyosuus oli 96 %.</w:t>
      </w:r>
    </w:p>
    <w:p w14:paraId="30C8B87B" w14:textId="77777777" w:rsidR="003B7027" w:rsidRPr="0028514E" w:rsidRDefault="003B7027" w:rsidP="003A6943">
      <w:pPr>
        <w:pStyle w:val="a4"/>
        <w:ind w:left="0"/>
      </w:pPr>
    </w:p>
    <w:p w14:paraId="1F5A203A" w14:textId="77777777" w:rsidR="003B7027" w:rsidRPr="0028514E" w:rsidRDefault="00296A74" w:rsidP="003A6943">
      <w:pPr>
        <w:pStyle w:val="a4"/>
        <w:ind w:left="0"/>
      </w:pPr>
      <w:r w:rsidRPr="0028514E">
        <w:rPr>
          <w:u w:val="single"/>
        </w:rPr>
        <w:t>Jakautuminen</w:t>
      </w:r>
    </w:p>
    <w:p w14:paraId="5F9306DE" w14:textId="77777777" w:rsidR="003B7027" w:rsidRPr="0028514E" w:rsidRDefault="00296A74" w:rsidP="003A6943">
      <w:pPr>
        <w:pStyle w:val="a4"/>
        <w:ind w:left="0"/>
      </w:pPr>
      <w:r w:rsidRPr="0028514E">
        <w:t>Polyartriittia sairastavien lapsipotilaiden keskusjakautumistilavuus oli 1,97 l ja ääreisjakautumistilavuus oli 2,03 l, joten vakaan tilan jakautumistilavuus oli 4,0 l.</w:t>
      </w:r>
    </w:p>
    <w:p w14:paraId="267B5C86" w14:textId="77777777" w:rsidR="003B7027" w:rsidRPr="0028514E" w:rsidRDefault="003B7027" w:rsidP="003A6943">
      <w:pPr>
        <w:pStyle w:val="a4"/>
        <w:ind w:left="0"/>
      </w:pPr>
    </w:p>
    <w:p w14:paraId="65994D67" w14:textId="77777777" w:rsidR="003B7027" w:rsidRPr="0028514E" w:rsidRDefault="00296A74" w:rsidP="00D57B3C">
      <w:pPr>
        <w:pStyle w:val="a4"/>
        <w:keepNext/>
        <w:keepLines/>
        <w:ind w:left="0"/>
      </w:pPr>
      <w:r w:rsidRPr="0028514E">
        <w:rPr>
          <w:u w:val="single"/>
        </w:rPr>
        <w:t>Eliminaatio</w:t>
      </w:r>
    </w:p>
    <w:p w14:paraId="453B689F" w14:textId="77777777" w:rsidR="003B7027" w:rsidRPr="0028514E" w:rsidRDefault="00296A74" w:rsidP="003A6943">
      <w:pPr>
        <w:pStyle w:val="a4"/>
        <w:ind w:left="0"/>
      </w:pPr>
      <w:r w:rsidRPr="0028514E">
        <w:t>Populaatiofarmakokineettinen analyysi polyartriittia sairastavista lapsipotilaista osoitti, että kehon koko vaikuttaa lineaariseen puhdistumaan ja siksi painoon perustuvaa annostusta tulisi harkita (ks. taulukko 9).</w:t>
      </w:r>
    </w:p>
    <w:p w14:paraId="13296D70" w14:textId="77777777" w:rsidR="00E84F40" w:rsidRPr="003A6943" w:rsidRDefault="00E84F40" w:rsidP="003A6943">
      <w:pPr>
        <w:pStyle w:val="a4"/>
        <w:ind w:left="0"/>
      </w:pPr>
    </w:p>
    <w:p w14:paraId="375814B7" w14:textId="2C4F188E" w:rsidR="003B7027" w:rsidRPr="003A6943" w:rsidRDefault="00296A74" w:rsidP="003A6943">
      <w:pPr>
        <w:pStyle w:val="a4"/>
        <w:ind w:left="0"/>
      </w:pPr>
      <w:r w:rsidRPr="003A6943">
        <w:t xml:space="preserve">Polyartriittia sairastavien lapsipotilaiden ihon alle annetun </w:t>
      </w:r>
      <w:r w:rsidR="00E87550">
        <w:t xml:space="preserve">tosilitsumabin </w:t>
      </w:r>
      <w:r w:rsidRPr="003A6943">
        <w:t>efektiivinen t</w:t>
      </w:r>
      <w:r w:rsidRPr="003A6943">
        <w:rPr>
          <w:vertAlign w:val="subscript"/>
        </w:rPr>
        <w:t>½</w:t>
      </w:r>
      <w:r w:rsidRPr="003A6943">
        <w:t xml:space="preserve"> on antovälin aikana vakaassa tilassa &lt; 30 kg:n painoisilla potilailla enintään 10 vuorokautta (162 mg ihon alle kerran kolmessa viikossa) ja ≥ 30 kg:n painoisilla potilailla enintään 7 vuorokautta (162 mg ihon alle kerran kahdessa viikossa). Laskimoon annettu tosilitsumabi poistuu verenkierrosta kaksivaiheisesti. Tosilitsumabin kokonaispuhdistuma oli pitoisuudesta riippuvainen ja se on lineaarisen ja epälineaarisen puhdistuman summa. Lineaarista puhdistumaa arvioitiin populaatiofarmakokineettisen analyysin parametrina, ja se oli 6,25 ml/h. Pienten tosilitsumabipitoisuuksien yhteydessä pitoisuudesta riippuvaisella epälineaarisella puhdistumalla on suuri merkitys. Kun epälineaarinen puhdistumareitti on suurempien tosilitsumabipitoisuuksien yhteydessä saturoitunut, puhdistuma määräytyy pääasiassa lineaarisen puhdistuman mukaan.</w:t>
      </w:r>
    </w:p>
    <w:p w14:paraId="491F7EB5" w14:textId="77777777" w:rsidR="00E84F40" w:rsidRPr="003A6943" w:rsidRDefault="00E84F40" w:rsidP="003A6943">
      <w:pPr>
        <w:pStyle w:val="a4"/>
        <w:ind w:left="0"/>
      </w:pPr>
    </w:p>
    <w:p w14:paraId="584CB181" w14:textId="77777777" w:rsidR="00E84F40" w:rsidRPr="0028514E" w:rsidRDefault="00296A74" w:rsidP="006E5F9A">
      <w:pPr>
        <w:pStyle w:val="a4"/>
        <w:keepNext/>
        <w:ind w:left="0"/>
      </w:pPr>
      <w:r w:rsidRPr="0028514E">
        <w:rPr>
          <w:u w:val="single"/>
        </w:rPr>
        <w:t>Jättisoluarteriitti</w:t>
      </w:r>
    </w:p>
    <w:p w14:paraId="11429435" w14:textId="77777777" w:rsidR="003B7027" w:rsidRPr="0028514E" w:rsidRDefault="00296A74" w:rsidP="006E5F9A">
      <w:pPr>
        <w:pStyle w:val="a4"/>
        <w:ind w:left="0"/>
      </w:pPr>
      <w:r w:rsidRPr="0028514E">
        <w:rPr>
          <w:u w:val="single"/>
        </w:rPr>
        <w:t>Ihonalainen annostelu</w:t>
      </w:r>
    </w:p>
    <w:p w14:paraId="423C6FC6" w14:textId="716DD18E" w:rsidR="003B7027" w:rsidRPr="0028514E" w:rsidRDefault="00E87550" w:rsidP="006E5F9A">
      <w:pPr>
        <w:pStyle w:val="a4"/>
        <w:ind w:left="0"/>
      </w:pPr>
      <w:r>
        <w:t xml:space="preserve">Tosilitsumabin </w:t>
      </w:r>
      <w:r w:rsidR="00296A74" w:rsidRPr="0028514E">
        <w:t>farmakokinetiikkaa jättisoluarteriittia sairastavilla potilailla selvitettiin analysoitavasta tietueesta populaatiofarmakokineettisen mallin avulla. Tietueessa oli mukana</w:t>
      </w:r>
      <w:r w:rsidR="00E84F40" w:rsidRPr="0028514E">
        <w:t xml:space="preserve"> </w:t>
      </w:r>
      <w:r w:rsidR="00296A74" w:rsidRPr="0028514E">
        <w:t>149 jättisoluarteriittipotilasta, jotka saivat hoitona 162 mg ihon alle viikoittain tai 162 mg ihon alle joka toinen viikko. Kehitetyn mallin rakenne oli sama kuin aiemmin nivelreumapotilaiden tietojen perusteella kehitetty farmakokineettinen malli (ks. taulukko 10).</w:t>
      </w:r>
    </w:p>
    <w:p w14:paraId="2398D373" w14:textId="77777777" w:rsidR="00E84F40" w:rsidRPr="0028514E" w:rsidRDefault="00E84F40" w:rsidP="006E5F9A">
      <w:pPr>
        <w:pStyle w:val="a4"/>
        <w:ind w:left="0"/>
      </w:pPr>
    </w:p>
    <w:p w14:paraId="38F4B86C" w14:textId="77777777" w:rsidR="003B7027" w:rsidRPr="00CA43F5" w:rsidRDefault="00296A74" w:rsidP="003A6943">
      <w:pPr>
        <w:pStyle w:val="Tabletitle"/>
        <w:rPr>
          <w:lang w:val="fi-FI"/>
        </w:rPr>
      </w:pPr>
      <w:r w:rsidRPr="00CA43F5">
        <w:rPr>
          <w:lang w:val="fi-FI"/>
        </w:rPr>
        <w:t xml:space="preserve">Taulukko 10. </w:t>
      </w:r>
      <w:r w:rsidR="003A6943" w:rsidRPr="00CA43F5">
        <w:rPr>
          <w:lang w:val="fi-FI"/>
        </w:rPr>
        <w:tab/>
      </w:r>
      <w:r w:rsidRPr="00CA43F5">
        <w:rPr>
          <w:lang w:val="fi-FI"/>
        </w:rPr>
        <w:t>Jättisoluarteriittipotilaiden ihon alle annostelun jälkeisen vakaan tilan ennustettujen farmakokineettisten parametrien keskiarvot ± keskihajonta</w:t>
      </w:r>
    </w:p>
    <w:p w14:paraId="1F53D251" w14:textId="77777777" w:rsidR="00E84F40" w:rsidRPr="00CA43F5" w:rsidRDefault="00E84F40" w:rsidP="006E5F9A">
      <w:pPr>
        <w:rPr>
          <w:i/>
          <w:lang w:val="fi-FI"/>
        </w:rPr>
      </w:pPr>
    </w:p>
    <w:tbl>
      <w:tblPr>
        <w:tblW w:w="500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4004"/>
        <w:gridCol w:w="2385"/>
        <w:gridCol w:w="2675"/>
      </w:tblGrid>
      <w:tr w:rsidR="003B7027" w:rsidRPr="00777B93" w14:paraId="5796C106" w14:textId="77777777" w:rsidTr="006A0FEE">
        <w:trPr>
          <w:trHeight w:val="20"/>
        </w:trPr>
        <w:tc>
          <w:tcPr>
            <w:tcW w:w="4106" w:type="dxa"/>
          </w:tcPr>
          <w:p w14:paraId="6DB8210D" w14:textId="77777777" w:rsidR="003B7027" w:rsidRPr="001B58C3" w:rsidRDefault="003B7027" w:rsidP="006E5F9A">
            <w:pPr>
              <w:pStyle w:val="TableParagraph"/>
              <w:rPr>
                <w:sz w:val="20"/>
                <w:szCs w:val="20"/>
              </w:rPr>
            </w:pPr>
          </w:p>
        </w:tc>
        <w:tc>
          <w:tcPr>
            <w:tcW w:w="5184" w:type="dxa"/>
            <w:gridSpan w:val="2"/>
          </w:tcPr>
          <w:p w14:paraId="4BD8CF55" w14:textId="77777777" w:rsidR="003B7027" w:rsidRPr="001B58C3" w:rsidRDefault="00296A74" w:rsidP="006E5F9A">
            <w:pPr>
              <w:pStyle w:val="TableParagraph"/>
              <w:jc w:val="center"/>
              <w:rPr>
                <w:b/>
                <w:sz w:val="20"/>
                <w:szCs w:val="20"/>
              </w:rPr>
            </w:pPr>
            <w:r w:rsidRPr="001B58C3">
              <w:rPr>
                <w:b/>
                <w:sz w:val="20"/>
                <w:szCs w:val="20"/>
              </w:rPr>
              <w:t>Ihonalainen annostelu</w:t>
            </w:r>
          </w:p>
        </w:tc>
      </w:tr>
      <w:tr w:rsidR="003B7027" w:rsidRPr="00777B93" w14:paraId="1FB66F1E" w14:textId="77777777" w:rsidTr="006A0FEE">
        <w:trPr>
          <w:trHeight w:val="20"/>
        </w:trPr>
        <w:tc>
          <w:tcPr>
            <w:tcW w:w="4106" w:type="dxa"/>
          </w:tcPr>
          <w:p w14:paraId="4D77F884" w14:textId="77777777" w:rsidR="003B7027" w:rsidRPr="001B58C3" w:rsidRDefault="00296A74" w:rsidP="006E5F9A">
            <w:pPr>
              <w:pStyle w:val="TableParagraph"/>
              <w:rPr>
                <w:b/>
                <w:sz w:val="20"/>
                <w:szCs w:val="20"/>
              </w:rPr>
            </w:pPr>
            <w:r w:rsidRPr="001B58C3">
              <w:rPr>
                <w:b/>
                <w:sz w:val="20"/>
                <w:szCs w:val="20"/>
              </w:rPr>
              <w:t>Tosilitsumabin farmakokineettiset parametrit</w:t>
            </w:r>
          </w:p>
        </w:tc>
        <w:tc>
          <w:tcPr>
            <w:tcW w:w="2443" w:type="dxa"/>
          </w:tcPr>
          <w:p w14:paraId="0E85CB07" w14:textId="77777777" w:rsidR="003B7027" w:rsidRPr="001B58C3" w:rsidRDefault="00296A74" w:rsidP="00C82B5A">
            <w:pPr>
              <w:pStyle w:val="TableParagraph"/>
              <w:jc w:val="center"/>
              <w:rPr>
                <w:b/>
                <w:sz w:val="20"/>
                <w:szCs w:val="20"/>
              </w:rPr>
            </w:pPr>
            <w:r w:rsidRPr="001B58C3">
              <w:rPr>
                <w:b/>
                <w:sz w:val="20"/>
                <w:szCs w:val="20"/>
              </w:rPr>
              <w:t>162 mg joka toinen viikko</w:t>
            </w:r>
          </w:p>
        </w:tc>
        <w:tc>
          <w:tcPr>
            <w:tcW w:w="2741" w:type="dxa"/>
          </w:tcPr>
          <w:p w14:paraId="3DCA94AC" w14:textId="77777777" w:rsidR="003B7027" w:rsidRPr="001B58C3" w:rsidRDefault="00296A74" w:rsidP="006E5F9A">
            <w:pPr>
              <w:pStyle w:val="TableParagraph"/>
              <w:jc w:val="center"/>
              <w:rPr>
                <w:b/>
                <w:sz w:val="20"/>
                <w:szCs w:val="20"/>
              </w:rPr>
            </w:pPr>
            <w:r w:rsidRPr="001B58C3">
              <w:rPr>
                <w:b/>
                <w:sz w:val="20"/>
                <w:szCs w:val="20"/>
              </w:rPr>
              <w:t>162 mg viikoittain</w:t>
            </w:r>
          </w:p>
        </w:tc>
      </w:tr>
      <w:tr w:rsidR="003B7027" w:rsidRPr="00777B93" w14:paraId="1CF2C099" w14:textId="77777777" w:rsidTr="006A0FEE">
        <w:trPr>
          <w:trHeight w:val="20"/>
        </w:trPr>
        <w:tc>
          <w:tcPr>
            <w:tcW w:w="4106" w:type="dxa"/>
          </w:tcPr>
          <w:p w14:paraId="34D18334" w14:textId="77777777" w:rsidR="003B7027" w:rsidRPr="001B58C3" w:rsidRDefault="00296A74" w:rsidP="006E5F9A">
            <w:pPr>
              <w:pStyle w:val="TableParagraph"/>
              <w:rPr>
                <w:sz w:val="20"/>
                <w:szCs w:val="20"/>
              </w:rPr>
            </w:pPr>
            <w:r w:rsidRPr="001B58C3">
              <w:rPr>
                <w:sz w:val="20"/>
                <w:szCs w:val="20"/>
              </w:rPr>
              <w:t>C</w:t>
            </w:r>
            <w:r w:rsidRPr="001B58C3">
              <w:rPr>
                <w:sz w:val="20"/>
                <w:szCs w:val="20"/>
                <w:vertAlign w:val="subscript"/>
              </w:rPr>
              <w:t>max</w:t>
            </w:r>
            <w:r w:rsidRPr="001B58C3">
              <w:rPr>
                <w:sz w:val="20"/>
                <w:szCs w:val="20"/>
              </w:rPr>
              <w:t xml:space="preserve"> (µg/ml)</w:t>
            </w:r>
          </w:p>
        </w:tc>
        <w:tc>
          <w:tcPr>
            <w:tcW w:w="2443" w:type="dxa"/>
          </w:tcPr>
          <w:p w14:paraId="64A3294C" w14:textId="77777777" w:rsidR="003B7027" w:rsidRPr="001B58C3" w:rsidRDefault="00296A74" w:rsidP="006E5F9A">
            <w:pPr>
              <w:pStyle w:val="TableParagraph"/>
              <w:jc w:val="center"/>
              <w:rPr>
                <w:sz w:val="20"/>
                <w:szCs w:val="20"/>
              </w:rPr>
            </w:pPr>
            <w:r w:rsidRPr="001B58C3">
              <w:rPr>
                <w:sz w:val="20"/>
                <w:szCs w:val="20"/>
              </w:rPr>
              <w:t>19,3 ± 12,8</w:t>
            </w:r>
          </w:p>
        </w:tc>
        <w:tc>
          <w:tcPr>
            <w:tcW w:w="2741" w:type="dxa"/>
          </w:tcPr>
          <w:p w14:paraId="6274266B" w14:textId="77777777" w:rsidR="003B7027" w:rsidRPr="001B58C3" w:rsidRDefault="00296A74" w:rsidP="006E5F9A">
            <w:pPr>
              <w:pStyle w:val="TableParagraph"/>
              <w:jc w:val="center"/>
              <w:rPr>
                <w:sz w:val="20"/>
                <w:szCs w:val="20"/>
              </w:rPr>
            </w:pPr>
            <w:r w:rsidRPr="001B58C3">
              <w:rPr>
                <w:sz w:val="20"/>
                <w:szCs w:val="20"/>
              </w:rPr>
              <w:t>73 ± 30,4</w:t>
            </w:r>
          </w:p>
        </w:tc>
      </w:tr>
      <w:tr w:rsidR="003B7027" w:rsidRPr="00777B93" w14:paraId="66822782" w14:textId="77777777" w:rsidTr="006A0FEE">
        <w:trPr>
          <w:trHeight w:val="20"/>
        </w:trPr>
        <w:tc>
          <w:tcPr>
            <w:tcW w:w="4106" w:type="dxa"/>
          </w:tcPr>
          <w:p w14:paraId="27D36C60" w14:textId="77777777" w:rsidR="003B7027" w:rsidRPr="001B58C3" w:rsidRDefault="00296A74" w:rsidP="006E5F9A">
            <w:pPr>
              <w:pStyle w:val="TableParagraph"/>
              <w:rPr>
                <w:sz w:val="20"/>
                <w:szCs w:val="20"/>
              </w:rPr>
            </w:pPr>
            <w:r w:rsidRPr="001B58C3">
              <w:rPr>
                <w:sz w:val="20"/>
                <w:szCs w:val="20"/>
              </w:rPr>
              <w:t>C</w:t>
            </w:r>
            <w:r w:rsidRPr="001B58C3">
              <w:rPr>
                <w:sz w:val="20"/>
                <w:szCs w:val="20"/>
                <w:vertAlign w:val="subscript"/>
              </w:rPr>
              <w:t>min</w:t>
            </w:r>
            <w:r w:rsidRPr="001B58C3">
              <w:rPr>
                <w:sz w:val="20"/>
                <w:szCs w:val="20"/>
              </w:rPr>
              <w:t xml:space="preserve"> (µg/ml)</w:t>
            </w:r>
          </w:p>
        </w:tc>
        <w:tc>
          <w:tcPr>
            <w:tcW w:w="2443" w:type="dxa"/>
          </w:tcPr>
          <w:p w14:paraId="74F15A97" w14:textId="77777777" w:rsidR="003B7027" w:rsidRPr="001B58C3" w:rsidRDefault="00296A74" w:rsidP="006E5F9A">
            <w:pPr>
              <w:pStyle w:val="TableParagraph"/>
              <w:jc w:val="center"/>
              <w:rPr>
                <w:sz w:val="20"/>
                <w:szCs w:val="20"/>
              </w:rPr>
            </w:pPr>
            <w:r w:rsidRPr="001B58C3">
              <w:rPr>
                <w:sz w:val="20"/>
                <w:szCs w:val="20"/>
              </w:rPr>
              <w:t>11,1 ± 10,3</w:t>
            </w:r>
          </w:p>
        </w:tc>
        <w:tc>
          <w:tcPr>
            <w:tcW w:w="2741" w:type="dxa"/>
          </w:tcPr>
          <w:p w14:paraId="6A2D4A24" w14:textId="77777777" w:rsidR="003B7027" w:rsidRPr="001B58C3" w:rsidRDefault="00296A74" w:rsidP="006E5F9A">
            <w:pPr>
              <w:pStyle w:val="TableParagraph"/>
              <w:jc w:val="center"/>
              <w:rPr>
                <w:sz w:val="20"/>
                <w:szCs w:val="20"/>
              </w:rPr>
            </w:pPr>
            <w:r w:rsidRPr="001B58C3">
              <w:rPr>
                <w:sz w:val="20"/>
                <w:szCs w:val="20"/>
              </w:rPr>
              <w:t>68,1 ± 29,5</w:t>
            </w:r>
          </w:p>
        </w:tc>
      </w:tr>
      <w:tr w:rsidR="003B7027" w:rsidRPr="00777B93" w14:paraId="0DF9C407" w14:textId="77777777" w:rsidTr="006A0FEE">
        <w:trPr>
          <w:trHeight w:val="20"/>
        </w:trPr>
        <w:tc>
          <w:tcPr>
            <w:tcW w:w="4106" w:type="dxa"/>
          </w:tcPr>
          <w:p w14:paraId="2A329DAA" w14:textId="77777777" w:rsidR="003B7027" w:rsidRPr="001B58C3" w:rsidRDefault="00296A74" w:rsidP="006E5F9A">
            <w:pPr>
              <w:pStyle w:val="TableParagraph"/>
              <w:rPr>
                <w:sz w:val="20"/>
                <w:szCs w:val="20"/>
              </w:rPr>
            </w:pPr>
            <w:r w:rsidRPr="001B58C3">
              <w:rPr>
                <w:sz w:val="20"/>
                <w:szCs w:val="20"/>
              </w:rPr>
              <w:t>C</w:t>
            </w:r>
            <w:r w:rsidRPr="001B58C3">
              <w:rPr>
                <w:sz w:val="20"/>
                <w:szCs w:val="20"/>
                <w:vertAlign w:val="subscript"/>
              </w:rPr>
              <w:t>mean</w:t>
            </w:r>
            <w:r w:rsidRPr="001B58C3">
              <w:rPr>
                <w:sz w:val="20"/>
                <w:szCs w:val="20"/>
              </w:rPr>
              <w:t xml:space="preserve"> (µg/ml)</w:t>
            </w:r>
          </w:p>
        </w:tc>
        <w:tc>
          <w:tcPr>
            <w:tcW w:w="2443" w:type="dxa"/>
          </w:tcPr>
          <w:p w14:paraId="72D74AC3" w14:textId="77777777" w:rsidR="003B7027" w:rsidRPr="001B58C3" w:rsidRDefault="00296A74" w:rsidP="006E5F9A">
            <w:pPr>
              <w:pStyle w:val="TableParagraph"/>
              <w:jc w:val="center"/>
              <w:rPr>
                <w:sz w:val="20"/>
                <w:szCs w:val="20"/>
              </w:rPr>
            </w:pPr>
            <w:r w:rsidRPr="001B58C3">
              <w:rPr>
                <w:sz w:val="20"/>
                <w:szCs w:val="20"/>
              </w:rPr>
              <w:t>16,2 ± 11,8</w:t>
            </w:r>
          </w:p>
        </w:tc>
        <w:tc>
          <w:tcPr>
            <w:tcW w:w="2741" w:type="dxa"/>
          </w:tcPr>
          <w:p w14:paraId="485C0A09" w14:textId="77777777" w:rsidR="003B7027" w:rsidRPr="001B58C3" w:rsidRDefault="00296A74" w:rsidP="006E5F9A">
            <w:pPr>
              <w:pStyle w:val="TableParagraph"/>
              <w:jc w:val="center"/>
              <w:rPr>
                <w:sz w:val="20"/>
                <w:szCs w:val="20"/>
              </w:rPr>
            </w:pPr>
            <w:r w:rsidRPr="001B58C3">
              <w:rPr>
                <w:sz w:val="20"/>
                <w:szCs w:val="20"/>
              </w:rPr>
              <w:t>71,3 ± 30,1</w:t>
            </w:r>
          </w:p>
        </w:tc>
      </w:tr>
      <w:tr w:rsidR="003B7027" w:rsidRPr="00777B93" w14:paraId="7849BE6C" w14:textId="77777777" w:rsidTr="006A0FEE">
        <w:trPr>
          <w:trHeight w:val="20"/>
        </w:trPr>
        <w:tc>
          <w:tcPr>
            <w:tcW w:w="4106" w:type="dxa"/>
          </w:tcPr>
          <w:p w14:paraId="41E20255" w14:textId="77777777" w:rsidR="003B7027" w:rsidRPr="001B58C3" w:rsidRDefault="00296A74" w:rsidP="006E5F9A">
            <w:pPr>
              <w:pStyle w:val="TableParagraph"/>
              <w:rPr>
                <w:sz w:val="20"/>
                <w:szCs w:val="20"/>
              </w:rPr>
            </w:pPr>
            <w:r w:rsidRPr="001B58C3">
              <w:rPr>
                <w:sz w:val="20"/>
                <w:szCs w:val="20"/>
              </w:rPr>
              <w:t>Kumuloitumisen C</w:t>
            </w:r>
            <w:r w:rsidRPr="001B58C3">
              <w:rPr>
                <w:sz w:val="20"/>
                <w:szCs w:val="20"/>
                <w:vertAlign w:val="subscript"/>
              </w:rPr>
              <w:t>max</w:t>
            </w:r>
          </w:p>
        </w:tc>
        <w:tc>
          <w:tcPr>
            <w:tcW w:w="2443" w:type="dxa"/>
          </w:tcPr>
          <w:p w14:paraId="16803CCA" w14:textId="77777777" w:rsidR="003B7027" w:rsidRPr="001B58C3" w:rsidRDefault="00296A74" w:rsidP="006E5F9A">
            <w:pPr>
              <w:pStyle w:val="TableParagraph"/>
              <w:jc w:val="center"/>
              <w:rPr>
                <w:sz w:val="20"/>
                <w:szCs w:val="20"/>
              </w:rPr>
            </w:pPr>
            <w:r w:rsidRPr="001B58C3">
              <w:rPr>
                <w:sz w:val="20"/>
                <w:szCs w:val="20"/>
              </w:rPr>
              <w:t>2,18</w:t>
            </w:r>
          </w:p>
        </w:tc>
        <w:tc>
          <w:tcPr>
            <w:tcW w:w="2741" w:type="dxa"/>
          </w:tcPr>
          <w:p w14:paraId="50A8D6EA" w14:textId="77777777" w:rsidR="003B7027" w:rsidRPr="001B58C3" w:rsidRDefault="00296A74" w:rsidP="006E5F9A">
            <w:pPr>
              <w:pStyle w:val="TableParagraph"/>
              <w:jc w:val="center"/>
              <w:rPr>
                <w:sz w:val="20"/>
                <w:szCs w:val="20"/>
              </w:rPr>
            </w:pPr>
            <w:r w:rsidRPr="001B58C3">
              <w:rPr>
                <w:sz w:val="20"/>
                <w:szCs w:val="20"/>
              </w:rPr>
              <w:t>8,88</w:t>
            </w:r>
          </w:p>
        </w:tc>
      </w:tr>
      <w:tr w:rsidR="003B7027" w:rsidRPr="00777B93" w14:paraId="28859510" w14:textId="77777777" w:rsidTr="006A0FEE">
        <w:trPr>
          <w:trHeight w:val="20"/>
        </w:trPr>
        <w:tc>
          <w:tcPr>
            <w:tcW w:w="4106" w:type="dxa"/>
          </w:tcPr>
          <w:p w14:paraId="401B3942" w14:textId="77777777" w:rsidR="003B7027" w:rsidRPr="001B58C3" w:rsidRDefault="00296A74" w:rsidP="006E5F9A">
            <w:pPr>
              <w:pStyle w:val="TableParagraph"/>
              <w:rPr>
                <w:sz w:val="20"/>
                <w:szCs w:val="20"/>
              </w:rPr>
            </w:pPr>
            <w:r w:rsidRPr="001B58C3">
              <w:rPr>
                <w:sz w:val="20"/>
                <w:szCs w:val="20"/>
              </w:rPr>
              <w:t>Kumuloitumisen C</w:t>
            </w:r>
            <w:r w:rsidRPr="001B58C3">
              <w:rPr>
                <w:sz w:val="20"/>
                <w:szCs w:val="20"/>
                <w:vertAlign w:val="subscript"/>
              </w:rPr>
              <w:t>min</w:t>
            </w:r>
          </w:p>
        </w:tc>
        <w:tc>
          <w:tcPr>
            <w:tcW w:w="2443" w:type="dxa"/>
          </w:tcPr>
          <w:p w14:paraId="6F7074E9" w14:textId="77777777" w:rsidR="003B7027" w:rsidRPr="001B58C3" w:rsidRDefault="00296A74" w:rsidP="006E5F9A">
            <w:pPr>
              <w:pStyle w:val="TableParagraph"/>
              <w:jc w:val="center"/>
              <w:rPr>
                <w:sz w:val="20"/>
                <w:szCs w:val="20"/>
              </w:rPr>
            </w:pPr>
            <w:r w:rsidRPr="001B58C3">
              <w:rPr>
                <w:sz w:val="20"/>
                <w:szCs w:val="20"/>
              </w:rPr>
              <w:t>5,61</w:t>
            </w:r>
          </w:p>
        </w:tc>
        <w:tc>
          <w:tcPr>
            <w:tcW w:w="2741" w:type="dxa"/>
          </w:tcPr>
          <w:p w14:paraId="484209FA" w14:textId="77777777" w:rsidR="003B7027" w:rsidRPr="001B58C3" w:rsidRDefault="00296A74" w:rsidP="006E5F9A">
            <w:pPr>
              <w:pStyle w:val="TableParagraph"/>
              <w:jc w:val="center"/>
              <w:rPr>
                <w:sz w:val="20"/>
                <w:szCs w:val="20"/>
              </w:rPr>
            </w:pPr>
            <w:r w:rsidRPr="001B58C3">
              <w:rPr>
                <w:sz w:val="20"/>
                <w:szCs w:val="20"/>
              </w:rPr>
              <w:t>9,59</w:t>
            </w:r>
          </w:p>
        </w:tc>
      </w:tr>
      <w:tr w:rsidR="003B7027" w:rsidRPr="00777B93" w14:paraId="2133C1B9" w14:textId="77777777" w:rsidTr="006A0FEE">
        <w:trPr>
          <w:trHeight w:val="20"/>
        </w:trPr>
        <w:tc>
          <w:tcPr>
            <w:tcW w:w="4106" w:type="dxa"/>
          </w:tcPr>
          <w:p w14:paraId="27B4471A" w14:textId="77777777" w:rsidR="003B7027" w:rsidRPr="001B58C3" w:rsidRDefault="00296A74" w:rsidP="006E5F9A">
            <w:pPr>
              <w:pStyle w:val="TableParagraph"/>
              <w:rPr>
                <w:sz w:val="20"/>
                <w:szCs w:val="20"/>
              </w:rPr>
            </w:pPr>
            <w:r w:rsidRPr="001B58C3">
              <w:rPr>
                <w:sz w:val="20"/>
                <w:szCs w:val="20"/>
              </w:rPr>
              <w:t>Kumuloitumisen C</w:t>
            </w:r>
            <w:r w:rsidRPr="001B58C3">
              <w:rPr>
                <w:sz w:val="20"/>
                <w:szCs w:val="20"/>
                <w:vertAlign w:val="subscript"/>
              </w:rPr>
              <w:t>mean</w:t>
            </w:r>
            <w:r w:rsidRPr="001B58C3">
              <w:rPr>
                <w:sz w:val="20"/>
                <w:szCs w:val="20"/>
              </w:rPr>
              <w:t xml:space="preserve"> tai AUC</w:t>
            </w:r>
            <w:r w:rsidRPr="001B58C3">
              <w:rPr>
                <w:sz w:val="20"/>
                <w:szCs w:val="20"/>
                <w:vertAlign w:val="subscript"/>
              </w:rPr>
              <w:t>τ</w:t>
            </w:r>
            <w:r w:rsidRPr="001B58C3">
              <w:rPr>
                <w:sz w:val="20"/>
                <w:szCs w:val="20"/>
              </w:rPr>
              <w:t>*</w:t>
            </w:r>
          </w:p>
        </w:tc>
        <w:tc>
          <w:tcPr>
            <w:tcW w:w="2443" w:type="dxa"/>
          </w:tcPr>
          <w:p w14:paraId="4A188471" w14:textId="77777777" w:rsidR="003B7027" w:rsidRPr="001B58C3" w:rsidRDefault="00296A74" w:rsidP="006E5F9A">
            <w:pPr>
              <w:pStyle w:val="TableParagraph"/>
              <w:jc w:val="center"/>
              <w:rPr>
                <w:sz w:val="20"/>
                <w:szCs w:val="20"/>
              </w:rPr>
            </w:pPr>
            <w:r w:rsidRPr="001B58C3">
              <w:rPr>
                <w:sz w:val="20"/>
                <w:szCs w:val="20"/>
              </w:rPr>
              <w:t>2,81</w:t>
            </w:r>
          </w:p>
        </w:tc>
        <w:tc>
          <w:tcPr>
            <w:tcW w:w="2741" w:type="dxa"/>
          </w:tcPr>
          <w:p w14:paraId="299DAE48" w14:textId="77777777" w:rsidR="003B7027" w:rsidRPr="001B58C3" w:rsidRDefault="00296A74" w:rsidP="006E5F9A">
            <w:pPr>
              <w:pStyle w:val="TableParagraph"/>
              <w:jc w:val="center"/>
              <w:rPr>
                <w:sz w:val="20"/>
                <w:szCs w:val="20"/>
              </w:rPr>
            </w:pPr>
            <w:r w:rsidRPr="001B58C3">
              <w:rPr>
                <w:sz w:val="20"/>
                <w:szCs w:val="20"/>
              </w:rPr>
              <w:t>10,91</w:t>
            </w:r>
          </w:p>
        </w:tc>
      </w:tr>
    </w:tbl>
    <w:p w14:paraId="599B8735" w14:textId="77777777" w:rsidR="003B7027" w:rsidRPr="00CA43F5" w:rsidRDefault="00296A74" w:rsidP="006E5F9A">
      <w:pPr>
        <w:rPr>
          <w:sz w:val="18"/>
          <w:lang w:val="fi-FI"/>
        </w:rPr>
      </w:pPr>
      <w:r w:rsidRPr="00CA43F5">
        <w:rPr>
          <w:sz w:val="18"/>
          <w:lang w:val="fi-FI"/>
        </w:rPr>
        <w:t>*</w:t>
      </w:r>
      <w:r w:rsidRPr="0028514E">
        <w:rPr>
          <w:sz w:val="18"/>
        </w:rPr>
        <w:t>τ</w:t>
      </w:r>
      <w:r w:rsidRPr="00CA43F5">
        <w:rPr>
          <w:sz w:val="18"/>
          <w:lang w:val="fi-FI"/>
        </w:rPr>
        <w:t xml:space="preserve"> = kaksi hoito-ohjelmaa: joka toinen viikko tai kerran viikossa ihon alle</w:t>
      </w:r>
    </w:p>
    <w:p w14:paraId="3E9EF484" w14:textId="77777777" w:rsidR="003B7027" w:rsidRPr="003A6943" w:rsidRDefault="003B7027" w:rsidP="006E5F9A">
      <w:pPr>
        <w:pStyle w:val="a4"/>
        <w:ind w:left="0"/>
      </w:pPr>
    </w:p>
    <w:p w14:paraId="731733E2" w14:textId="1D0B4E03" w:rsidR="003B7027" w:rsidRPr="003A6943" w:rsidRDefault="00E87550" w:rsidP="006E5F9A">
      <w:pPr>
        <w:pStyle w:val="a4"/>
        <w:ind w:left="0"/>
      </w:pPr>
      <w:r>
        <w:t xml:space="preserve">Tosilitsumabin </w:t>
      </w:r>
      <w:r w:rsidR="00296A74" w:rsidRPr="003A6943">
        <w:t xml:space="preserve">viikoittaisten annosten vakaan tilan profiili oli lähes tasainen, sillä pienimpien pitoisuuksien ja huippupitoisuuksien välillä oli vain hyvin pientä vaihtelua, kun taas </w:t>
      </w:r>
      <w:r>
        <w:t xml:space="preserve">tosilitsumabin </w:t>
      </w:r>
      <w:r w:rsidR="00296A74" w:rsidRPr="003A6943">
        <w:t>joka toinen viikko annettujen annosten yhteydessä todettiin huomattavaa vaihtelua. Noin 90 % vakaasta tilasta (AUC</w:t>
      </w:r>
      <w:r w:rsidR="00296A74" w:rsidRPr="003A6943">
        <w:rPr>
          <w:vertAlign w:val="subscript"/>
        </w:rPr>
        <w:t>τ</w:t>
      </w:r>
      <w:r w:rsidR="00296A74" w:rsidRPr="003A6943">
        <w:t>) saavutettiin joka toinen viikko tapahtuneen annostelun yhteydessä viikkoon 14 mennessä ja viikoittain tapahtuneen annostelun yhteydessä viikkoon 17 mennessä.</w:t>
      </w:r>
    </w:p>
    <w:p w14:paraId="5C2E4D53" w14:textId="77777777" w:rsidR="00E84F40" w:rsidRPr="003A6943" w:rsidRDefault="00E84F40" w:rsidP="003A6943">
      <w:pPr>
        <w:pStyle w:val="a4"/>
        <w:ind w:left="0"/>
      </w:pPr>
    </w:p>
    <w:p w14:paraId="77595C77" w14:textId="55BC9D4F" w:rsidR="003B7027" w:rsidRPr="0028514E" w:rsidRDefault="00296A74" w:rsidP="003A6943">
      <w:pPr>
        <w:pStyle w:val="a4"/>
        <w:ind w:left="0"/>
      </w:pPr>
      <w:r w:rsidRPr="0028514E">
        <w:t xml:space="preserve">Farmakokinetiikkaa koskevien tämänhetkisten tietojen perusteella </w:t>
      </w:r>
      <w:r w:rsidR="00E87550">
        <w:t xml:space="preserve">tosilitsumabin </w:t>
      </w:r>
      <w:r w:rsidRPr="0028514E">
        <w:t>vakaan tilan pienin pitoisuus on tässä potilasjoukossa 50 % suurempi verrattuna nivelreumapotilaista saadussa laajassa tietoaineistossa oleviin keskimääräisiin pitoisuuksiin. Näiden erojen syitä ei tiedetä.</w:t>
      </w:r>
    </w:p>
    <w:p w14:paraId="3A3D2FFA" w14:textId="77777777" w:rsidR="003B7027" w:rsidRPr="0028514E" w:rsidRDefault="00296A74" w:rsidP="003A6943">
      <w:pPr>
        <w:pStyle w:val="a4"/>
        <w:ind w:left="0"/>
      </w:pPr>
      <w:r w:rsidRPr="0028514E">
        <w:t>Farmakokineettisiin eroihin ei liity merkittäviä eroja farmakodynaamisissa parametreissa, joten niiden kliinistä merkitystä ei tunneta.</w:t>
      </w:r>
    </w:p>
    <w:p w14:paraId="58664F47" w14:textId="77777777" w:rsidR="00E84F40" w:rsidRPr="0028514E" w:rsidRDefault="00E84F40" w:rsidP="003A6943">
      <w:pPr>
        <w:pStyle w:val="a4"/>
        <w:ind w:left="0"/>
      </w:pPr>
    </w:p>
    <w:p w14:paraId="67FC3F3E" w14:textId="77777777" w:rsidR="003B7027" w:rsidRPr="0028514E" w:rsidRDefault="00296A74" w:rsidP="003A6943">
      <w:pPr>
        <w:pStyle w:val="a4"/>
        <w:ind w:left="0"/>
      </w:pPr>
      <w:r w:rsidRPr="0028514E">
        <w:t>Jättisoluarteriittipotilailla huomattiin suurempi altistuminen niillä potilailla, jotka painavat vähemmän. Annoksella 162 mg kerran viikossa, vakaan tilan Cavg oli 51 % korkeampi potilailla, joiden paino oli alle 60 kg, verrattuna potilaisiin, joiden paino oli 60–100 kg. Annoksella 162 mg joka toinen viikko, vakaan tilan Cavg oli 129 % korkeampi potilailla, joiden paino oli alle 60 kg, verrattuna potilaisiin, joiden paino oli 60–100 kg. Yli 100 kg painavista potilaista on vain vähän tietoa (n = 7).</w:t>
      </w:r>
    </w:p>
    <w:p w14:paraId="53130F4E" w14:textId="77777777" w:rsidR="003B7027" w:rsidRPr="0028514E" w:rsidRDefault="003B7027" w:rsidP="003A6943">
      <w:pPr>
        <w:pStyle w:val="a4"/>
        <w:ind w:left="0"/>
      </w:pPr>
    </w:p>
    <w:p w14:paraId="1D3EFEC0" w14:textId="77777777" w:rsidR="003B7027" w:rsidRPr="003A6943" w:rsidRDefault="00296A74" w:rsidP="003A6943">
      <w:pPr>
        <w:pStyle w:val="a4"/>
        <w:ind w:left="0"/>
      </w:pPr>
      <w:r w:rsidRPr="003A6943">
        <w:rPr>
          <w:u w:val="single"/>
        </w:rPr>
        <w:t>Imeytyminen</w:t>
      </w:r>
    </w:p>
    <w:p w14:paraId="14BFD64E" w14:textId="3FEBBFD5" w:rsidR="003B7027" w:rsidRPr="003A6943" w:rsidRDefault="00296A74" w:rsidP="006E5F9A">
      <w:pPr>
        <w:pStyle w:val="a4"/>
        <w:ind w:left="0"/>
      </w:pPr>
      <w:r w:rsidRPr="003A6943">
        <w:t>Jättisoluarteriittia sairastavien potilaiden ihon alle annettuna imeytymisen t½ oli noin 4 vuorokautta. Ihon alle annettavan lääkemuodon biologinen hyötyosuus oli 0,8. T</w:t>
      </w:r>
      <w:r w:rsidRPr="003A6943">
        <w:rPr>
          <w:vertAlign w:val="subscript"/>
        </w:rPr>
        <w:t>max</w:t>
      </w:r>
      <w:r w:rsidRPr="003A6943">
        <w:t xml:space="preserve">-arvojen mediaani oli </w:t>
      </w:r>
      <w:r w:rsidR="00E87550">
        <w:lastRenderedPageBreak/>
        <w:t xml:space="preserve">tosilitsumabin </w:t>
      </w:r>
      <w:r w:rsidRPr="003A6943">
        <w:t>viikoittaisen annon jälkeen 3 vuorokautta ja tosilitsumabiannoksen joka toinen viikko annon jälkeen 4,5 vuorokautta.</w:t>
      </w:r>
    </w:p>
    <w:p w14:paraId="1E8D3DEA" w14:textId="77777777" w:rsidR="00E84F40" w:rsidRPr="003A6943" w:rsidRDefault="00E84F40" w:rsidP="006E5F9A">
      <w:pPr>
        <w:pStyle w:val="a4"/>
        <w:ind w:left="0"/>
      </w:pPr>
    </w:p>
    <w:p w14:paraId="2B8CE9BD" w14:textId="77777777" w:rsidR="003B7027" w:rsidRPr="003A6943" w:rsidRDefault="00296A74" w:rsidP="006E5F9A">
      <w:pPr>
        <w:pStyle w:val="a4"/>
        <w:keepNext/>
        <w:keepLines/>
        <w:ind w:left="0"/>
      </w:pPr>
      <w:r w:rsidRPr="003A6943">
        <w:rPr>
          <w:u w:val="single"/>
        </w:rPr>
        <w:t>Jakautuminen</w:t>
      </w:r>
    </w:p>
    <w:p w14:paraId="57EFC62F" w14:textId="77777777" w:rsidR="003B7027" w:rsidRPr="003A6943" w:rsidRDefault="00296A74" w:rsidP="006E5F9A">
      <w:pPr>
        <w:pStyle w:val="a4"/>
        <w:ind w:left="0"/>
      </w:pPr>
      <w:r w:rsidRPr="003A6943">
        <w:t>Jättisoluarteriittipotilaiden keskustilan jakautumistilavuus oli 4,09 l, ääreistilan jakautumistilavuus oli 3,37 l, jolloin vakaan tilan jakautumistilavuudeksi saadaan 7,46 l.</w:t>
      </w:r>
    </w:p>
    <w:p w14:paraId="2492E0B4" w14:textId="77777777" w:rsidR="003B7027" w:rsidRPr="003A6943" w:rsidRDefault="003B7027" w:rsidP="006E5F9A">
      <w:pPr>
        <w:pStyle w:val="a4"/>
        <w:ind w:left="0"/>
      </w:pPr>
    </w:p>
    <w:p w14:paraId="31C314E3" w14:textId="77777777" w:rsidR="003B7027" w:rsidRPr="003A6943" w:rsidRDefault="00296A74" w:rsidP="006E5F9A">
      <w:pPr>
        <w:pStyle w:val="a4"/>
        <w:ind w:left="0"/>
      </w:pPr>
      <w:r w:rsidRPr="003A6943">
        <w:rPr>
          <w:u w:val="single"/>
        </w:rPr>
        <w:t>Eliminaatio</w:t>
      </w:r>
    </w:p>
    <w:p w14:paraId="2405047C" w14:textId="522B29F1" w:rsidR="003B7027" w:rsidRPr="003A6943" w:rsidRDefault="00E87550" w:rsidP="006E5F9A">
      <w:pPr>
        <w:pStyle w:val="a4"/>
        <w:ind w:left="0"/>
      </w:pPr>
      <w:r>
        <w:t xml:space="preserve">Tosilitsumabin </w:t>
      </w:r>
      <w:r w:rsidR="00296A74" w:rsidRPr="003A6943">
        <w:t>kokonaispuhdistuma oli pitoisuudesta riippuvainen ja se on lineaarisen puhdistuman ja epälineaarisen puhdistuman summa. Lineaarinen puhdistuma arvioitiin populaatiofarmakokineettisen analyysin parametrina, ja jättisoluarteriittipotilailla se oli 6,7 ml/h.</w:t>
      </w:r>
    </w:p>
    <w:p w14:paraId="6F89CF7A" w14:textId="77777777" w:rsidR="003B7027" w:rsidRPr="003A6943" w:rsidRDefault="003B7027" w:rsidP="006E5F9A">
      <w:pPr>
        <w:pStyle w:val="a4"/>
        <w:ind w:left="0"/>
      </w:pPr>
    </w:p>
    <w:p w14:paraId="14E971A3" w14:textId="3883FC54" w:rsidR="003B7027" w:rsidRPr="0028514E" w:rsidRDefault="00296A74" w:rsidP="006E5F9A">
      <w:pPr>
        <w:pStyle w:val="a4"/>
        <w:ind w:left="0"/>
      </w:pPr>
      <w:r w:rsidRPr="0028514E">
        <w:t xml:space="preserve">Jättisoluarteriittipotilailla </w:t>
      </w:r>
      <w:r w:rsidR="00E87550">
        <w:t xml:space="preserve">tosilitsumabin </w:t>
      </w:r>
      <w:r w:rsidRPr="0028514E">
        <w:t xml:space="preserve">efektiivinen t½ vaihteli vakaassa tilassa 162 mg:n annosten viikoittaisen annon yhteydessä 18,3 vuorokaudesta 18,9 vuorokauteen ja 162 mg:n annosten joka toinen viikko annon yhteydessä 4,2 vuorokaudesta 7,9 vuorokauteen. Kun pitoisuus seerumissa on suuri ja </w:t>
      </w:r>
      <w:r w:rsidR="00E87550">
        <w:t xml:space="preserve">tosilitsumabin </w:t>
      </w:r>
      <w:r w:rsidRPr="0028514E">
        <w:t>kokonaispuhdistumassa vallitsevana on lineaarinen puhdistuma, noin</w:t>
      </w:r>
      <w:r w:rsidR="00E84F40" w:rsidRPr="0028514E">
        <w:t xml:space="preserve"> </w:t>
      </w:r>
      <w:r w:rsidRPr="0028514E">
        <w:t>32 vuorokauden efektiivinen t½ perustui potilasjoukon parametrien estimaatteihin.</w:t>
      </w:r>
    </w:p>
    <w:p w14:paraId="5AB9267F" w14:textId="77777777" w:rsidR="00E84F40" w:rsidRPr="0028514E" w:rsidRDefault="00E84F40" w:rsidP="006E5F9A">
      <w:pPr>
        <w:pStyle w:val="a4"/>
        <w:ind w:left="0"/>
      </w:pPr>
    </w:p>
    <w:p w14:paraId="0C06BD64" w14:textId="77777777" w:rsidR="003B7027" w:rsidRPr="0028514E" w:rsidRDefault="00296A74" w:rsidP="006E5F9A">
      <w:pPr>
        <w:pStyle w:val="a4"/>
        <w:ind w:left="0"/>
      </w:pPr>
      <w:r w:rsidRPr="0028514E">
        <w:rPr>
          <w:u w:val="single"/>
        </w:rPr>
        <w:t>Erityispotilasryhmät</w:t>
      </w:r>
    </w:p>
    <w:p w14:paraId="799C6457" w14:textId="0E3205E8" w:rsidR="003B7027" w:rsidRPr="0028514E" w:rsidRDefault="00296A74" w:rsidP="006E5F9A">
      <w:pPr>
        <w:pStyle w:val="a4"/>
        <w:ind w:left="0"/>
      </w:pPr>
      <w:r w:rsidRPr="0028514E">
        <w:rPr>
          <w:i/>
        </w:rPr>
        <w:t xml:space="preserve">Munuaisten vajaatoiminta: </w:t>
      </w:r>
      <w:r w:rsidRPr="0028514E">
        <w:t xml:space="preserve">Varsinaista tutkimusta munuaisten vajaatoiminnan vaikutuksesta </w:t>
      </w:r>
      <w:r w:rsidR="00E87550">
        <w:t xml:space="preserve">tosilitsumabin </w:t>
      </w:r>
      <w:r w:rsidRPr="0028514E">
        <w:t xml:space="preserve">farmakokinetiikkaan ei ole tehty. Useimmilla nivelreumaa ja jättisoluarteriittia koskevien tutkimusten populaatiofarmakokineettisessä analyysissä mukana olleilla potilailla oli normaali munuaistoiminta tai lievä munuaisten vajaatoiminta. Lievä munuaisten vajaatoiminta (Cockcroft- Gaultin kaavaan perustuva laskennallinen kreatiniinipuhdistuma) ei vaikuttanut </w:t>
      </w:r>
      <w:r w:rsidR="00E87550">
        <w:t xml:space="preserve">tosilitsumabin </w:t>
      </w:r>
      <w:r w:rsidRPr="0028514E">
        <w:t>farmakokinetiikkaan.</w:t>
      </w:r>
    </w:p>
    <w:p w14:paraId="7FC25497" w14:textId="77777777" w:rsidR="003B7027" w:rsidRPr="0028514E" w:rsidRDefault="003B7027" w:rsidP="006E5F9A">
      <w:pPr>
        <w:pStyle w:val="a4"/>
        <w:ind w:left="0"/>
      </w:pPr>
    </w:p>
    <w:p w14:paraId="5D340FC7" w14:textId="301953B3" w:rsidR="003B7027" w:rsidRPr="0028514E" w:rsidRDefault="00296A74" w:rsidP="006E5F9A">
      <w:pPr>
        <w:pStyle w:val="a4"/>
        <w:ind w:left="0"/>
      </w:pPr>
      <w:r w:rsidRPr="0028514E">
        <w:t xml:space="preserve">Jättisoluarteriittia koskeneeseen tutkimukseen osallistuneista potilaista noin kolmanneksella oli lähtötilanteessa kohtalaista munuaisten vajaatoimintaa (laskennallinen kreatiniinipuhdistuma 30– 59 ml/min). Sen ei todettu vaikuttavan näiden potilaiden altistukseen </w:t>
      </w:r>
      <w:r w:rsidR="00E87550">
        <w:t>tosilitsumabille</w:t>
      </w:r>
      <w:r w:rsidRPr="0028514E">
        <w:t>.</w:t>
      </w:r>
    </w:p>
    <w:p w14:paraId="314E26ED" w14:textId="77777777" w:rsidR="00E84F40" w:rsidRPr="0028514E" w:rsidRDefault="00E84F40" w:rsidP="006E5F9A">
      <w:pPr>
        <w:pStyle w:val="a4"/>
        <w:ind w:left="0"/>
      </w:pPr>
    </w:p>
    <w:p w14:paraId="1E381F93" w14:textId="77777777" w:rsidR="003B7027" w:rsidRPr="0028514E" w:rsidRDefault="00296A74" w:rsidP="006E5F9A">
      <w:pPr>
        <w:pStyle w:val="a4"/>
        <w:ind w:left="0"/>
      </w:pPr>
      <w:r w:rsidRPr="0028514E">
        <w:t>Lievää tai kohtalaista munuaisten vajaatoimintaa sairastavien potilaiden annosta ei tarvitse muuttaa.</w:t>
      </w:r>
    </w:p>
    <w:p w14:paraId="6A201D32" w14:textId="77777777" w:rsidR="003B7027" w:rsidRPr="0028514E" w:rsidRDefault="003B7027" w:rsidP="006E5F9A">
      <w:pPr>
        <w:pStyle w:val="a4"/>
        <w:ind w:left="0"/>
      </w:pPr>
    </w:p>
    <w:p w14:paraId="6D0CFC59" w14:textId="56ACB944" w:rsidR="003B7027" w:rsidRPr="0028514E" w:rsidRDefault="00296A74" w:rsidP="006E5F9A">
      <w:pPr>
        <w:pStyle w:val="a4"/>
        <w:ind w:left="0"/>
      </w:pPr>
      <w:r w:rsidRPr="0028514E">
        <w:rPr>
          <w:i/>
        </w:rPr>
        <w:t xml:space="preserve">Maksan vajaatoiminta: </w:t>
      </w:r>
      <w:r w:rsidRPr="0028514E">
        <w:t xml:space="preserve">Varsinaista tutkimusta maksan vajaatoiminnan vaikutuksesta </w:t>
      </w:r>
      <w:r w:rsidR="00E87550">
        <w:t xml:space="preserve">tosilitsumabin </w:t>
      </w:r>
      <w:r w:rsidRPr="0028514E">
        <w:t>farmakokinetiikkaan ei ole tehty.</w:t>
      </w:r>
    </w:p>
    <w:p w14:paraId="2639E5D5" w14:textId="77777777" w:rsidR="003B7027" w:rsidRPr="0028514E" w:rsidRDefault="003B7027" w:rsidP="006E5F9A">
      <w:pPr>
        <w:pStyle w:val="a4"/>
        <w:ind w:left="0"/>
      </w:pPr>
    </w:p>
    <w:p w14:paraId="1632EDD4" w14:textId="3B4C4B3B" w:rsidR="003B7027" w:rsidRPr="0028514E" w:rsidRDefault="00296A74" w:rsidP="006E5F9A">
      <w:pPr>
        <w:pStyle w:val="a4"/>
        <w:ind w:left="0"/>
      </w:pPr>
      <w:r w:rsidRPr="0028514E">
        <w:rPr>
          <w:i/>
        </w:rPr>
        <w:t xml:space="preserve">Ikä, sukupuoli ja etninen tausta: </w:t>
      </w:r>
      <w:r w:rsidRPr="0028514E">
        <w:t xml:space="preserve">Nivelreuma- ja jättisoluarteriittipotilaiden populaatiofarmakokineettiset analyysit osoittivat, etteivät ikä, sukupuoli ja etninen tausta vaikuttaneet </w:t>
      </w:r>
      <w:r w:rsidR="00E87550">
        <w:t xml:space="preserve">tosilitsumabin </w:t>
      </w:r>
      <w:r w:rsidRPr="0028514E">
        <w:t>farmakokinetiikkaan.</w:t>
      </w:r>
    </w:p>
    <w:p w14:paraId="3ADAA280" w14:textId="77777777" w:rsidR="003B7027" w:rsidRPr="0028514E" w:rsidRDefault="003B7027" w:rsidP="006E5F9A">
      <w:pPr>
        <w:pStyle w:val="a4"/>
        <w:ind w:left="0"/>
      </w:pPr>
    </w:p>
    <w:p w14:paraId="7098E316" w14:textId="78EEF4FD" w:rsidR="003B7027" w:rsidRPr="0028514E" w:rsidRDefault="00296A74" w:rsidP="006E5F9A">
      <w:pPr>
        <w:pStyle w:val="a4"/>
        <w:ind w:left="0"/>
      </w:pPr>
      <w:r w:rsidRPr="0028514E">
        <w:t xml:space="preserve">Yleisoireista lastenreumaa ja polyartriittia sairastavien lapsipotilaiden populaatiofarmakokineettisen analyysin tulokset vahvistivat, että kehon koko on ainoa kovariaatti, joka vaikuttaa oleellisesti </w:t>
      </w:r>
      <w:r w:rsidR="00E87550">
        <w:t xml:space="preserve">tosilitsumabin </w:t>
      </w:r>
      <w:r w:rsidRPr="0028514E">
        <w:t>farmakokinetiikkaan, eliminaatio ja imeytyminen mukaan lukien. Siksi painoon perustuvaa annostusta tulisi harkita (ks. taulukot 8 ja 9).</w:t>
      </w:r>
    </w:p>
    <w:p w14:paraId="344CB3FC" w14:textId="77777777" w:rsidR="003B7027" w:rsidRPr="0028514E" w:rsidRDefault="003B7027" w:rsidP="003A6943">
      <w:pPr>
        <w:pStyle w:val="a4"/>
        <w:ind w:left="0"/>
      </w:pPr>
    </w:p>
    <w:p w14:paraId="7DA1A116" w14:textId="77777777" w:rsidR="003B7027" w:rsidRPr="0028514E" w:rsidRDefault="00296A74" w:rsidP="003A6943">
      <w:pPr>
        <w:pStyle w:val="2"/>
        <w:keepNext/>
        <w:keepLines/>
        <w:tabs>
          <w:tab w:val="clear" w:pos="603"/>
        </w:tabs>
      </w:pPr>
      <w:r w:rsidRPr="0028514E">
        <w:t>5.3</w:t>
      </w:r>
      <w:r w:rsidRPr="0028514E">
        <w:tab/>
        <w:t>Prekliiniset tiedot turvallisuudesta</w:t>
      </w:r>
    </w:p>
    <w:p w14:paraId="3CADC154" w14:textId="77777777" w:rsidR="00E84F40" w:rsidRPr="0028514E" w:rsidRDefault="00E84F40" w:rsidP="003A6943">
      <w:pPr>
        <w:pStyle w:val="a4"/>
        <w:ind w:left="0"/>
      </w:pPr>
    </w:p>
    <w:p w14:paraId="70DE8290" w14:textId="77777777" w:rsidR="003B7027" w:rsidRPr="0028514E" w:rsidRDefault="00296A74" w:rsidP="003A6943">
      <w:pPr>
        <w:pStyle w:val="a4"/>
        <w:ind w:left="0"/>
      </w:pPr>
      <w:r w:rsidRPr="0028514E">
        <w:t>Farmakologista turvallisuutta, toistuvan altistuksen aiheuttamaa toksisuutta, genotoksisuutta sekä lisääntymis- ja kehitystoksisuutta koskevien konventionaalisten prekliinisten tutkimusten tulokset eivät viittaa erityiseen vaaraan ihmisille.</w:t>
      </w:r>
    </w:p>
    <w:p w14:paraId="2343C05B" w14:textId="77777777" w:rsidR="003B7027" w:rsidRPr="0028514E" w:rsidRDefault="003B7027" w:rsidP="003A6943">
      <w:pPr>
        <w:pStyle w:val="a4"/>
        <w:ind w:left="0"/>
      </w:pPr>
    </w:p>
    <w:p w14:paraId="79372837" w14:textId="77777777" w:rsidR="003B7027" w:rsidRPr="0028514E" w:rsidRDefault="00296A74" w:rsidP="003A6943">
      <w:pPr>
        <w:pStyle w:val="a4"/>
        <w:ind w:left="0"/>
      </w:pPr>
      <w:r w:rsidRPr="0028514E">
        <w:t>Karsinogeenisuustutkimuksia ei ole tehty, koska monoklonaalisia IgG1-vasta-aineita ei pidetä luontaisina karsinogeeneinä.</w:t>
      </w:r>
    </w:p>
    <w:p w14:paraId="540EB8EB" w14:textId="77777777" w:rsidR="00E84F40" w:rsidRPr="0028514E" w:rsidRDefault="00E84F40" w:rsidP="003A6943">
      <w:pPr>
        <w:pStyle w:val="a4"/>
        <w:ind w:left="0"/>
      </w:pPr>
    </w:p>
    <w:p w14:paraId="53D901C9" w14:textId="023996F5" w:rsidR="003B7027" w:rsidRPr="0028514E" w:rsidRDefault="00296A74" w:rsidP="003A6943">
      <w:pPr>
        <w:pStyle w:val="a4"/>
        <w:ind w:left="0"/>
      </w:pPr>
      <w:r w:rsidRPr="0028514E">
        <w:t xml:space="preserve">Käytettävissä olevat ei-kliiniset tiedot osoittivat, että IL-6 vaikuttaa tiettyjen syöpätyyppien etenemiseen ja apoptoosiresistenssiin. Nämä tiedot eivät viittaa siihen, että </w:t>
      </w:r>
      <w:r w:rsidR="002831FA">
        <w:t>tosilitsumabi</w:t>
      </w:r>
      <w:r w:rsidRPr="0028514E">
        <w:t xml:space="preserve">hoitoon liittyisi merkittävää syövän kehittymisen ja etenemisen riskiä. Pitkäaikaisessa kuuden kuukauden </w:t>
      </w:r>
      <w:r w:rsidRPr="0028514E">
        <w:lastRenderedPageBreak/>
        <w:t>toksisuustutkimuksessa ei havaittu proliferoivia leesioita jaavanmakakeilla (cynomolgus-apinoilla) eikä IL-6-defisienteillä hiirillä.</w:t>
      </w:r>
    </w:p>
    <w:p w14:paraId="472663DF" w14:textId="77777777" w:rsidR="00E84F40" w:rsidRPr="0028514E" w:rsidRDefault="00E84F40" w:rsidP="003A6943">
      <w:pPr>
        <w:pStyle w:val="a4"/>
        <w:ind w:left="0"/>
      </w:pPr>
    </w:p>
    <w:p w14:paraId="2A135ED1" w14:textId="3883ED4A" w:rsidR="003B7027" w:rsidRPr="0028514E" w:rsidRDefault="00296A74" w:rsidP="003A6943">
      <w:pPr>
        <w:pStyle w:val="a4"/>
        <w:ind w:left="0"/>
      </w:pPr>
      <w:r w:rsidRPr="0028514E">
        <w:t xml:space="preserve">Käytettävissä olevat ei-kliiniset tiedot eivät viittaa hedelmällisyyteen kohdistuviin vaikutuksiin </w:t>
      </w:r>
      <w:r w:rsidR="002831FA">
        <w:t>tosilitsumabi</w:t>
      </w:r>
      <w:r w:rsidRPr="0028514E">
        <w:t>hoidon aikana. Jaavanmakakeilla tehdyssä toksisuustutkimuksessa ei havaittu endokriinisesti aktiivisiin elimiin eikä lisääntymiselimiin kohdistuneita vaikutuksia.</w:t>
      </w:r>
      <w:r w:rsidR="00D57B3C">
        <w:t xml:space="preserve"> </w:t>
      </w:r>
      <w:r w:rsidRPr="0028514E">
        <w:t xml:space="preserve">Lisääntymistoimintoihin kohdistuvia vaikutuksia ei havaittu myöskään IL-6-defisienteillä hiirillä. </w:t>
      </w:r>
      <w:r w:rsidR="002831FA">
        <w:t xml:space="preserve">tosilitsumabilla </w:t>
      </w:r>
      <w:r w:rsidRPr="0028514E">
        <w:t xml:space="preserve">ei havaittu olevan suoraa eikä epäsuoraa haitallista vaikutusta tiineyteen eikä alkion- tai sikiönkehitykseen, kun sitä annettiin jaavanmakakeille tiineyden alkuvaiheessa. Keskenmenojen / alkio- ja sikiökuolemien vähäistä lisääntymistä havaittiin kuitenkin suurta annostusta 50 mg/kg/vrk saaneiden ryhmässä, jossa systeeminen altistus oli suuri (&gt; 100-kertainen ihmisen altistukseen verrattuna), lumeryhmään ja muihin pientä annosta saaneiden ryhmiin verrattuna. Vaikka IL-6 ei näytä olevan ratkaisevan tärkeä sytokiini sikiön kasvun kannalta eikä emon ja sikiön immunologisessa vuorovaikutuksen säätelyssä, tämän löydöksen yhteyttä </w:t>
      </w:r>
      <w:r w:rsidR="002831FA">
        <w:t>tosilitsumabi</w:t>
      </w:r>
      <w:r w:rsidRPr="0028514E">
        <w:t>hoitoon ei voida sulkea pois.</w:t>
      </w:r>
    </w:p>
    <w:p w14:paraId="44293D4F" w14:textId="77777777" w:rsidR="00E84F40" w:rsidRPr="0028514E" w:rsidRDefault="00E84F40" w:rsidP="006E5F9A">
      <w:pPr>
        <w:pStyle w:val="a4"/>
        <w:ind w:left="0"/>
      </w:pPr>
    </w:p>
    <w:p w14:paraId="7D21E12D" w14:textId="77777777" w:rsidR="003B7027" w:rsidRPr="0028514E" w:rsidRDefault="00296A74" w:rsidP="006E5F9A">
      <w:pPr>
        <w:pStyle w:val="a4"/>
        <w:ind w:left="0"/>
      </w:pPr>
      <w:r w:rsidRPr="0028514E">
        <w:t>Hoito hiiren analogeilla ei aiheuttanut lisääntynyttä toksisuutta nuorilla hiirillä. Häiriöitä ei havaittu etenkään luuston kehityksessä, immuniteetissä eikä seksuaalisessa kypsymisessä.</w:t>
      </w:r>
    </w:p>
    <w:p w14:paraId="17C8879E" w14:textId="77777777" w:rsidR="00E84F40" w:rsidRPr="0028514E" w:rsidRDefault="00E84F40" w:rsidP="006E5F9A">
      <w:pPr>
        <w:pStyle w:val="a4"/>
        <w:ind w:left="0"/>
      </w:pPr>
    </w:p>
    <w:p w14:paraId="03076D14" w14:textId="3832F425" w:rsidR="003B7027" w:rsidRPr="0028514E" w:rsidRDefault="002831FA" w:rsidP="006E5F9A">
      <w:pPr>
        <w:pStyle w:val="a4"/>
        <w:ind w:left="0"/>
      </w:pPr>
      <w:r>
        <w:t xml:space="preserve">Tosilitsumabin </w:t>
      </w:r>
      <w:r w:rsidR="00296A74" w:rsidRPr="0028514E">
        <w:t>non-kliininen turvallisuusprofiili cynomolgus-apinoilla ei viittaa siihen, että laskimonsisäisen ja ihonalaisen antoreitin välillä olisi eroa.</w:t>
      </w:r>
    </w:p>
    <w:p w14:paraId="4EF03FFA" w14:textId="77777777" w:rsidR="003B7027" w:rsidRPr="0028514E" w:rsidRDefault="003B7027" w:rsidP="006E5F9A">
      <w:pPr>
        <w:pStyle w:val="a4"/>
        <w:ind w:left="0"/>
      </w:pPr>
    </w:p>
    <w:p w14:paraId="71D33E00" w14:textId="77777777" w:rsidR="003B7027" w:rsidRPr="0028514E" w:rsidRDefault="003B7027" w:rsidP="006E5F9A">
      <w:pPr>
        <w:pStyle w:val="a4"/>
        <w:ind w:left="0"/>
      </w:pPr>
    </w:p>
    <w:p w14:paraId="4FFE7139" w14:textId="77777777" w:rsidR="003B7027" w:rsidRPr="0028514E" w:rsidRDefault="00296A74" w:rsidP="00BF3213">
      <w:pPr>
        <w:pStyle w:val="1"/>
      </w:pPr>
      <w:r w:rsidRPr="0028514E">
        <w:t>6.</w:t>
      </w:r>
      <w:r w:rsidRPr="0028514E">
        <w:tab/>
        <w:t>FARMASEUTTISET TIEDOT</w:t>
      </w:r>
    </w:p>
    <w:p w14:paraId="6F4A6ED9" w14:textId="77777777" w:rsidR="003B7027" w:rsidRPr="0028514E" w:rsidRDefault="003B7027" w:rsidP="006E5F9A">
      <w:pPr>
        <w:pStyle w:val="a4"/>
        <w:ind w:left="0"/>
        <w:rPr>
          <w:b/>
        </w:rPr>
      </w:pPr>
    </w:p>
    <w:p w14:paraId="158B5E31" w14:textId="77777777" w:rsidR="003B7027" w:rsidRPr="0028514E" w:rsidRDefault="00296A74" w:rsidP="006E5F9A">
      <w:pPr>
        <w:pStyle w:val="2"/>
      </w:pPr>
      <w:r w:rsidRPr="0028514E">
        <w:t>6.1</w:t>
      </w:r>
      <w:r w:rsidRPr="0028514E">
        <w:tab/>
        <w:t>Apuaineet</w:t>
      </w:r>
    </w:p>
    <w:p w14:paraId="1EA92BE2" w14:textId="77777777" w:rsidR="00E84F40" w:rsidRPr="0028514E" w:rsidRDefault="00E84F40" w:rsidP="001C1F69"/>
    <w:p w14:paraId="5B054BC6" w14:textId="77777777" w:rsidR="003B7027" w:rsidRDefault="00296A74" w:rsidP="006E5F9A">
      <w:pPr>
        <w:pStyle w:val="a4"/>
        <w:ind w:left="0"/>
        <w:rPr>
          <w:rFonts w:eastAsia="맑은 고딕"/>
          <w:lang w:eastAsia="ko-KR"/>
        </w:rPr>
      </w:pPr>
      <w:r w:rsidRPr="0028514E">
        <w:t>L-histidiini</w:t>
      </w:r>
    </w:p>
    <w:p w14:paraId="5530F252" w14:textId="3A28B682" w:rsidR="00A5656C" w:rsidRPr="00E919A5" w:rsidRDefault="00C26E34" w:rsidP="006E5F9A">
      <w:pPr>
        <w:pStyle w:val="a4"/>
        <w:ind w:left="0"/>
        <w:rPr>
          <w:rFonts w:eastAsia="맑은 고딕"/>
          <w:lang w:val="en-GB" w:eastAsia="ko-KR"/>
        </w:rPr>
      </w:pPr>
      <w:r w:rsidRPr="00C26E34">
        <w:rPr>
          <w:rFonts w:eastAsia="맑은 고딕" w:hint="eastAsia"/>
          <w:lang w:val="en-GB" w:eastAsia="ko-KR"/>
        </w:rPr>
        <w:t>L-</w:t>
      </w:r>
      <w:proofErr w:type="spellStart"/>
      <w:r w:rsidRPr="00C26E34">
        <w:rPr>
          <w:rFonts w:eastAsia="맑은 고딕" w:hint="eastAsia"/>
          <w:lang w:val="en-GB" w:eastAsia="ko-KR"/>
        </w:rPr>
        <w:t>histidiinimonohydrokloridimonohydraatti</w:t>
      </w:r>
      <w:proofErr w:type="spellEnd"/>
    </w:p>
    <w:p w14:paraId="22091B64" w14:textId="72E4A39D" w:rsidR="003B7027" w:rsidRPr="0028514E" w:rsidRDefault="002831FA" w:rsidP="006E5F9A">
      <w:pPr>
        <w:pStyle w:val="a4"/>
        <w:ind w:left="0"/>
      </w:pPr>
      <w:r>
        <w:t>L‑treoniini</w:t>
      </w:r>
    </w:p>
    <w:p w14:paraId="526C8818" w14:textId="77777777" w:rsidR="001B58C3" w:rsidRDefault="00296A74" w:rsidP="006E5F9A">
      <w:pPr>
        <w:pStyle w:val="a4"/>
        <w:ind w:left="0"/>
      </w:pPr>
      <w:r w:rsidRPr="0028514E">
        <w:t xml:space="preserve">L-metioniini </w:t>
      </w:r>
    </w:p>
    <w:p w14:paraId="28ADE679" w14:textId="77777777" w:rsidR="003B7027" w:rsidRPr="0028514E" w:rsidRDefault="00296A74" w:rsidP="006E5F9A">
      <w:pPr>
        <w:pStyle w:val="a4"/>
        <w:ind w:left="0"/>
      </w:pPr>
      <w:r w:rsidRPr="0028514E">
        <w:t>Polysorbaatti 80</w:t>
      </w:r>
    </w:p>
    <w:p w14:paraId="326F7D0F" w14:textId="77777777" w:rsidR="003B7027" w:rsidRPr="0028514E" w:rsidRDefault="00296A74" w:rsidP="006E5F9A">
      <w:pPr>
        <w:pStyle w:val="a4"/>
        <w:ind w:left="0"/>
      </w:pPr>
      <w:r w:rsidRPr="0028514E">
        <w:t>Injektionesteisiin käytettävä vesi</w:t>
      </w:r>
    </w:p>
    <w:p w14:paraId="7A1D7EC3" w14:textId="77777777" w:rsidR="003B7027" w:rsidRPr="0028514E" w:rsidRDefault="003B7027" w:rsidP="006E5F9A">
      <w:pPr>
        <w:pStyle w:val="a4"/>
        <w:ind w:left="0"/>
      </w:pPr>
    </w:p>
    <w:p w14:paraId="589508A2" w14:textId="77777777" w:rsidR="003B7027" w:rsidRPr="0028514E" w:rsidRDefault="00296A74" w:rsidP="006E5F9A">
      <w:pPr>
        <w:pStyle w:val="2"/>
      </w:pPr>
      <w:r w:rsidRPr="0028514E">
        <w:t>6.2</w:t>
      </w:r>
      <w:r w:rsidRPr="0028514E">
        <w:tab/>
        <w:t>Yhteensopimattomuudet</w:t>
      </w:r>
    </w:p>
    <w:p w14:paraId="68790A30" w14:textId="77777777" w:rsidR="00E84F40" w:rsidRPr="009A3CB5" w:rsidRDefault="00E84F40" w:rsidP="001C1F69">
      <w:pPr>
        <w:rPr>
          <w:lang w:val="fi-FI"/>
        </w:rPr>
      </w:pPr>
    </w:p>
    <w:p w14:paraId="0688BD64" w14:textId="77777777" w:rsidR="003B7027" w:rsidRPr="0028514E" w:rsidRDefault="00296A74" w:rsidP="006E5F9A">
      <w:pPr>
        <w:pStyle w:val="a4"/>
        <w:ind w:left="0"/>
      </w:pPr>
      <w:r w:rsidRPr="0028514E">
        <w:t>Koska yhteensopivuustutkimuksia ei ole tehty, tätä lääkevalmistetta ei saa sekoittaa muiden lääkevalmisteiden kanssa.</w:t>
      </w:r>
    </w:p>
    <w:p w14:paraId="46D652A9" w14:textId="77777777" w:rsidR="003B7027" w:rsidRPr="0028514E" w:rsidRDefault="003B7027" w:rsidP="006E5F9A">
      <w:pPr>
        <w:pStyle w:val="a4"/>
        <w:ind w:left="0"/>
      </w:pPr>
    </w:p>
    <w:p w14:paraId="272DF31D" w14:textId="77777777" w:rsidR="003B7027" w:rsidRPr="0028514E" w:rsidRDefault="00296A74" w:rsidP="006E5F9A">
      <w:pPr>
        <w:pStyle w:val="2"/>
      </w:pPr>
      <w:r w:rsidRPr="0028514E">
        <w:t>6.3</w:t>
      </w:r>
      <w:r w:rsidRPr="0028514E">
        <w:tab/>
        <w:t>Kestoaika</w:t>
      </w:r>
    </w:p>
    <w:p w14:paraId="28D47195" w14:textId="77777777" w:rsidR="00E84F40" w:rsidRPr="009A3CB5" w:rsidRDefault="00E84F40" w:rsidP="001C1F69">
      <w:pPr>
        <w:rPr>
          <w:lang w:val="fi-FI"/>
        </w:rPr>
      </w:pPr>
    </w:p>
    <w:p w14:paraId="791636FE" w14:textId="46EE64FB" w:rsidR="003B7027" w:rsidRPr="0028514E" w:rsidRDefault="00A3116F" w:rsidP="006E5F9A">
      <w:pPr>
        <w:pStyle w:val="a4"/>
        <w:ind w:left="0"/>
      </w:pPr>
      <w:r>
        <w:rPr>
          <w:rFonts w:eastAsia="맑은 고딕" w:hint="eastAsia"/>
          <w:lang w:eastAsia="ko-KR"/>
        </w:rPr>
        <w:t>42</w:t>
      </w:r>
      <w:r w:rsidRPr="0028514E">
        <w:t xml:space="preserve"> </w:t>
      </w:r>
      <w:r w:rsidR="00296A74" w:rsidRPr="0028514E">
        <w:t>kuukautta.</w:t>
      </w:r>
    </w:p>
    <w:p w14:paraId="6448B49E" w14:textId="77777777" w:rsidR="003B7027" w:rsidRPr="0028514E" w:rsidRDefault="003B7027" w:rsidP="006E5F9A">
      <w:pPr>
        <w:pStyle w:val="a4"/>
        <w:ind w:left="0"/>
      </w:pPr>
    </w:p>
    <w:p w14:paraId="54460576" w14:textId="77777777" w:rsidR="003B7027" w:rsidRPr="0028514E" w:rsidRDefault="00296A74" w:rsidP="006E5F9A">
      <w:pPr>
        <w:pStyle w:val="2"/>
      </w:pPr>
      <w:r w:rsidRPr="0028514E">
        <w:t>6.4</w:t>
      </w:r>
      <w:r w:rsidRPr="0028514E">
        <w:tab/>
        <w:t>Säilytys</w:t>
      </w:r>
    </w:p>
    <w:p w14:paraId="1D4C6792" w14:textId="77777777" w:rsidR="00E84F40" w:rsidRPr="009A3CB5" w:rsidRDefault="00E84F40" w:rsidP="001C1F69">
      <w:pPr>
        <w:rPr>
          <w:lang w:val="fi-FI"/>
        </w:rPr>
      </w:pPr>
    </w:p>
    <w:p w14:paraId="172E0E81" w14:textId="4865B9D1" w:rsidR="003B7027" w:rsidRPr="0028514E" w:rsidRDefault="00296A74" w:rsidP="006E5F9A">
      <w:pPr>
        <w:pStyle w:val="a4"/>
        <w:ind w:left="0"/>
      </w:pPr>
      <w:r w:rsidRPr="0028514E">
        <w:t xml:space="preserve">Säilytä jääkaapissa (2 °C – 8 °C). Ei saa jäätyä. Kun esitäytetty ruisku on otettu jääkaapista, se voidaan säilyttää enintään 30 °C:n lämpötilassa korkeintaan </w:t>
      </w:r>
      <w:r w:rsidR="002831FA">
        <w:t>3</w:t>
      </w:r>
      <w:r w:rsidRPr="0028514E">
        <w:t xml:space="preserve"> viikkoa.</w:t>
      </w:r>
    </w:p>
    <w:p w14:paraId="5CEF22C2" w14:textId="77777777" w:rsidR="00E84F40" w:rsidRPr="0028514E" w:rsidRDefault="00E84F40" w:rsidP="006E5F9A">
      <w:pPr>
        <w:pStyle w:val="a4"/>
        <w:ind w:left="0"/>
      </w:pPr>
    </w:p>
    <w:p w14:paraId="5D1559A5" w14:textId="77777777" w:rsidR="003B7027" w:rsidRPr="0028514E" w:rsidRDefault="00296A74" w:rsidP="006E5F9A">
      <w:pPr>
        <w:pStyle w:val="a4"/>
        <w:ind w:left="0"/>
      </w:pPr>
      <w:r w:rsidRPr="0028514E">
        <w:t>Pidä esitäytetyt ruiskut ulkopakkauksessa. Herkkä valolle. Herkkä kosteudelle.</w:t>
      </w:r>
    </w:p>
    <w:p w14:paraId="171D01BC" w14:textId="77777777" w:rsidR="003B7027" w:rsidRPr="0028514E" w:rsidRDefault="003B7027" w:rsidP="006E5F9A">
      <w:pPr>
        <w:pStyle w:val="a4"/>
        <w:ind w:left="0"/>
      </w:pPr>
    </w:p>
    <w:p w14:paraId="4ED84743" w14:textId="77777777" w:rsidR="003B7027" w:rsidRPr="0028514E" w:rsidRDefault="00296A74" w:rsidP="006E5F9A">
      <w:pPr>
        <w:pStyle w:val="2"/>
      </w:pPr>
      <w:r w:rsidRPr="0028514E">
        <w:t>6.5</w:t>
      </w:r>
      <w:r w:rsidRPr="0028514E">
        <w:tab/>
        <w:t>Pakkaustyyppi ja pakkauskoko (pakkauskoot)</w:t>
      </w:r>
    </w:p>
    <w:p w14:paraId="5A32B77F" w14:textId="77777777" w:rsidR="00E84F40" w:rsidRPr="009A3CB5" w:rsidRDefault="00E84F40" w:rsidP="001C1F69">
      <w:pPr>
        <w:rPr>
          <w:lang w:val="fi-FI"/>
        </w:rPr>
      </w:pPr>
    </w:p>
    <w:p w14:paraId="66B65B07" w14:textId="01728C39" w:rsidR="003B7027" w:rsidRPr="0028514E" w:rsidRDefault="00296A74" w:rsidP="006E5F9A">
      <w:pPr>
        <w:pStyle w:val="a4"/>
        <w:ind w:left="0"/>
      </w:pPr>
      <w:r w:rsidRPr="0028514E">
        <w:t>0,9 ml liuosta esitäytetyssä ruiskussa (tyypin I lasia), jossa on valmiiksi kiinnitetty neula. Ruiskussa on jäykkä neulansuojus (</w:t>
      </w:r>
      <w:r w:rsidR="00C33703">
        <w:t>polyisopreenikumia ja polypropeenia</w:t>
      </w:r>
      <w:r w:rsidRPr="0028514E">
        <w:t>) ja</w:t>
      </w:r>
      <w:r w:rsidR="00C33703">
        <w:t xml:space="preserve"> steriili fluorotec-päällystetty elastomeerinen</w:t>
      </w:r>
      <w:r w:rsidRPr="0028514E">
        <w:t xml:space="preserve"> männänpysäytin (</w:t>
      </w:r>
      <w:r w:rsidR="00C33703">
        <w:t>jossa on silikonia</w:t>
      </w:r>
      <w:r w:rsidRPr="0028514E">
        <w:t>).</w:t>
      </w:r>
    </w:p>
    <w:p w14:paraId="7CCEF7DA" w14:textId="77777777" w:rsidR="00E84F40" w:rsidRDefault="00E84F40" w:rsidP="006E5F9A">
      <w:pPr>
        <w:pStyle w:val="a4"/>
        <w:ind w:left="0"/>
      </w:pPr>
    </w:p>
    <w:p w14:paraId="1234DF4D" w14:textId="35CB4F1D" w:rsidR="00C33703" w:rsidRDefault="00C33703" w:rsidP="006E5F9A">
      <w:pPr>
        <w:pStyle w:val="a4"/>
        <w:ind w:left="0"/>
      </w:pPr>
      <w:r>
        <w:t>Potilaan käyttöön tarkoitettuja esitäytettyjä Avtozma-ruiskuja on saatavilla pakkauksissa, jotka sisältävät:</w:t>
      </w:r>
    </w:p>
    <w:p w14:paraId="7D38211C" w14:textId="42E924C5" w:rsidR="00C33703" w:rsidRDefault="00C33703" w:rsidP="00C33703">
      <w:pPr>
        <w:pStyle w:val="a"/>
      </w:pPr>
      <w:r>
        <w:lastRenderedPageBreak/>
        <w:t>1 esitäytetyn ruiskun</w:t>
      </w:r>
    </w:p>
    <w:p w14:paraId="32149B23" w14:textId="0A5DA5CC" w:rsidR="003B2CC6" w:rsidRDefault="003B2CC6" w:rsidP="003B2CC6">
      <w:pPr>
        <w:pStyle w:val="a"/>
        <w:rPr>
          <w:ins w:id="12" w:author="만든 이"/>
        </w:rPr>
      </w:pPr>
      <w:ins w:id="13" w:author="만든 이">
        <w:r>
          <w:rPr>
            <w:rFonts w:eastAsia="맑은 고딕" w:hint="eastAsia"/>
            <w:lang w:eastAsia="ko-KR"/>
          </w:rPr>
          <w:t>2</w:t>
        </w:r>
        <w:r>
          <w:t> esitäytettyä ruiskua</w:t>
        </w:r>
      </w:ins>
    </w:p>
    <w:p w14:paraId="0E4C2718" w14:textId="1871C4DB" w:rsidR="00C33703" w:rsidRDefault="00C33703" w:rsidP="00C33703">
      <w:pPr>
        <w:pStyle w:val="a"/>
      </w:pPr>
      <w:r>
        <w:t>4 esitäytettyä ruiskua</w:t>
      </w:r>
    </w:p>
    <w:p w14:paraId="74D13060" w14:textId="158478C3" w:rsidR="00C33703" w:rsidRDefault="00C33703" w:rsidP="00CA43F5">
      <w:pPr>
        <w:pStyle w:val="a"/>
      </w:pPr>
      <w:r>
        <w:t xml:space="preserve">12 esitäytettyä ruiskua </w:t>
      </w:r>
      <w:r w:rsidR="00A50F83">
        <w:t xml:space="preserve">(3 pakkausta, joissa kussakin 4 esitäytettyä ruiskua) </w:t>
      </w:r>
      <w:r>
        <w:t>(monipakkaus)</w:t>
      </w:r>
    </w:p>
    <w:p w14:paraId="4D87F7FC" w14:textId="77777777" w:rsidR="00C33703" w:rsidRPr="0028514E" w:rsidRDefault="00C33703" w:rsidP="006E5F9A">
      <w:pPr>
        <w:pStyle w:val="a4"/>
        <w:ind w:left="0"/>
      </w:pPr>
    </w:p>
    <w:p w14:paraId="2B075E02" w14:textId="227A1ED5" w:rsidR="003B7027" w:rsidRPr="0028514E" w:rsidRDefault="00296A74" w:rsidP="006E5F9A">
      <w:pPr>
        <w:pStyle w:val="a4"/>
        <w:ind w:left="0"/>
      </w:pPr>
      <w:r w:rsidRPr="0028514E">
        <w:t>Kaikkia pakkauskokoja ei välttämättä ole myynnissä.</w:t>
      </w:r>
    </w:p>
    <w:p w14:paraId="54AE3749" w14:textId="77777777" w:rsidR="003B7027" w:rsidRPr="0028514E" w:rsidRDefault="003B7027" w:rsidP="006E5F9A">
      <w:pPr>
        <w:pStyle w:val="a4"/>
        <w:ind w:left="0"/>
      </w:pPr>
    </w:p>
    <w:p w14:paraId="3A8BCD14" w14:textId="77777777" w:rsidR="003B7027" w:rsidRPr="0028514E" w:rsidRDefault="00296A74" w:rsidP="006E5F9A">
      <w:pPr>
        <w:pStyle w:val="2"/>
      </w:pPr>
      <w:r w:rsidRPr="0028514E">
        <w:t>6.6</w:t>
      </w:r>
      <w:r w:rsidRPr="0028514E">
        <w:tab/>
        <w:t>Erityiset varotoimet hävittämiselle ja muut käsittelyohjeet</w:t>
      </w:r>
    </w:p>
    <w:p w14:paraId="20473EC7" w14:textId="77777777" w:rsidR="00E84F40" w:rsidRPr="0028514E" w:rsidRDefault="00E84F40" w:rsidP="001C1F69"/>
    <w:p w14:paraId="684008D8" w14:textId="5756D54A" w:rsidR="003B7027" w:rsidRPr="0028514E" w:rsidRDefault="00C33703" w:rsidP="006E5F9A">
      <w:pPr>
        <w:pStyle w:val="a4"/>
        <w:ind w:left="0"/>
      </w:pPr>
      <w:r>
        <w:t>Avtozma</w:t>
      </w:r>
      <w:r w:rsidRPr="0028514E">
        <w:t xml:space="preserve"> </w:t>
      </w:r>
      <w:r w:rsidR="00296A74" w:rsidRPr="0028514E">
        <w:t>on pakattu kertakäyttöön tarkoitettuun esitäytettyyn ruiskuun, jossa on turvamekanismi neulan piston estämiseksi. Kun esitäytetty ruisku on otettu jääkaapista, esitäytetyn ruiskun on annettava lämmetä huoneenlämpöiseksi (</w:t>
      </w:r>
      <w:r w:rsidR="00D43D49">
        <w:rPr>
          <w:rFonts w:eastAsia="맑은 고딕" w:hint="eastAsia"/>
          <w:lang w:eastAsia="ko-KR"/>
        </w:rPr>
        <w:t>18</w:t>
      </w:r>
      <w:r w:rsidR="00D43D49">
        <w:t> </w:t>
      </w:r>
      <w:r w:rsidR="00296A74" w:rsidRPr="0028514E">
        <w:t xml:space="preserve">°C – </w:t>
      </w:r>
      <w:r w:rsidR="00D43D49">
        <w:t>2</w:t>
      </w:r>
      <w:r w:rsidR="00D43D49">
        <w:rPr>
          <w:rFonts w:eastAsia="맑은 고딕" w:hint="eastAsia"/>
          <w:lang w:eastAsia="ko-KR"/>
        </w:rPr>
        <w:t>8</w:t>
      </w:r>
      <w:r w:rsidR="00D43D49">
        <w:t> </w:t>
      </w:r>
      <w:r w:rsidR="00296A74" w:rsidRPr="0028514E">
        <w:t xml:space="preserve">°C) 30 minuutin ajan ennen </w:t>
      </w:r>
      <w:r>
        <w:t>Avtozma</w:t>
      </w:r>
      <w:r w:rsidR="00296A74" w:rsidRPr="0028514E">
        <w:t>-injektion antamista. Ruiskua ei saa ravistaa. Injektion antaminen on aloitettava 5 minuutin kuluessa siitä, kun neulan suojakorkki on poistettu, jotta lääke ei kuivu ja tuki neulaa. Jos esitäytettyä ruiskua ei käytetä 5 minuutin kuluessa siitä, kun suojakorkki on poistettu, ruisku on laitettava pistävälle ja viiltävälle jätteelle tarkoitettuun astiaan, ja käyttöön on otettava uusi esitäytetty ruisku.</w:t>
      </w:r>
    </w:p>
    <w:p w14:paraId="7BA03B47" w14:textId="77777777" w:rsidR="003B7027" w:rsidRPr="0028514E" w:rsidRDefault="00296A74" w:rsidP="006E5F9A">
      <w:pPr>
        <w:pStyle w:val="a4"/>
        <w:ind w:left="0"/>
      </w:pPr>
      <w:r w:rsidRPr="0028514E">
        <w:t>Jos et neulan ihon alle pistämisen jälkeen pysty painamaan ruiskun mäntää, sinun on laitettava esitäytetty ruisku pistävälle ja viiltävälle jätteelle tarkoitettuun astiaan ja otettava käyttöön uusi esitäytetty ruisku.</w:t>
      </w:r>
    </w:p>
    <w:p w14:paraId="4D0F19D0" w14:textId="77777777" w:rsidR="003B7027" w:rsidRPr="0028514E" w:rsidRDefault="003B7027" w:rsidP="006E5F9A">
      <w:pPr>
        <w:pStyle w:val="a4"/>
        <w:ind w:left="0"/>
      </w:pPr>
    </w:p>
    <w:p w14:paraId="575E26B0" w14:textId="47269599" w:rsidR="003B7027" w:rsidRPr="0028514E" w:rsidRDefault="00296A74" w:rsidP="006E5F9A">
      <w:pPr>
        <w:pStyle w:val="a4"/>
        <w:ind w:left="0"/>
      </w:pPr>
      <w:r w:rsidRPr="0028514E">
        <w:t xml:space="preserve">Älä käytä ruiskua, jos lääke on sameaa tai siinä on hiukkasia tai jos liuos ei ole väritöntä tai </w:t>
      </w:r>
      <w:r w:rsidR="00C33703">
        <w:t>keltaista</w:t>
      </w:r>
      <w:r w:rsidRPr="0028514E">
        <w:t xml:space="preserve"> tai jos esitäytetyn ruiskun jokin osa vaikuttaa vialliselta.</w:t>
      </w:r>
    </w:p>
    <w:p w14:paraId="51FF1DE1" w14:textId="77777777" w:rsidR="00E84F40" w:rsidRPr="0028514E" w:rsidRDefault="00E84F40" w:rsidP="006E5F9A">
      <w:pPr>
        <w:pStyle w:val="a4"/>
        <w:ind w:left="0"/>
      </w:pPr>
    </w:p>
    <w:p w14:paraId="432A28D0" w14:textId="2E45E414" w:rsidR="00E84F40" w:rsidRPr="0028514E" w:rsidRDefault="00296A74" w:rsidP="006E5F9A">
      <w:pPr>
        <w:pStyle w:val="a4"/>
        <w:ind w:left="0"/>
      </w:pPr>
      <w:r w:rsidRPr="0028514E">
        <w:t xml:space="preserve">Kattavat ohjeet esitäytetyn </w:t>
      </w:r>
      <w:r w:rsidR="00C33703">
        <w:t>Avtozma-</w:t>
      </w:r>
      <w:r w:rsidRPr="0028514E">
        <w:t>ruiskun käyttämiseen on esitetty pakkausselosteessa.</w:t>
      </w:r>
    </w:p>
    <w:p w14:paraId="436C98DE" w14:textId="77777777" w:rsidR="00E84F40" w:rsidRPr="0028514E" w:rsidRDefault="00E84F40" w:rsidP="006E5F9A">
      <w:pPr>
        <w:pStyle w:val="a4"/>
        <w:ind w:left="0"/>
      </w:pPr>
    </w:p>
    <w:p w14:paraId="3831464E" w14:textId="77777777" w:rsidR="003B7027" w:rsidRPr="0028514E" w:rsidRDefault="00296A74" w:rsidP="006E5F9A">
      <w:pPr>
        <w:pStyle w:val="a4"/>
        <w:ind w:left="0"/>
      </w:pPr>
      <w:r w:rsidRPr="0028514E">
        <w:t>Käyttämätön lääkevalmiste tai jäte on hävitettävä paikallisten vaatimusten mukaisesti.</w:t>
      </w:r>
    </w:p>
    <w:p w14:paraId="5562E704" w14:textId="77777777" w:rsidR="003B7027" w:rsidRPr="0028514E" w:rsidRDefault="003B7027" w:rsidP="006E5F9A">
      <w:pPr>
        <w:pStyle w:val="a4"/>
        <w:ind w:left="0"/>
      </w:pPr>
    </w:p>
    <w:p w14:paraId="4E4565A2" w14:textId="77777777" w:rsidR="00E84F40" w:rsidRPr="0028514E" w:rsidRDefault="00E84F40" w:rsidP="006E5F9A">
      <w:pPr>
        <w:pStyle w:val="a4"/>
        <w:ind w:left="0"/>
      </w:pPr>
    </w:p>
    <w:p w14:paraId="5758E83E" w14:textId="77777777" w:rsidR="003B7027" w:rsidRPr="00E919A5" w:rsidRDefault="00296A74" w:rsidP="00BF3213">
      <w:pPr>
        <w:pStyle w:val="1"/>
      </w:pPr>
      <w:r w:rsidRPr="00E919A5">
        <w:t>7.</w:t>
      </w:r>
      <w:r w:rsidRPr="00E919A5">
        <w:tab/>
        <w:t>MYYNTILUVAN HALTIJA</w:t>
      </w:r>
    </w:p>
    <w:p w14:paraId="08D27E0D" w14:textId="77777777" w:rsidR="00E84F40" w:rsidRPr="00E919A5" w:rsidRDefault="00E84F40" w:rsidP="001C1F69"/>
    <w:p w14:paraId="7F74A956" w14:textId="77777777" w:rsidR="00C33703" w:rsidRPr="00E919A5" w:rsidRDefault="00C33703" w:rsidP="00C33703">
      <w:pPr>
        <w:pStyle w:val="a4"/>
        <w:keepNext/>
        <w:ind w:left="0"/>
      </w:pPr>
      <w:r w:rsidRPr="00E919A5">
        <w:t xml:space="preserve">Celltrion Healthcare Hungary Kft. </w:t>
      </w:r>
    </w:p>
    <w:p w14:paraId="39913723" w14:textId="77777777" w:rsidR="00C33703" w:rsidRPr="00E919A5" w:rsidRDefault="00C33703" w:rsidP="00CA43F5">
      <w:pPr>
        <w:pStyle w:val="a4"/>
        <w:keepNext/>
        <w:ind w:left="0"/>
      </w:pPr>
      <w:r w:rsidRPr="00E919A5">
        <w:t>1062 Budapest</w:t>
      </w:r>
    </w:p>
    <w:p w14:paraId="12FD0CF7" w14:textId="77777777" w:rsidR="00C33703" w:rsidRPr="00CA43F5" w:rsidRDefault="00C33703" w:rsidP="00CA43F5">
      <w:pPr>
        <w:pStyle w:val="a4"/>
        <w:keepNext/>
        <w:ind w:left="0"/>
        <w:rPr>
          <w:lang w:val="en-US"/>
        </w:rPr>
      </w:pPr>
      <w:r w:rsidRPr="00CA43F5">
        <w:rPr>
          <w:lang w:val="en-US"/>
        </w:rPr>
        <w:t xml:space="preserve">Váci </w:t>
      </w:r>
      <w:proofErr w:type="spellStart"/>
      <w:r w:rsidRPr="00CA43F5">
        <w:rPr>
          <w:lang w:val="en-US"/>
        </w:rPr>
        <w:t>út</w:t>
      </w:r>
      <w:proofErr w:type="spellEnd"/>
      <w:r w:rsidRPr="00CA43F5">
        <w:rPr>
          <w:lang w:val="en-US"/>
        </w:rPr>
        <w:t xml:space="preserve"> 1-3. </w:t>
      </w:r>
      <w:proofErr w:type="spellStart"/>
      <w:r w:rsidRPr="00CA43F5">
        <w:rPr>
          <w:lang w:val="en-US"/>
        </w:rPr>
        <w:t>WestEnd</w:t>
      </w:r>
      <w:proofErr w:type="spellEnd"/>
      <w:r w:rsidRPr="00CA43F5">
        <w:rPr>
          <w:lang w:val="en-US"/>
        </w:rPr>
        <w:t xml:space="preserve"> Office Building B </w:t>
      </w:r>
      <w:proofErr w:type="spellStart"/>
      <w:r w:rsidRPr="00CA43F5">
        <w:rPr>
          <w:lang w:val="en-US"/>
        </w:rPr>
        <w:t>torony</w:t>
      </w:r>
      <w:proofErr w:type="spellEnd"/>
    </w:p>
    <w:p w14:paraId="0C1EBCB6" w14:textId="38D864BA" w:rsidR="003B7027" w:rsidRPr="0028514E" w:rsidRDefault="00C33703" w:rsidP="006E5F9A">
      <w:pPr>
        <w:pStyle w:val="a4"/>
        <w:ind w:left="0"/>
      </w:pPr>
      <w:r>
        <w:t>Unkari</w:t>
      </w:r>
    </w:p>
    <w:p w14:paraId="123A4107" w14:textId="77777777" w:rsidR="003B7027" w:rsidRPr="0028514E" w:rsidRDefault="003B7027" w:rsidP="006E5F9A">
      <w:pPr>
        <w:pStyle w:val="a4"/>
        <w:ind w:left="0"/>
      </w:pPr>
    </w:p>
    <w:p w14:paraId="5FDD51C7" w14:textId="77777777" w:rsidR="003B7027" w:rsidRPr="0028514E" w:rsidRDefault="003B7027" w:rsidP="006E5F9A">
      <w:pPr>
        <w:pStyle w:val="a4"/>
        <w:ind w:left="0"/>
      </w:pPr>
    </w:p>
    <w:p w14:paraId="48972DE3" w14:textId="77777777" w:rsidR="003B7027" w:rsidRPr="0028514E" w:rsidRDefault="00296A74" w:rsidP="00BF3213">
      <w:pPr>
        <w:pStyle w:val="1"/>
      </w:pPr>
      <w:r w:rsidRPr="0028514E">
        <w:t>8.</w:t>
      </w:r>
      <w:r w:rsidRPr="0028514E">
        <w:tab/>
        <w:t>MYYNTILUVAN NUMERO(T)</w:t>
      </w:r>
    </w:p>
    <w:p w14:paraId="6AC83B33" w14:textId="77777777" w:rsidR="00E84F40" w:rsidRPr="0028514E" w:rsidRDefault="00E84F40" w:rsidP="001C1F69"/>
    <w:p w14:paraId="2B72FBB2" w14:textId="49D099D3" w:rsidR="00C33703" w:rsidRPr="00CA43F5" w:rsidRDefault="00C33703" w:rsidP="00C33703">
      <w:pPr>
        <w:rPr>
          <w:lang w:val="fi-FI"/>
        </w:rPr>
      </w:pPr>
      <w:r w:rsidRPr="00CA43F5">
        <w:rPr>
          <w:lang w:val="fi-FI"/>
        </w:rPr>
        <w:t>EU/</w:t>
      </w:r>
      <w:r w:rsidR="00254761" w:rsidRPr="003F07A8">
        <w:rPr>
          <w:rFonts w:cs="Verdana"/>
          <w:color w:val="000000"/>
          <w:kern w:val="2"/>
          <w:lang w:val="fi-FI"/>
        </w:rPr>
        <w:t>1/24/1896/007</w:t>
      </w:r>
    </w:p>
    <w:p w14:paraId="752EA23E" w14:textId="62AA0E50" w:rsidR="00C33703" w:rsidRPr="00E919A5" w:rsidRDefault="00C33703" w:rsidP="00C33703">
      <w:pPr>
        <w:rPr>
          <w:lang w:val="fi-FI"/>
        </w:rPr>
      </w:pPr>
      <w:r w:rsidRPr="00E919A5">
        <w:rPr>
          <w:lang w:val="fi-FI"/>
        </w:rPr>
        <w:t>EU/</w:t>
      </w:r>
      <w:r w:rsidR="00254761" w:rsidRPr="00D315AE">
        <w:rPr>
          <w:rFonts w:cs="Verdana"/>
          <w:color w:val="000000"/>
          <w:kern w:val="2"/>
          <w:lang w:val="fi-FI"/>
        </w:rPr>
        <w:t>1/24/1896/008</w:t>
      </w:r>
    </w:p>
    <w:p w14:paraId="2D5C1195" w14:textId="30F40B06" w:rsidR="003B7027" w:rsidRPr="00E919A5" w:rsidRDefault="00C33703" w:rsidP="006E5F9A">
      <w:pPr>
        <w:pStyle w:val="a4"/>
        <w:ind w:left="0"/>
      </w:pPr>
      <w:r w:rsidRPr="00E919A5">
        <w:t>EU/</w:t>
      </w:r>
      <w:r w:rsidR="00254761">
        <w:rPr>
          <w:rFonts w:cs="Verdana"/>
          <w:color w:val="000000"/>
          <w:kern w:val="2"/>
        </w:rPr>
        <w:t>1/24/1896/009</w:t>
      </w:r>
    </w:p>
    <w:p w14:paraId="0A886860" w14:textId="7B281B12" w:rsidR="003B2CC6" w:rsidRPr="003B2CC6" w:rsidRDefault="003B2CC6" w:rsidP="003B2CC6">
      <w:pPr>
        <w:pStyle w:val="a4"/>
        <w:ind w:left="0"/>
        <w:rPr>
          <w:ins w:id="14" w:author="만든 이"/>
          <w:rFonts w:eastAsia="맑은 고딕"/>
          <w:lang w:eastAsia="ko-KR"/>
          <w:rPrChange w:id="15" w:author="만든 이">
            <w:rPr>
              <w:ins w:id="16" w:author="만든 이"/>
            </w:rPr>
          </w:rPrChange>
        </w:rPr>
      </w:pPr>
      <w:ins w:id="17" w:author="만든 이">
        <w:r w:rsidRPr="00E919A5">
          <w:t>EU/</w:t>
        </w:r>
        <w:r>
          <w:rPr>
            <w:rFonts w:cs="Verdana"/>
            <w:color w:val="000000"/>
            <w:kern w:val="2"/>
          </w:rPr>
          <w:t>1/24/1896/</w:t>
        </w:r>
        <w:r w:rsidR="00144CBD">
          <w:rPr>
            <w:rFonts w:eastAsia="맑은 고딕" w:cs="Verdana" w:hint="eastAsia"/>
            <w:color w:val="000000"/>
            <w:kern w:val="2"/>
            <w:lang w:eastAsia="ko-KR"/>
          </w:rPr>
          <w:t>013</w:t>
        </w:r>
      </w:ins>
    </w:p>
    <w:p w14:paraId="401B4A69" w14:textId="77777777" w:rsidR="003B7027" w:rsidRPr="00E919A5" w:rsidRDefault="003B7027" w:rsidP="006E5F9A">
      <w:pPr>
        <w:pStyle w:val="a4"/>
        <w:ind w:left="0"/>
      </w:pPr>
    </w:p>
    <w:p w14:paraId="72026A58" w14:textId="77777777" w:rsidR="003B7027" w:rsidRPr="00E919A5" w:rsidRDefault="003B7027" w:rsidP="006E5F9A">
      <w:pPr>
        <w:pStyle w:val="a4"/>
        <w:ind w:left="0"/>
      </w:pPr>
    </w:p>
    <w:p w14:paraId="61B6A7C1" w14:textId="77777777" w:rsidR="003B7027" w:rsidRPr="0028514E" w:rsidRDefault="00296A74" w:rsidP="00C82B5A">
      <w:pPr>
        <w:pStyle w:val="1"/>
        <w:keepNext/>
      </w:pPr>
      <w:r w:rsidRPr="0028514E">
        <w:t>9.</w:t>
      </w:r>
      <w:r w:rsidRPr="0028514E">
        <w:tab/>
        <w:t>MYYNTILUVAN MYÖNTÄMISPÄIVÄMÄÄRÄ/UUDISTAMISPÄIVÄMÄÄRÄ</w:t>
      </w:r>
    </w:p>
    <w:p w14:paraId="374E85A2" w14:textId="77777777" w:rsidR="00E84F40" w:rsidRPr="0028514E" w:rsidRDefault="00E84F40" w:rsidP="00C82B5A">
      <w:pPr>
        <w:pStyle w:val="a4"/>
        <w:keepNext/>
        <w:ind w:left="0"/>
        <w:rPr>
          <w:color w:val="1C1C1C"/>
        </w:rPr>
      </w:pPr>
    </w:p>
    <w:p w14:paraId="5A696E9E" w14:textId="7FBC61A1" w:rsidR="003B7027" w:rsidRPr="0028514E" w:rsidRDefault="00296A74" w:rsidP="006E5F9A">
      <w:pPr>
        <w:pStyle w:val="a4"/>
        <w:ind w:left="0"/>
      </w:pPr>
      <w:r w:rsidRPr="0028514E">
        <w:rPr>
          <w:color w:val="1C1C1C"/>
        </w:rPr>
        <w:t>Myyntiluvan myöntämisen päivämäärä:</w:t>
      </w:r>
      <w:r w:rsidR="00C2525B">
        <w:rPr>
          <w:rFonts w:eastAsia="맑은 고딕" w:hint="eastAsia"/>
          <w:color w:val="1C1C1C"/>
          <w:lang w:eastAsia="ko-KR"/>
        </w:rPr>
        <w:t xml:space="preserve"> 14</w:t>
      </w:r>
      <w:r w:rsidRPr="0028514E">
        <w:rPr>
          <w:color w:val="1C1C1C"/>
        </w:rPr>
        <w:t xml:space="preserve"> </w:t>
      </w:r>
      <w:r w:rsidR="000E459A" w:rsidRPr="004C41FF">
        <w:t>helmikuu</w:t>
      </w:r>
      <w:r w:rsidR="000E459A">
        <w:rPr>
          <w:rFonts w:eastAsia="맑은 고딕" w:hint="eastAsia"/>
          <w:lang w:eastAsia="ko-KR"/>
        </w:rPr>
        <w:t xml:space="preserve"> 2025</w:t>
      </w:r>
    </w:p>
    <w:p w14:paraId="4A568854" w14:textId="77777777" w:rsidR="003B7027" w:rsidRPr="0028514E" w:rsidRDefault="003B7027" w:rsidP="006E5F9A">
      <w:pPr>
        <w:pStyle w:val="a4"/>
        <w:ind w:left="0"/>
      </w:pPr>
    </w:p>
    <w:p w14:paraId="74B8E3BE" w14:textId="77777777" w:rsidR="003B7027" w:rsidRPr="0028514E" w:rsidRDefault="003B7027" w:rsidP="006E5F9A">
      <w:pPr>
        <w:pStyle w:val="a4"/>
        <w:ind w:left="0"/>
      </w:pPr>
    </w:p>
    <w:p w14:paraId="7405D912" w14:textId="77777777" w:rsidR="003B7027" w:rsidRPr="0028514E" w:rsidRDefault="00296A74" w:rsidP="00BF3213">
      <w:pPr>
        <w:pStyle w:val="1"/>
      </w:pPr>
      <w:r w:rsidRPr="0028514E">
        <w:t>10.</w:t>
      </w:r>
      <w:r w:rsidRPr="0028514E">
        <w:tab/>
        <w:t>TEKSTIN MUUTTAMISPÄIVÄMÄÄRÄ</w:t>
      </w:r>
    </w:p>
    <w:p w14:paraId="1F657ADB" w14:textId="77777777" w:rsidR="00E84F40" w:rsidRPr="0028514E" w:rsidRDefault="00E84F40" w:rsidP="001C1F69"/>
    <w:p w14:paraId="1326EC04" w14:textId="0B7A3851" w:rsidR="003B7027" w:rsidRDefault="00296A74" w:rsidP="006E5F9A">
      <w:pPr>
        <w:pStyle w:val="a4"/>
        <w:ind w:left="0"/>
      </w:pPr>
      <w:r w:rsidRPr="0028514E">
        <w:t xml:space="preserve">Lisätietoa tästä lääkevalmisteesta on Euroopan lääkeviraston verkkosivulla </w:t>
      </w:r>
      <w:r w:rsidR="00084035">
        <w:fldChar w:fldCharType="begin"/>
      </w:r>
      <w:r w:rsidR="00084035">
        <w:instrText>HYPERLINK "https://www.ema.europa.eu."</w:instrText>
      </w:r>
      <w:r w:rsidR="00084035">
        <w:fldChar w:fldCharType="separate"/>
      </w:r>
      <w:r w:rsidR="00084035" w:rsidRPr="004A4AD4">
        <w:rPr>
          <w:rStyle w:val="ad"/>
        </w:rPr>
        <w:t>http</w:t>
      </w:r>
      <w:r w:rsidR="00084035" w:rsidRPr="004A4AD4">
        <w:rPr>
          <w:rStyle w:val="ad"/>
          <w:rFonts w:eastAsia="맑은 고딕" w:hint="eastAsia"/>
          <w:lang w:eastAsia="ko-KR"/>
        </w:rPr>
        <w:t>s</w:t>
      </w:r>
      <w:r w:rsidR="00084035" w:rsidRPr="004A4AD4">
        <w:rPr>
          <w:rStyle w:val="ad"/>
        </w:rPr>
        <w:t>://www.ema.europa.eu.</w:t>
      </w:r>
      <w:r w:rsidR="00084035">
        <w:fldChar w:fldCharType="end"/>
      </w:r>
    </w:p>
    <w:p w14:paraId="573921BB" w14:textId="77777777" w:rsidR="001B58C3" w:rsidRDefault="001B58C3" w:rsidP="006E5F9A">
      <w:pPr>
        <w:pStyle w:val="a4"/>
        <w:ind w:left="0"/>
      </w:pPr>
    </w:p>
    <w:p w14:paraId="7EF4B6D1" w14:textId="77777777" w:rsidR="00EC0612" w:rsidRPr="00CA43F5" w:rsidRDefault="00EC0612" w:rsidP="00EC0612">
      <w:pPr>
        <w:widowControl w:val="0"/>
        <w:autoSpaceDE w:val="0"/>
        <w:autoSpaceDN w:val="0"/>
        <w:rPr>
          <w:lang w:val="fi-FI"/>
        </w:rPr>
      </w:pPr>
    </w:p>
    <w:p w14:paraId="4689FC21" w14:textId="43BA8095" w:rsidR="00BF50DC" w:rsidRPr="00AF361E" w:rsidRDefault="00E84F40" w:rsidP="00BF50DC">
      <w:pPr>
        <w:tabs>
          <w:tab w:val="left" w:pos="284"/>
        </w:tabs>
        <w:rPr>
          <w:lang w:val="fi-FI"/>
        </w:rPr>
      </w:pPr>
      <w:r w:rsidRPr="00CA43F5">
        <w:rPr>
          <w:lang w:val="fi-FI"/>
        </w:rPr>
        <w:br w:type="page"/>
      </w:r>
      <w:r w:rsidR="0086716C">
        <w:rPr>
          <w:noProof/>
          <w:lang w:val="en-US" w:eastAsia="ko-KR"/>
        </w:rPr>
        <w:lastRenderedPageBreak/>
        <w:drawing>
          <wp:inline distT="0" distB="0" distL="0" distR="0" wp14:anchorId="1BFFFC97" wp14:editId="0837AB7B">
            <wp:extent cx="223520" cy="138430"/>
            <wp:effectExtent l="0" t="0" r="0" b="0"/>
            <wp:docPr id="3" name="그림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 cy="138430"/>
                    </a:xfrm>
                    <a:prstGeom prst="rect">
                      <a:avLst/>
                    </a:prstGeom>
                    <a:noFill/>
                    <a:ln>
                      <a:noFill/>
                    </a:ln>
                  </pic:spPr>
                </pic:pic>
              </a:graphicData>
            </a:graphic>
          </wp:inline>
        </w:drawing>
      </w:r>
      <w:r w:rsidR="00BF50DC" w:rsidRPr="00AF361E">
        <w:rPr>
          <w:lang w:val="fi-FI"/>
        </w:rPr>
        <w:t>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w:t>
      </w:r>
    </w:p>
    <w:p w14:paraId="4ED9F09B" w14:textId="369A5E92" w:rsidR="00BF50DC" w:rsidRPr="00CA43F5" w:rsidRDefault="00BF50DC" w:rsidP="00EC0612">
      <w:pPr>
        <w:widowControl w:val="0"/>
        <w:autoSpaceDE w:val="0"/>
        <w:autoSpaceDN w:val="0"/>
        <w:rPr>
          <w:lang w:val="fi-FI"/>
        </w:rPr>
      </w:pPr>
    </w:p>
    <w:p w14:paraId="571E2C77" w14:textId="77777777" w:rsidR="00BF50DC" w:rsidRPr="00CA43F5" w:rsidRDefault="00BF50DC" w:rsidP="00EC0612">
      <w:pPr>
        <w:widowControl w:val="0"/>
        <w:autoSpaceDE w:val="0"/>
        <w:autoSpaceDN w:val="0"/>
        <w:rPr>
          <w:lang w:val="fi-FI"/>
        </w:rPr>
      </w:pPr>
    </w:p>
    <w:p w14:paraId="611A0B5D" w14:textId="7428733D" w:rsidR="003B7027" w:rsidRPr="00CA43F5" w:rsidRDefault="00296A74" w:rsidP="00EC0612">
      <w:pPr>
        <w:widowControl w:val="0"/>
        <w:autoSpaceDE w:val="0"/>
        <w:autoSpaceDN w:val="0"/>
        <w:rPr>
          <w:b/>
          <w:bCs/>
          <w:lang w:val="fi-FI"/>
        </w:rPr>
      </w:pPr>
      <w:r w:rsidRPr="00CA43F5">
        <w:rPr>
          <w:b/>
          <w:bCs/>
          <w:lang w:val="fi-FI"/>
        </w:rPr>
        <w:t>1.</w:t>
      </w:r>
      <w:r w:rsidRPr="00CA43F5">
        <w:rPr>
          <w:b/>
          <w:bCs/>
          <w:lang w:val="fi-FI"/>
        </w:rPr>
        <w:tab/>
        <w:t>LÄÄKEVALMISTEEN NIMI</w:t>
      </w:r>
    </w:p>
    <w:p w14:paraId="3F32D224" w14:textId="77777777" w:rsidR="00C27CD4" w:rsidRPr="009A3CB5" w:rsidRDefault="00C27CD4" w:rsidP="001C1F69">
      <w:pPr>
        <w:rPr>
          <w:lang w:val="fi-FI"/>
        </w:rPr>
      </w:pPr>
    </w:p>
    <w:p w14:paraId="1BB48360" w14:textId="798DEF59" w:rsidR="003B7027" w:rsidRPr="0028514E" w:rsidRDefault="00BF50DC" w:rsidP="006E5F9A">
      <w:pPr>
        <w:pStyle w:val="a4"/>
        <w:ind w:left="0"/>
      </w:pPr>
      <w:r>
        <w:t>Avtozma</w:t>
      </w:r>
      <w:r w:rsidRPr="0028514E">
        <w:t xml:space="preserve"> </w:t>
      </w:r>
      <w:r w:rsidR="00296A74" w:rsidRPr="0028514E">
        <w:t>162 mg, injektioneste, liuos esitäytet</w:t>
      </w:r>
      <w:r w:rsidR="00477839">
        <w:t>ty</w:t>
      </w:r>
      <w:r w:rsidR="00296A74" w:rsidRPr="0028514E">
        <w:t xml:space="preserve"> kynä</w:t>
      </w:r>
    </w:p>
    <w:p w14:paraId="7720BA9C" w14:textId="3B2A51CF" w:rsidR="003B7027" w:rsidRPr="0028514E" w:rsidRDefault="003B7027" w:rsidP="006E5F9A">
      <w:pPr>
        <w:pStyle w:val="a4"/>
        <w:ind w:left="0"/>
      </w:pPr>
    </w:p>
    <w:p w14:paraId="3DA3F07A" w14:textId="77777777" w:rsidR="003B7027" w:rsidRPr="0028514E" w:rsidRDefault="003B7027" w:rsidP="006E5F9A">
      <w:pPr>
        <w:pStyle w:val="a4"/>
        <w:ind w:left="0"/>
      </w:pPr>
    </w:p>
    <w:p w14:paraId="554D5142" w14:textId="77777777" w:rsidR="003B7027" w:rsidRPr="0028514E" w:rsidRDefault="00296A74" w:rsidP="00BF3213">
      <w:pPr>
        <w:pStyle w:val="1"/>
      </w:pPr>
      <w:r w:rsidRPr="0028514E">
        <w:t>2.</w:t>
      </w:r>
      <w:r w:rsidRPr="0028514E">
        <w:tab/>
        <w:t>VAIKUTTAVAT AINEET JA NIIDEN MÄÄRÄT</w:t>
      </w:r>
    </w:p>
    <w:p w14:paraId="1233421F" w14:textId="77777777" w:rsidR="00151249" w:rsidRDefault="00151249" w:rsidP="006E5F9A">
      <w:pPr>
        <w:pStyle w:val="a4"/>
        <w:ind w:left="0"/>
      </w:pPr>
    </w:p>
    <w:p w14:paraId="537C5D60" w14:textId="2AFC1E22" w:rsidR="003B7027" w:rsidRPr="0028514E" w:rsidRDefault="00296A74" w:rsidP="006E5F9A">
      <w:pPr>
        <w:pStyle w:val="a4"/>
        <w:ind w:left="0"/>
      </w:pPr>
      <w:r w:rsidRPr="0028514E">
        <w:t>Jokainen esitäytetty kynä sisältää 162 mg tosilitsumabia 0,9 ml:ssa liuosta.</w:t>
      </w:r>
    </w:p>
    <w:p w14:paraId="65171BF7" w14:textId="77777777" w:rsidR="003B7027" w:rsidRPr="0028514E" w:rsidRDefault="003B7027" w:rsidP="006E5F9A">
      <w:pPr>
        <w:pStyle w:val="a4"/>
        <w:ind w:left="0"/>
      </w:pPr>
    </w:p>
    <w:p w14:paraId="4298C8BE" w14:textId="251CC649" w:rsidR="003B7027" w:rsidRPr="0028514E" w:rsidRDefault="00BF50DC" w:rsidP="006E5F9A">
      <w:pPr>
        <w:pStyle w:val="a4"/>
        <w:ind w:left="0"/>
      </w:pPr>
      <w:r>
        <w:t>Tosilitsumabi</w:t>
      </w:r>
      <w:r w:rsidRPr="0028514E">
        <w:t xml:space="preserve"> </w:t>
      </w:r>
      <w:r w:rsidR="00296A74" w:rsidRPr="0028514E">
        <w:t>on rekombinantti, humanisoitu monoklonaalinen immunoglobuliinin G1 (IgG1) vasta- aine, jonka vaikutus kohdistuu liukoisiin ja solukalvoon sitoutuneisiin interleukiini 6 (IL-6)</w:t>
      </w:r>
      <w:r w:rsidR="00C27CD4" w:rsidRPr="0028514E">
        <w:t xml:space="preserve"> </w:t>
      </w:r>
      <w:r w:rsidR="00296A74" w:rsidRPr="0028514E">
        <w:t>-reseptoreihin.</w:t>
      </w:r>
    </w:p>
    <w:p w14:paraId="7A59FE15" w14:textId="77777777" w:rsidR="003B7027" w:rsidRDefault="003B7027" w:rsidP="006E5F9A">
      <w:pPr>
        <w:pStyle w:val="a4"/>
        <w:ind w:left="0"/>
      </w:pPr>
    </w:p>
    <w:p w14:paraId="1C454947" w14:textId="77777777" w:rsidR="00105270" w:rsidRPr="009D7042" w:rsidRDefault="00105270" w:rsidP="00105270">
      <w:pPr>
        <w:pStyle w:val="a4"/>
        <w:ind w:left="0"/>
        <w:rPr>
          <w:u w:val="single"/>
        </w:rPr>
      </w:pPr>
      <w:r w:rsidRPr="009D7042">
        <w:rPr>
          <w:u w:val="single"/>
        </w:rPr>
        <w:t>Apuaineet, joiden vaikutu</w:t>
      </w:r>
      <w:r>
        <w:rPr>
          <w:u w:val="single"/>
        </w:rPr>
        <w:t>s</w:t>
      </w:r>
      <w:r w:rsidRPr="009D7042">
        <w:rPr>
          <w:u w:val="single"/>
        </w:rPr>
        <w:t xml:space="preserve"> tunnetaan:</w:t>
      </w:r>
    </w:p>
    <w:p w14:paraId="2918E736" w14:textId="77777777" w:rsidR="00105270" w:rsidRPr="009D7042" w:rsidRDefault="00105270" w:rsidP="00105270">
      <w:pPr>
        <w:pStyle w:val="a4"/>
        <w:ind w:left="0"/>
        <w:rPr>
          <w:i/>
          <w:iCs/>
        </w:rPr>
      </w:pPr>
      <w:r w:rsidRPr="009D7042">
        <w:rPr>
          <w:i/>
          <w:iCs/>
        </w:rPr>
        <w:t>Polysorbaatti</w:t>
      </w:r>
    </w:p>
    <w:p w14:paraId="3B6AC1DB" w14:textId="42A4BD29" w:rsidR="00105270" w:rsidRDefault="00105270" w:rsidP="00105270">
      <w:pPr>
        <w:pStyle w:val="a4"/>
        <w:ind w:left="0"/>
      </w:pPr>
      <w:r>
        <w:t>Yksi 162 mg:n esitäytetty kynä sisältää 0,2 mg polysorbaatti</w:t>
      </w:r>
      <w:r w:rsidR="00A5656C">
        <w:rPr>
          <w:rFonts w:eastAsia="맑은 고딕" w:hint="eastAsia"/>
          <w:lang w:eastAsia="ko-KR"/>
        </w:rPr>
        <w:t xml:space="preserve"> 80</w:t>
      </w:r>
      <w:r w:rsidR="0042468E">
        <w:rPr>
          <w:rFonts w:eastAsia="맑은 고딕"/>
          <w:lang w:eastAsia="ko-KR"/>
        </w:rPr>
        <w:t>:tä</w:t>
      </w:r>
      <w:r>
        <w:t>.</w:t>
      </w:r>
    </w:p>
    <w:p w14:paraId="52EFDD87" w14:textId="77777777" w:rsidR="00105270" w:rsidRPr="0028514E" w:rsidRDefault="00105270" w:rsidP="006E5F9A">
      <w:pPr>
        <w:pStyle w:val="a4"/>
        <w:ind w:left="0"/>
      </w:pPr>
    </w:p>
    <w:p w14:paraId="69755C65" w14:textId="77777777" w:rsidR="003B7027" w:rsidRPr="0028514E" w:rsidRDefault="00296A74" w:rsidP="006E5F9A">
      <w:pPr>
        <w:pStyle w:val="a4"/>
        <w:ind w:left="0"/>
      </w:pPr>
      <w:r w:rsidRPr="0028514E">
        <w:t>Täydellinen apuaineluettelo, ks. kohta 6.1.</w:t>
      </w:r>
    </w:p>
    <w:p w14:paraId="566676C4" w14:textId="77777777" w:rsidR="003B7027" w:rsidRPr="0028514E" w:rsidRDefault="003B7027" w:rsidP="006E5F9A">
      <w:pPr>
        <w:pStyle w:val="a4"/>
        <w:ind w:left="0"/>
      </w:pPr>
    </w:p>
    <w:p w14:paraId="33E72282" w14:textId="77777777" w:rsidR="003B7027" w:rsidRPr="0028514E" w:rsidRDefault="003B7027" w:rsidP="006E5F9A">
      <w:pPr>
        <w:pStyle w:val="a4"/>
        <w:ind w:left="0"/>
      </w:pPr>
    </w:p>
    <w:p w14:paraId="45239EE2" w14:textId="77777777" w:rsidR="003B7027" w:rsidRPr="0028514E" w:rsidRDefault="00296A74" w:rsidP="00BF3213">
      <w:pPr>
        <w:pStyle w:val="1"/>
      </w:pPr>
      <w:r w:rsidRPr="0028514E">
        <w:t>3.</w:t>
      </w:r>
      <w:r w:rsidRPr="0028514E">
        <w:tab/>
        <w:t>LÄÄKEMUOTO</w:t>
      </w:r>
    </w:p>
    <w:p w14:paraId="02930CC9" w14:textId="77777777" w:rsidR="00C27CD4" w:rsidRPr="0028514E" w:rsidRDefault="00C27CD4" w:rsidP="006E5F9A">
      <w:pPr>
        <w:pStyle w:val="a4"/>
        <w:ind w:left="0"/>
      </w:pPr>
    </w:p>
    <w:p w14:paraId="58D071E0" w14:textId="0E537484" w:rsidR="003B7027" w:rsidRPr="0028514E" w:rsidRDefault="00BF50DC" w:rsidP="006E5F9A">
      <w:pPr>
        <w:pStyle w:val="a4"/>
        <w:ind w:left="0"/>
      </w:pPr>
      <w:r w:rsidRPr="0028514E">
        <w:t>Injektioneste, liuos, esitäytetty kynä</w:t>
      </w:r>
      <w:r>
        <w:t xml:space="preserve">. </w:t>
      </w:r>
      <w:r w:rsidRPr="00A327CF">
        <w:t xml:space="preserve">Kirkas tai </w:t>
      </w:r>
      <w:r>
        <w:t xml:space="preserve">hieman </w:t>
      </w:r>
      <w:r w:rsidRPr="00A327CF">
        <w:t>opalisoiva, väritön tai keltainen liuos</w:t>
      </w:r>
      <w:r>
        <w:t>, jonka pH on 5,7–6,3 ja osmolaalisuus 280–340 mmol/kg</w:t>
      </w:r>
      <w:r w:rsidRPr="00A327CF">
        <w:t>.</w:t>
      </w:r>
    </w:p>
    <w:p w14:paraId="4FAD883F" w14:textId="77777777" w:rsidR="003B7027" w:rsidRPr="0028514E" w:rsidRDefault="003B7027" w:rsidP="006E5F9A">
      <w:pPr>
        <w:pStyle w:val="a4"/>
        <w:ind w:left="0"/>
      </w:pPr>
    </w:p>
    <w:p w14:paraId="4F50CBFA" w14:textId="77777777" w:rsidR="008A3DEA" w:rsidRPr="0028514E" w:rsidRDefault="008A3DEA" w:rsidP="006E5F9A">
      <w:pPr>
        <w:pStyle w:val="a4"/>
        <w:ind w:left="0"/>
      </w:pPr>
    </w:p>
    <w:p w14:paraId="69AE0FA8" w14:textId="77777777" w:rsidR="003B7027" w:rsidRPr="0028514E" w:rsidRDefault="00296A74" w:rsidP="00BF3213">
      <w:pPr>
        <w:pStyle w:val="1"/>
      </w:pPr>
      <w:r w:rsidRPr="0028514E">
        <w:t>4.</w:t>
      </w:r>
      <w:r w:rsidRPr="0028514E">
        <w:tab/>
        <w:t>KLIINISET TIEDOT</w:t>
      </w:r>
    </w:p>
    <w:p w14:paraId="559B9811" w14:textId="77777777" w:rsidR="003B7027" w:rsidRPr="0028514E" w:rsidRDefault="003B7027" w:rsidP="006E5F9A">
      <w:pPr>
        <w:pStyle w:val="a4"/>
        <w:ind w:left="0"/>
        <w:rPr>
          <w:b/>
        </w:rPr>
      </w:pPr>
    </w:p>
    <w:p w14:paraId="4D259D91" w14:textId="77777777" w:rsidR="003B7027" w:rsidRPr="0028514E" w:rsidRDefault="00296A74" w:rsidP="006E5F9A">
      <w:pPr>
        <w:pStyle w:val="2"/>
      </w:pPr>
      <w:r w:rsidRPr="0028514E">
        <w:t>4.1</w:t>
      </w:r>
      <w:r w:rsidRPr="0028514E">
        <w:tab/>
        <w:t>Käyttöaiheet</w:t>
      </w:r>
    </w:p>
    <w:p w14:paraId="371A91E7" w14:textId="77777777" w:rsidR="00C27CD4" w:rsidRPr="0028514E" w:rsidRDefault="00C27CD4" w:rsidP="006E5F9A">
      <w:pPr>
        <w:pStyle w:val="a4"/>
        <w:ind w:left="0"/>
      </w:pPr>
    </w:p>
    <w:p w14:paraId="3C919E17" w14:textId="10DA20EB" w:rsidR="00A94125" w:rsidRPr="00E919A5" w:rsidRDefault="00A94125" w:rsidP="006E5F9A">
      <w:pPr>
        <w:pStyle w:val="a4"/>
        <w:ind w:left="0"/>
        <w:rPr>
          <w:rFonts w:eastAsia="맑은 고딕"/>
          <w:u w:val="single"/>
          <w:lang w:eastAsia="ko-KR"/>
        </w:rPr>
      </w:pPr>
      <w:r w:rsidRPr="00E919A5">
        <w:rPr>
          <w:rFonts w:eastAsia="맑은 고딕"/>
          <w:u w:val="single"/>
          <w:lang w:eastAsia="ko-KR"/>
        </w:rPr>
        <w:t>Nivelreuma</w:t>
      </w:r>
    </w:p>
    <w:p w14:paraId="115C16AC" w14:textId="6C6011A3" w:rsidR="003B7027" w:rsidRPr="0028514E" w:rsidRDefault="00BF50DC" w:rsidP="006E5F9A">
      <w:pPr>
        <w:pStyle w:val="a4"/>
        <w:ind w:left="0"/>
      </w:pPr>
      <w:r>
        <w:t>Avtozma</w:t>
      </w:r>
      <w:r w:rsidRPr="0028514E">
        <w:t xml:space="preserve"> </w:t>
      </w:r>
      <w:r w:rsidR="00296A74" w:rsidRPr="0028514E">
        <w:t>on tarkoitettu yhdessä metotreksaatin (MTX) kanssa:</w:t>
      </w:r>
    </w:p>
    <w:p w14:paraId="14DE9077" w14:textId="77777777" w:rsidR="00C27CD4" w:rsidRPr="0028514E" w:rsidRDefault="00C27CD4" w:rsidP="006E5F9A">
      <w:pPr>
        <w:tabs>
          <w:tab w:val="left" w:pos="1890"/>
        </w:tabs>
        <w:rPr>
          <w:rFonts w:ascii="Symbol" w:eastAsia="Symbol" w:hAnsi="Symbol" w:cs="Symbol"/>
          <w:lang w:val="fi-FI" w:eastAsia="en-US"/>
        </w:rPr>
      </w:pPr>
    </w:p>
    <w:p w14:paraId="3958DFC0" w14:textId="77777777" w:rsidR="003B7027" w:rsidRPr="003A6943" w:rsidRDefault="00296A74" w:rsidP="003A6943">
      <w:pPr>
        <w:pStyle w:val="a"/>
      </w:pPr>
      <w:r w:rsidRPr="003A6943">
        <w:t>vaikean, aktiivisen ja etenevän nivelreuman hoitoon aikuisille, joita ei aiemmin ole hoidettu MTX:lla</w:t>
      </w:r>
    </w:p>
    <w:p w14:paraId="218C9D45" w14:textId="77777777" w:rsidR="003B7027" w:rsidRPr="003A6943" w:rsidRDefault="00296A74" w:rsidP="003A6943">
      <w:pPr>
        <w:pStyle w:val="a"/>
      </w:pPr>
      <w:r w:rsidRPr="003A6943">
        <w:t>aikuispotilaiden kohtalaisen tai vaikean aktiivisen nivelreuman hoitoon, kun aikaisempi hoito yhdellä tai useammalla tautiprosessia hidastavalla reumalääkkeellä (disease modifying anti-rheumatic drugs, DMARD) tai tuumorinekroositekijän (TNF) estäjällä ei ole tuottanut riittävää hoitovastetta tai potilas ei siedä niitä.</w:t>
      </w:r>
    </w:p>
    <w:p w14:paraId="2A7A35B6" w14:textId="77777777" w:rsidR="00C27CD4" w:rsidRPr="003A6943" w:rsidRDefault="00C27CD4" w:rsidP="006E5F9A">
      <w:pPr>
        <w:pStyle w:val="a4"/>
        <w:ind w:left="0"/>
      </w:pPr>
    </w:p>
    <w:p w14:paraId="2D6B5232" w14:textId="30619B9E" w:rsidR="003B7027" w:rsidRPr="003A6943" w:rsidRDefault="00BF50DC" w:rsidP="006E5F9A">
      <w:pPr>
        <w:pStyle w:val="a4"/>
        <w:ind w:left="0"/>
      </w:pPr>
      <w:r>
        <w:t xml:space="preserve">Avtozmaa </w:t>
      </w:r>
      <w:r w:rsidR="00296A74" w:rsidRPr="003A6943">
        <w:t>voidaan antaa monoterapiana näille potilaille, jos he eivät siedä MTX:a tai, jos jatkuva MTX-hoito ei sovi heille.</w:t>
      </w:r>
    </w:p>
    <w:p w14:paraId="093D2228" w14:textId="77777777" w:rsidR="003B7027" w:rsidRPr="003A6943" w:rsidRDefault="003B7027" w:rsidP="006E5F9A">
      <w:pPr>
        <w:pStyle w:val="a4"/>
        <w:ind w:left="0"/>
      </w:pPr>
    </w:p>
    <w:p w14:paraId="095411C8" w14:textId="2B9BD3F4" w:rsidR="003B7027" w:rsidRPr="003A6943" w:rsidRDefault="00BF50DC" w:rsidP="006E5F9A">
      <w:pPr>
        <w:pStyle w:val="a4"/>
        <w:ind w:left="0"/>
      </w:pPr>
      <w:r>
        <w:t>Avtozman</w:t>
      </w:r>
      <w:r w:rsidRPr="003A6943" w:rsidDel="00BF50DC">
        <w:t xml:space="preserve"> </w:t>
      </w:r>
      <w:r w:rsidR="00296A74" w:rsidRPr="003A6943">
        <w:t>on röntgentutkimuksissa havaittu vähentävän nivelvaurioiden etenemistä ja parantavan fyysistä toimintakykyä, kun sitä annetaan yhdessä MTX:n kanssa.</w:t>
      </w:r>
    </w:p>
    <w:p w14:paraId="793AD070" w14:textId="77777777" w:rsidR="00C27CD4" w:rsidRPr="003A6943" w:rsidRDefault="00C27CD4" w:rsidP="006E5F9A">
      <w:pPr>
        <w:pStyle w:val="a4"/>
        <w:ind w:left="0"/>
      </w:pPr>
    </w:p>
    <w:p w14:paraId="192F1E83" w14:textId="65DA9168" w:rsidR="00A94125" w:rsidRPr="00E919A5" w:rsidRDefault="00A94125" w:rsidP="006E5F9A">
      <w:pPr>
        <w:pStyle w:val="a4"/>
        <w:ind w:left="0"/>
        <w:rPr>
          <w:rFonts w:eastAsia="맑은 고딕"/>
          <w:u w:val="single"/>
          <w:lang w:eastAsia="ko-KR"/>
        </w:rPr>
      </w:pPr>
      <w:r w:rsidRPr="00E919A5">
        <w:rPr>
          <w:rFonts w:eastAsia="맑은 고딕"/>
          <w:u w:val="single"/>
          <w:lang w:eastAsia="ko-KR"/>
        </w:rPr>
        <w:t>Yleisoireinen lastenreuma</w:t>
      </w:r>
    </w:p>
    <w:p w14:paraId="605B4E06" w14:textId="2D9A72B4" w:rsidR="003B7027" w:rsidRPr="003A6943" w:rsidRDefault="00BF50DC" w:rsidP="006E5F9A">
      <w:pPr>
        <w:pStyle w:val="a4"/>
        <w:ind w:left="0"/>
      </w:pPr>
      <w:r>
        <w:t>Avtozma</w:t>
      </w:r>
      <w:r w:rsidRPr="003A6943" w:rsidDel="00BF50DC">
        <w:t xml:space="preserve"> </w:t>
      </w:r>
      <w:r w:rsidR="00296A74" w:rsidRPr="003A6943">
        <w:t>on tarkoitettu 12-vuotiaiden ja sitä vanhempien lasten aktiivisen yleisoireisen lastenreuman hoitoon, kun aikaisempi hoito tulehduskipulääkkeillä ja systeemisillä kortikosteroideilla ei ole tuottanut riittävää hoitovastetta (ks. kohta 4.2).</w:t>
      </w:r>
    </w:p>
    <w:p w14:paraId="29CD2767" w14:textId="057A2E1B" w:rsidR="003B7027" w:rsidRPr="003A6943" w:rsidRDefault="00BF50DC" w:rsidP="006E5F9A">
      <w:pPr>
        <w:pStyle w:val="a4"/>
        <w:ind w:left="0"/>
      </w:pPr>
      <w:r>
        <w:t>Avtozmaa</w:t>
      </w:r>
      <w:r w:rsidRPr="003A6943" w:rsidDel="00BF50DC">
        <w:t xml:space="preserve"> </w:t>
      </w:r>
      <w:r w:rsidR="00296A74" w:rsidRPr="003A6943">
        <w:t>voidaan antaa monoterapiana (jos potilas ei siedä MTX:a tai MTX-hoito ei sovi hänelle) tai yhdessä MTX:n kanssa.</w:t>
      </w:r>
    </w:p>
    <w:p w14:paraId="3E6D717C" w14:textId="1A1B26E1" w:rsidR="00C27CD4" w:rsidRPr="00E919A5" w:rsidRDefault="00A94125" w:rsidP="006E5F9A">
      <w:pPr>
        <w:pStyle w:val="a4"/>
        <w:ind w:left="0"/>
        <w:rPr>
          <w:u w:val="single"/>
        </w:rPr>
      </w:pPr>
      <w:r w:rsidRPr="00E919A5">
        <w:rPr>
          <w:u w:val="single"/>
        </w:rPr>
        <w:lastRenderedPageBreak/>
        <w:t>Lasten polyartriitti</w:t>
      </w:r>
    </w:p>
    <w:p w14:paraId="07A77E70" w14:textId="41B718BF" w:rsidR="003B7027" w:rsidRPr="003A6943" w:rsidRDefault="00BF50DC" w:rsidP="006E5F9A">
      <w:pPr>
        <w:pStyle w:val="a4"/>
        <w:ind w:left="0"/>
      </w:pPr>
      <w:r>
        <w:t>Avtozma</w:t>
      </w:r>
      <w:r w:rsidRPr="003A6943" w:rsidDel="00BF50DC">
        <w:t xml:space="preserve"> </w:t>
      </w:r>
      <w:r w:rsidR="00296A74" w:rsidRPr="003A6943">
        <w:t xml:space="preserve">on tarkoitettu yhdessä metotreksaatin (MTX) kanssa 12-vuotiaiden ja sitä vanhempien lasten aktiivisen polyartriitin hoitoon (pJIA; reumatekijä positiivinen tai negatiivinen ja laajentunut oligoartriitti), kun aikaisempi hoito MTX:lla ei ole tuottanut riittävää hoitovastetta (ks. kohta 4.2). </w:t>
      </w:r>
      <w:r>
        <w:t>Avtozmaa</w:t>
      </w:r>
      <w:r w:rsidRPr="003A6943" w:rsidDel="00BF50DC">
        <w:t xml:space="preserve"> </w:t>
      </w:r>
      <w:r w:rsidR="00296A74" w:rsidRPr="003A6943">
        <w:t>voidaan antaa monoterapiana, jos potilas ei siedä MTX:a tai jos jatkuva MTX-hoito ei sovi hänelle.</w:t>
      </w:r>
    </w:p>
    <w:p w14:paraId="3FAA40BD" w14:textId="77777777" w:rsidR="00C27CD4" w:rsidRDefault="00C27CD4" w:rsidP="006E5F9A">
      <w:pPr>
        <w:pStyle w:val="a4"/>
        <w:ind w:left="0"/>
        <w:rPr>
          <w:rFonts w:eastAsia="맑은 고딕"/>
          <w:lang w:eastAsia="ko-KR"/>
        </w:rPr>
      </w:pPr>
    </w:p>
    <w:p w14:paraId="39F3EF6E" w14:textId="794A1AB9" w:rsidR="00A94125" w:rsidRPr="00E919A5" w:rsidRDefault="00A94125" w:rsidP="006E5F9A">
      <w:pPr>
        <w:pStyle w:val="a4"/>
        <w:ind w:left="0"/>
        <w:rPr>
          <w:rFonts w:eastAsia="맑은 고딕"/>
          <w:u w:val="single"/>
          <w:lang w:eastAsia="ko-KR"/>
        </w:rPr>
      </w:pPr>
      <w:r w:rsidRPr="00E919A5">
        <w:rPr>
          <w:rFonts w:eastAsia="맑은 고딕"/>
          <w:u w:val="single"/>
          <w:lang w:eastAsia="ko-KR"/>
        </w:rPr>
        <w:t>Jättisoluart</w:t>
      </w:r>
      <w:r w:rsidR="00B9313C">
        <w:rPr>
          <w:rFonts w:eastAsia="맑은 고딕"/>
          <w:u w:val="single"/>
          <w:lang w:eastAsia="ko-KR"/>
        </w:rPr>
        <w:t>e</w:t>
      </w:r>
      <w:r w:rsidRPr="00E919A5">
        <w:rPr>
          <w:rFonts w:eastAsia="맑은 고딕"/>
          <w:u w:val="single"/>
          <w:lang w:eastAsia="ko-KR"/>
        </w:rPr>
        <w:t>riitti</w:t>
      </w:r>
    </w:p>
    <w:p w14:paraId="01827964" w14:textId="283D1EDF" w:rsidR="003B7027" w:rsidRPr="003A6943" w:rsidRDefault="00BF50DC" w:rsidP="006E5F9A">
      <w:pPr>
        <w:pStyle w:val="a4"/>
        <w:ind w:left="0"/>
      </w:pPr>
      <w:r>
        <w:t>Avtozma</w:t>
      </w:r>
      <w:r w:rsidRPr="003A6943" w:rsidDel="00BF50DC">
        <w:t xml:space="preserve"> </w:t>
      </w:r>
      <w:r w:rsidR="00296A74" w:rsidRPr="003A6943">
        <w:t>on tarkoitettu aikuispotilaille jättisoluarteriitin hoitoon.</w:t>
      </w:r>
    </w:p>
    <w:p w14:paraId="0577A5EF" w14:textId="77777777" w:rsidR="003B7027" w:rsidRPr="003A6943" w:rsidRDefault="003B7027" w:rsidP="006E5F9A">
      <w:pPr>
        <w:pStyle w:val="a4"/>
        <w:ind w:left="0"/>
      </w:pPr>
    </w:p>
    <w:p w14:paraId="5A256291" w14:textId="77777777" w:rsidR="003B7027" w:rsidRPr="003A6943" w:rsidRDefault="00296A74" w:rsidP="006E5F9A">
      <w:pPr>
        <w:pStyle w:val="2"/>
        <w:keepNext/>
      </w:pPr>
      <w:r w:rsidRPr="003A6943">
        <w:t>4.2</w:t>
      </w:r>
      <w:r w:rsidRPr="003A6943">
        <w:tab/>
        <w:t>Annostus ja antotapa</w:t>
      </w:r>
    </w:p>
    <w:p w14:paraId="67434878" w14:textId="77777777" w:rsidR="00C27CD4" w:rsidRPr="003A6943" w:rsidRDefault="00C27CD4" w:rsidP="006E5F9A">
      <w:pPr>
        <w:pStyle w:val="a4"/>
        <w:ind w:left="0"/>
      </w:pPr>
    </w:p>
    <w:p w14:paraId="4EAC0E84" w14:textId="6E1AAE33" w:rsidR="003B7027" w:rsidRDefault="00296A74" w:rsidP="006E5F9A">
      <w:pPr>
        <w:pStyle w:val="a4"/>
        <w:ind w:left="0"/>
      </w:pPr>
      <w:r w:rsidRPr="0028514E">
        <w:t>Tosilitsumabin ihon alle annettava lääkemuoto annetaan kertakäyttöisellä esitäytetyllä kynällä. Hoidon saa aloittaa nivelreuman, aktiivisen yleisoireisen lastenreuman, lasten aktiivisen polyartriitin ja/tai jättisoluarteriitin diagnosointiin ja hoitoon perehtynyt lääkäri.</w:t>
      </w:r>
      <w:r w:rsidR="001B235D">
        <w:t xml:space="preserve"> </w:t>
      </w:r>
      <w:r w:rsidRPr="0028514E">
        <w:t>Alle 12-vuotiaiden pediatristen potilaiden ei pidä käyttää esitäytettyä kynää, koska heillä ihonalainen kudoskerros on ohuempi, mistä saattaa aiheutua riski, että injektio injisoidaan lihakseen.</w:t>
      </w:r>
    </w:p>
    <w:p w14:paraId="1E25C18D" w14:textId="77777777" w:rsidR="001B235D" w:rsidRPr="0028514E" w:rsidRDefault="001B235D" w:rsidP="006E5F9A">
      <w:pPr>
        <w:pStyle w:val="a4"/>
        <w:ind w:left="0"/>
      </w:pPr>
    </w:p>
    <w:p w14:paraId="39B5B16D" w14:textId="1099C00F" w:rsidR="003B7027" w:rsidRPr="0028514E" w:rsidRDefault="00296A74" w:rsidP="006E5F9A">
      <w:pPr>
        <w:pStyle w:val="a4"/>
        <w:ind w:left="0"/>
      </w:pPr>
      <w:r w:rsidRPr="0028514E">
        <w:t xml:space="preserve">Ensimmäinen pistos annetaan pätevän terveydenhuollon ammattilaisen valvonnassa. Potilas tai potilaan vanhempi/huoltaja voi pistää </w:t>
      </w:r>
      <w:r w:rsidR="00BF50DC">
        <w:t>Avtozma</w:t>
      </w:r>
      <w:r w:rsidRPr="0028514E">
        <w:t>-pistoksen itse vain silloin, jos lääkäri katsoo sen tarkoituksenmukaiseksi, potilas tai potilaan vanhempi/huoltaja käy seurannassa tarvittavin väliajoin ja potilaalle on opastettu oikea pistostekniikka.</w:t>
      </w:r>
    </w:p>
    <w:p w14:paraId="0A64636A" w14:textId="77777777" w:rsidR="003B7027" w:rsidRPr="0028514E" w:rsidRDefault="003B7027" w:rsidP="006E5F9A">
      <w:pPr>
        <w:pStyle w:val="a4"/>
        <w:ind w:left="0"/>
      </w:pPr>
    </w:p>
    <w:p w14:paraId="4846918E" w14:textId="77777777" w:rsidR="003B7027" w:rsidRPr="0028514E" w:rsidRDefault="00296A74" w:rsidP="006E5F9A">
      <w:pPr>
        <w:pStyle w:val="a4"/>
        <w:ind w:left="0"/>
      </w:pPr>
      <w:r w:rsidRPr="0028514E">
        <w:t>Jos potilas siirtyy ihon alle (s.c.) annettavaan tosilitsumabihoitoon laskimoon (i.v.) annettavasta tosilitsumabihoidosta, ensimmäinen annos ihon alle on annettava pätevän terveydenhuollon ammattilaisen valvonnassa hoito-ohjelman mukaisen seuraavan laskimoon annettavan annoksen antoajankohtana.</w:t>
      </w:r>
    </w:p>
    <w:p w14:paraId="564AC954" w14:textId="77777777" w:rsidR="00C27CD4" w:rsidRPr="0028514E" w:rsidRDefault="00C27CD4" w:rsidP="006E5F9A">
      <w:pPr>
        <w:pStyle w:val="a4"/>
        <w:ind w:left="0"/>
      </w:pPr>
    </w:p>
    <w:p w14:paraId="0E1A8611" w14:textId="7569B7B8" w:rsidR="003B7027" w:rsidRPr="0028514E" w:rsidRDefault="00296A74" w:rsidP="006E5F9A">
      <w:pPr>
        <w:pStyle w:val="a4"/>
        <w:ind w:left="0"/>
      </w:pPr>
      <w:r w:rsidRPr="0028514E">
        <w:t xml:space="preserve">Kaikille </w:t>
      </w:r>
      <w:r w:rsidR="00BF50DC">
        <w:t>Avtozma</w:t>
      </w:r>
      <w:r w:rsidRPr="0028514E">
        <w:t>-hoitoa saaville potilaille tulee antaa potilaskortti.</w:t>
      </w:r>
    </w:p>
    <w:p w14:paraId="2A95F8E4" w14:textId="77777777" w:rsidR="003B7027" w:rsidRPr="0028514E" w:rsidRDefault="003B7027" w:rsidP="006E5F9A">
      <w:pPr>
        <w:pStyle w:val="a4"/>
        <w:ind w:left="0"/>
      </w:pPr>
    </w:p>
    <w:p w14:paraId="567A1DF1" w14:textId="77777777" w:rsidR="003B7027" w:rsidRPr="0028514E" w:rsidRDefault="00296A74" w:rsidP="006E5F9A">
      <w:pPr>
        <w:pStyle w:val="a4"/>
        <w:ind w:left="0"/>
      </w:pPr>
      <w:r w:rsidRPr="0028514E">
        <w:t>Varmista potilaan tai vanhemman/huoltajan soveltuvuus ihon alle annettavana hoitona toteutettavaan kotihoitoon. Potilasta tai vanhempaa/huoltajaa tulee ohjeistaa kertomaan terveydenhuollon ammattilaiselle ennen seuraavan annoksen antamista, jos potilaalle ilmaantuu allergisen reaktion oireita. Potilaan on hakeuduttava välittömästi lääkäriin, jos hänelle ilmaantuu vakavien allergisten reaktioiden oireita (ks. kohta 4.4).</w:t>
      </w:r>
    </w:p>
    <w:p w14:paraId="25DB7B99" w14:textId="77777777" w:rsidR="003B7027" w:rsidRPr="003A6943" w:rsidRDefault="003B7027" w:rsidP="006E5F9A">
      <w:pPr>
        <w:pStyle w:val="a4"/>
        <w:ind w:left="0"/>
      </w:pPr>
    </w:p>
    <w:p w14:paraId="70215646" w14:textId="77777777" w:rsidR="003B7027" w:rsidRPr="003A6943" w:rsidRDefault="00296A74" w:rsidP="006E5F9A">
      <w:pPr>
        <w:pStyle w:val="a4"/>
        <w:ind w:left="0"/>
      </w:pPr>
      <w:r w:rsidRPr="003A6943">
        <w:rPr>
          <w:u w:val="single"/>
        </w:rPr>
        <w:t>Annostus</w:t>
      </w:r>
    </w:p>
    <w:p w14:paraId="49F7B663" w14:textId="77777777" w:rsidR="003B7027" w:rsidRPr="003A6943" w:rsidRDefault="003B7027" w:rsidP="006E5F9A">
      <w:pPr>
        <w:pStyle w:val="a4"/>
        <w:ind w:left="0"/>
      </w:pPr>
    </w:p>
    <w:p w14:paraId="3F1CD0A7" w14:textId="77777777" w:rsidR="003B7027" w:rsidRPr="003A6943" w:rsidRDefault="00296A74" w:rsidP="006E5F9A">
      <w:pPr>
        <w:pStyle w:val="a4"/>
        <w:ind w:left="0"/>
      </w:pPr>
      <w:r w:rsidRPr="003A6943">
        <w:rPr>
          <w:u w:val="single"/>
        </w:rPr>
        <w:t>Nivelreuma</w:t>
      </w:r>
    </w:p>
    <w:p w14:paraId="4F7D6498" w14:textId="77777777" w:rsidR="003B7027" w:rsidRPr="003A6943" w:rsidRDefault="00296A74" w:rsidP="006E5F9A">
      <w:pPr>
        <w:pStyle w:val="a4"/>
        <w:ind w:left="0"/>
      </w:pPr>
      <w:r w:rsidRPr="003A6943">
        <w:t>Suositeltu annostus on 162 mg ihon alle kerran viikossa.</w:t>
      </w:r>
    </w:p>
    <w:p w14:paraId="1888F177" w14:textId="77777777" w:rsidR="00C27CD4" w:rsidRPr="003A6943" w:rsidRDefault="00C27CD4" w:rsidP="006E5F9A">
      <w:pPr>
        <w:pStyle w:val="a4"/>
        <w:ind w:left="0"/>
      </w:pPr>
    </w:p>
    <w:p w14:paraId="58A41854" w14:textId="40587B1C" w:rsidR="003B7027" w:rsidRPr="003A6943" w:rsidRDefault="00296A74" w:rsidP="006E5F9A">
      <w:pPr>
        <w:pStyle w:val="a4"/>
        <w:ind w:left="0"/>
      </w:pPr>
      <w:r w:rsidRPr="003A6943">
        <w:t xml:space="preserve">Potilaan hoidon vaihtamisesta </w:t>
      </w:r>
      <w:r w:rsidR="00BF50DC">
        <w:t>Avtozman</w:t>
      </w:r>
      <w:r w:rsidR="00BF50DC" w:rsidRPr="003A6943" w:rsidDel="00BF50DC">
        <w:t xml:space="preserve"> </w:t>
      </w:r>
      <w:r w:rsidRPr="003A6943">
        <w:t xml:space="preserve">laskimoon annettavasta lääkemuodosta </w:t>
      </w:r>
      <w:r w:rsidR="00BF50DC">
        <w:t>Avtozman</w:t>
      </w:r>
      <w:r w:rsidR="00BF50DC" w:rsidRPr="003A6943" w:rsidDel="00BF50DC">
        <w:t xml:space="preserve"> </w:t>
      </w:r>
      <w:r w:rsidRPr="003A6943">
        <w:t>vakioannoksena ihon alle annettavaan lääkemuotoon on vähän tietoa. Antoväliä kerran viikossa pitää noudattaa.</w:t>
      </w:r>
    </w:p>
    <w:p w14:paraId="2A462DE7" w14:textId="77777777" w:rsidR="003B7027" w:rsidRPr="003A6943" w:rsidRDefault="003B7027" w:rsidP="006E5F9A">
      <w:pPr>
        <w:pStyle w:val="a4"/>
        <w:ind w:left="0"/>
      </w:pPr>
    </w:p>
    <w:p w14:paraId="615BB329" w14:textId="77777777" w:rsidR="003B7027" w:rsidRPr="003A6943" w:rsidRDefault="00296A74" w:rsidP="006E5F9A">
      <w:pPr>
        <w:pStyle w:val="a4"/>
        <w:ind w:left="0"/>
      </w:pPr>
      <w:r w:rsidRPr="003A6943">
        <w:t>Laskimoon annettavasta lääkemuodosta ihon alle annettavan lääkemuodon käyttöön siirtyvien potilaiden ensimmäinen annos ihon alle on annettava hoitoon perehtyneen terveydenhuollon ammattilaisen valvonnassa hoito-ohjelman mukaisesti seuraavana antoajankohtana.</w:t>
      </w:r>
    </w:p>
    <w:p w14:paraId="15F5073C" w14:textId="77777777" w:rsidR="003B7027" w:rsidRPr="003A6943" w:rsidRDefault="003B7027" w:rsidP="006E5F9A">
      <w:pPr>
        <w:pStyle w:val="a4"/>
        <w:ind w:left="0"/>
      </w:pPr>
    </w:p>
    <w:p w14:paraId="74234C61" w14:textId="77777777" w:rsidR="003B7027" w:rsidRPr="003A6943" w:rsidRDefault="00296A74" w:rsidP="006E5F9A">
      <w:pPr>
        <w:pStyle w:val="a4"/>
        <w:ind w:left="0"/>
      </w:pPr>
      <w:r w:rsidRPr="003A6943">
        <w:rPr>
          <w:u w:val="single"/>
        </w:rPr>
        <w:t>Jättisoluarteriitti</w:t>
      </w:r>
    </w:p>
    <w:p w14:paraId="1736E448" w14:textId="77777777" w:rsidR="000577C7" w:rsidRDefault="00296A74" w:rsidP="006E5F9A">
      <w:pPr>
        <w:pStyle w:val="a4"/>
        <w:ind w:left="0"/>
      </w:pPr>
      <w:r w:rsidRPr="003A6943">
        <w:t xml:space="preserve">Suositeltu annostus on 162 mg ihon alle kerran viikossa yhdistelmänä asteittain vähennettävän glukortikoidihoidon kanssa. </w:t>
      </w:r>
    </w:p>
    <w:p w14:paraId="09361F4D" w14:textId="13824875" w:rsidR="003B7027" w:rsidRPr="003A6943" w:rsidRDefault="00BF50DC" w:rsidP="006E5F9A">
      <w:pPr>
        <w:pStyle w:val="a4"/>
        <w:ind w:left="0"/>
      </w:pPr>
      <w:r>
        <w:t>Avtozmaa</w:t>
      </w:r>
      <w:r w:rsidRPr="003A6943" w:rsidDel="00BF50DC">
        <w:t xml:space="preserve"> </w:t>
      </w:r>
      <w:r w:rsidR="00296A74" w:rsidRPr="003A6943">
        <w:t>voidaan käyttää yksinään glukokortikoidihoidon lopettamisen jälkeen.</w:t>
      </w:r>
      <w:r w:rsidR="00C27CD4" w:rsidRPr="003A6943">
        <w:t xml:space="preserve"> </w:t>
      </w:r>
      <w:r>
        <w:t>Avtozma</w:t>
      </w:r>
      <w:r w:rsidR="00296A74" w:rsidRPr="003A6943">
        <w:t>-monoterapiaa ei saa käyttää akuuttien relapsien hoitoon (ks. kohta 4.4).</w:t>
      </w:r>
    </w:p>
    <w:p w14:paraId="7C5B7C66" w14:textId="77777777" w:rsidR="00C27CD4" w:rsidRPr="003A6943" w:rsidRDefault="00C27CD4" w:rsidP="006E5F9A">
      <w:pPr>
        <w:pStyle w:val="a4"/>
        <w:ind w:left="0"/>
      </w:pPr>
    </w:p>
    <w:p w14:paraId="5CC0546E" w14:textId="77777777" w:rsidR="003B7027" w:rsidRPr="003A6943" w:rsidRDefault="00296A74" w:rsidP="006E5F9A">
      <w:pPr>
        <w:pStyle w:val="a4"/>
        <w:ind w:left="0"/>
      </w:pPr>
      <w:r w:rsidRPr="003A6943">
        <w:t>Jättisoluarteriitti on luonteeltaan krooninen sairaus. Hoidon jatkamisen 52 viikkoa pidempään pitää perustua sairauden aktiivisuuteen, lääkärin harkintaan ja potilaan valintaan.</w:t>
      </w:r>
    </w:p>
    <w:p w14:paraId="5973F812" w14:textId="77777777" w:rsidR="004822B0" w:rsidRPr="003A6943" w:rsidRDefault="004822B0" w:rsidP="006E5F9A">
      <w:pPr>
        <w:pStyle w:val="a4"/>
        <w:ind w:left="0"/>
      </w:pPr>
    </w:p>
    <w:p w14:paraId="5100AAE5" w14:textId="77777777" w:rsidR="003B7027" w:rsidRPr="003A6943" w:rsidRDefault="00296A74" w:rsidP="006E5F9A">
      <w:pPr>
        <w:pStyle w:val="a4"/>
        <w:ind w:left="0"/>
        <w:rPr>
          <w:u w:val="single"/>
        </w:rPr>
      </w:pPr>
      <w:r w:rsidRPr="003A6943">
        <w:rPr>
          <w:u w:val="single"/>
        </w:rPr>
        <w:t>Nivelreuma ja jättisoluarteriitti</w:t>
      </w:r>
    </w:p>
    <w:p w14:paraId="21A903A9" w14:textId="77777777" w:rsidR="003B7027" w:rsidRPr="003A6943" w:rsidRDefault="00296A74" w:rsidP="006E5F9A">
      <w:pPr>
        <w:pStyle w:val="a4"/>
        <w:ind w:left="0"/>
      </w:pPr>
      <w:r w:rsidRPr="003A6943">
        <w:rPr>
          <w:u w:val="single"/>
        </w:rPr>
        <w:t>Annoksen muuttaminen poikkeavien laboratorioarvojen takia (ks. kohta 4.4).</w:t>
      </w:r>
    </w:p>
    <w:p w14:paraId="6BFE3685" w14:textId="77777777" w:rsidR="003B7027" w:rsidRPr="003A6943" w:rsidRDefault="003B7027" w:rsidP="006E5F9A">
      <w:pPr>
        <w:pStyle w:val="a4"/>
        <w:ind w:left="0"/>
      </w:pPr>
    </w:p>
    <w:p w14:paraId="127E7B23" w14:textId="77777777" w:rsidR="003B7027" w:rsidRPr="003A6943" w:rsidRDefault="00296A74" w:rsidP="003A6943">
      <w:pPr>
        <w:pStyle w:val="a"/>
      </w:pPr>
      <w:r w:rsidRPr="003A6943">
        <w:t>Poikkeavat maksaentsyymit</w:t>
      </w:r>
    </w:p>
    <w:p w14:paraId="1946BA12" w14:textId="77777777" w:rsidR="003B7027" w:rsidRPr="003A6943" w:rsidRDefault="003B7027" w:rsidP="006E5F9A">
      <w:pPr>
        <w:pStyle w:val="a4"/>
        <w:ind w:left="0"/>
        <w:rPr>
          <w:sz w:val="20"/>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47"/>
        <w:gridCol w:w="6899"/>
      </w:tblGrid>
      <w:tr w:rsidR="003B7027" w:rsidRPr="00777B93" w14:paraId="70D7ACDF" w14:textId="77777777" w:rsidTr="006E4E50">
        <w:trPr>
          <w:trHeight w:val="20"/>
          <w:tblHeader/>
        </w:trPr>
        <w:tc>
          <w:tcPr>
            <w:tcW w:w="1992" w:type="dxa"/>
          </w:tcPr>
          <w:p w14:paraId="495CFB89" w14:textId="77777777" w:rsidR="003B7027" w:rsidRPr="0028514E" w:rsidRDefault="00296A74" w:rsidP="00D57B3C">
            <w:pPr>
              <w:pStyle w:val="TableParagraph"/>
              <w:keepNext/>
              <w:keepLines/>
              <w:jc w:val="center"/>
            </w:pPr>
            <w:r w:rsidRPr="0028514E">
              <w:t>Laboratorioarvo</w:t>
            </w:r>
          </w:p>
        </w:tc>
        <w:tc>
          <w:tcPr>
            <w:tcW w:w="7075" w:type="dxa"/>
          </w:tcPr>
          <w:p w14:paraId="0F2A9D0D" w14:textId="77777777" w:rsidR="003B7027" w:rsidRPr="0028514E" w:rsidRDefault="00296A74" w:rsidP="00D57B3C">
            <w:pPr>
              <w:pStyle w:val="TableParagraph"/>
              <w:keepNext/>
              <w:keepLines/>
              <w:jc w:val="center"/>
            </w:pPr>
            <w:r w:rsidRPr="0028514E">
              <w:t>Toimenpide</w:t>
            </w:r>
          </w:p>
        </w:tc>
      </w:tr>
      <w:tr w:rsidR="003B7027" w:rsidRPr="00BB5A61" w14:paraId="0EFBE5A5" w14:textId="77777777" w:rsidTr="006E4E50">
        <w:trPr>
          <w:trHeight w:val="20"/>
        </w:trPr>
        <w:tc>
          <w:tcPr>
            <w:tcW w:w="1992" w:type="dxa"/>
          </w:tcPr>
          <w:p w14:paraId="1D0FED36" w14:textId="77777777" w:rsidR="003B7027" w:rsidRPr="0028514E" w:rsidRDefault="00296A74" w:rsidP="006E5F9A">
            <w:pPr>
              <w:pStyle w:val="TableParagraph"/>
            </w:pPr>
            <w:r w:rsidRPr="0028514E">
              <w:t>&gt; 1–3 x viitevälin yläraja (ULN)</w:t>
            </w:r>
            <w:r w:rsidR="00C27CD4" w:rsidRPr="0028514E">
              <w:t xml:space="preserve"> </w:t>
            </w:r>
            <w:r w:rsidRPr="0028514E">
              <w:t>(Upper Limit of Normal = viitevälin yläraja)</w:t>
            </w:r>
          </w:p>
        </w:tc>
        <w:tc>
          <w:tcPr>
            <w:tcW w:w="7075" w:type="dxa"/>
          </w:tcPr>
          <w:p w14:paraId="070BF063" w14:textId="77777777" w:rsidR="003B7027" w:rsidRPr="0028514E" w:rsidRDefault="00296A74" w:rsidP="006E5F9A">
            <w:pPr>
              <w:pStyle w:val="TableParagraph"/>
            </w:pPr>
            <w:r w:rsidRPr="0028514E">
              <w:t>Muuta samanaikaisesti annettavaa DMARD-annosta (nivelreuma) tai immuunivastetta muuntavan lääkeaineen annosta (jättisoluarteriitti), jos tarkoituksenmukaista.</w:t>
            </w:r>
          </w:p>
          <w:p w14:paraId="7011A92E" w14:textId="77777777" w:rsidR="00C27CD4" w:rsidRPr="0028514E" w:rsidRDefault="00C27CD4" w:rsidP="006E5F9A">
            <w:pPr>
              <w:pStyle w:val="TableParagraph"/>
            </w:pPr>
          </w:p>
          <w:p w14:paraId="709431C9" w14:textId="2B651A38" w:rsidR="003B7027" w:rsidRPr="0028514E" w:rsidRDefault="00296A74" w:rsidP="006E5F9A">
            <w:pPr>
              <w:pStyle w:val="TableParagraph"/>
            </w:pPr>
            <w:r w:rsidRPr="0028514E">
              <w:t xml:space="preserve">Jos arvon nousu on pitkäaikaista, vähennä </w:t>
            </w:r>
            <w:r w:rsidR="00BF50DC">
              <w:t>Avtozma</w:t>
            </w:r>
            <w:r w:rsidRPr="0028514E">
              <w:t xml:space="preserve">-annosta antoväliin kerran kahdessa viikossa tai keskeytä </w:t>
            </w:r>
            <w:r w:rsidR="00BF50DC">
              <w:t>Avtozma</w:t>
            </w:r>
            <w:r w:rsidRPr="0028514E">
              <w:t>-hoito, kunnes ALAT- (alaniiniaminotransferaasi) ja ASAT- (aspartaattiaminotransferaasi) arvot ovat normalisoituneet.</w:t>
            </w:r>
          </w:p>
          <w:p w14:paraId="0046D167" w14:textId="77777777" w:rsidR="00C27CD4" w:rsidRPr="0028514E" w:rsidRDefault="00C27CD4" w:rsidP="006E5F9A">
            <w:pPr>
              <w:pStyle w:val="TableParagraph"/>
            </w:pPr>
          </w:p>
          <w:p w14:paraId="37DC06C1" w14:textId="77777777" w:rsidR="003B7027" w:rsidRPr="0028514E" w:rsidRDefault="00296A74" w:rsidP="006E5F9A">
            <w:pPr>
              <w:pStyle w:val="TableParagraph"/>
            </w:pPr>
            <w:r w:rsidRPr="0028514E">
              <w:t>Aloita hoito uudelleen kerran viikossa tai kerran kahdessa viikossa annettavina injektioina, kliinisen tilan mukaan.</w:t>
            </w:r>
          </w:p>
        </w:tc>
      </w:tr>
      <w:tr w:rsidR="003B7027" w:rsidRPr="00BB5A61" w14:paraId="587E6D64" w14:textId="77777777" w:rsidTr="006E4E50">
        <w:trPr>
          <w:trHeight w:val="20"/>
        </w:trPr>
        <w:tc>
          <w:tcPr>
            <w:tcW w:w="1992" w:type="dxa"/>
          </w:tcPr>
          <w:p w14:paraId="70A5B066" w14:textId="77777777" w:rsidR="003B7027" w:rsidRPr="0028514E" w:rsidRDefault="00296A74" w:rsidP="006E5F9A">
            <w:pPr>
              <w:pStyle w:val="TableParagraph"/>
            </w:pPr>
            <w:r w:rsidRPr="0028514E">
              <w:t>&gt; 3–5 x viitevälin yläraja</w:t>
            </w:r>
          </w:p>
        </w:tc>
        <w:tc>
          <w:tcPr>
            <w:tcW w:w="7075" w:type="dxa"/>
          </w:tcPr>
          <w:p w14:paraId="1F6D2182" w14:textId="60AB961B" w:rsidR="003B7027" w:rsidRPr="0028514E" w:rsidRDefault="00296A74" w:rsidP="006E5F9A">
            <w:pPr>
              <w:pStyle w:val="TableParagraph"/>
            </w:pPr>
            <w:r w:rsidRPr="0028514E">
              <w:t xml:space="preserve">Keskeytä </w:t>
            </w:r>
            <w:r w:rsidR="00BF50DC">
              <w:t>Avtozma</w:t>
            </w:r>
            <w:r w:rsidRPr="0028514E">
              <w:t>-hoito kunnes arvo on &lt; 3 x viitevälin yläraja ja noudata yllä annettuja suosituksia arvolle &gt; 1–3 x viitevälin yläraja.</w:t>
            </w:r>
          </w:p>
          <w:p w14:paraId="38AB33CC" w14:textId="77777777" w:rsidR="00C27CD4" w:rsidRPr="0028514E" w:rsidRDefault="00C27CD4" w:rsidP="006E5F9A">
            <w:pPr>
              <w:pStyle w:val="TableParagraph"/>
            </w:pPr>
          </w:p>
          <w:p w14:paraId="1AEEDC19" w14:textId="31AA79C1" w:rsidR="003B7027" w:rsidRPr="0028514E" w:rsidRDefault="00296A74" w:rsidP="006E5F9A">
            <w:pPr>
              <w:pStyle w:val="TableParagraph"/>
            </w:pPr>
            <w:r w:rsidRPr="0028514E">
              <w:t xml:space="preserve">Jos arvot nousevat uudestaan &gt; 3 x viitevälin yläraja (varmistetaan toistetulla mittauksella, ks. kohta 4.4), lopeta </w:t>
            </w:r>
            <w:r w:rsidR="00BF50DC">
              <w:t>Avtozma</w:t>
            </w:r>
            <w:r w:rsidRPr="0028514E">
              <w:t>-hoito.</w:t>
            </w:r>
          </w:p>
        </w:tc>
      </w:tr>
      <w:tr w:rsidR="003B7027" w:rsidRPr="00777B93" w14:paraId="7B67D48A" w14:textId="77777777" w:rsidTr="006E4E50">
        <w:trPr>
          <w:trHeight w:val="20"/>
        </w:trPr>
        <w:tc>
          <w:tcPr>
            <w:tcW w:w="1992" w:type="dxa"/>
          </w:tcPr>
          <w:p w14:paraId="05378C05" w14:textId="77777777" w:rsidR="003B7027" w:rsidRPr="0028514E" w:rsidRDefault="00296A74" w:rsidP="006E5F9A">
            <w:pPr>
              <w:pStyle w:val="TableParagraph"/>
            </w:pPr>
            <w:r w:rsidRPr="0028514E">
              <w:t>&gt; 5 x viitevälin yläraja</w:t>
            </w:r>
          </w:p>
        </w:tc>
        <w:tc>
          <w:tcPr>
            <w:tcW w:w="7075" w:type="dxa"/>
          </w:tcPr>
          <w:p w14:paraId="3F034481" w14:textId="740DA2D3" w:rsidR="003B7027" w:rsidRPr="0028514E" w:rsidRDefault="00296A74" w:rsidP="006E5F9A">
            <w:pPr>
              <w:pStyle w:val="TableParagraph"/>
            </w:pPr>
            <w:r w:rsidRPr="0028514E">
              <w:t xml:space="preserve">Lopeta </w:t>
            </w:r>
            <w:r w:rsidR="00BF50DC">
              <w:t>Avtozma</w:t>
            </w:r>
            <w:r w:rsidRPr="0028514E">
              <w:t>-hoito.</w:t>
            </w:r>
          </w:p>
        </w:tc>
      </w:tr>
    </w:tbl>
    <w:p w14:paraId="59519D81" w14:textId="77777777" w:rsidR="00C27CD4" w:rsidRPr="0028514E" w:rsidRDefault="00C27CD4" w:rsidP="006E5F9A">
      <w:pPr>
        <w:tabs>
          <w:tab w:val="left" w:pos="1604"/>
        </w:tabs>
        <w:rPr>
          <w:rFonts w:ascii="Symbol" w:eastAsia="Symbol" w:hAnsi="Symbol" w:cs="Symbol"/>
          <w:lang w:val="fi-FI" w:eastAsia="en-US"/>
        </w:rPr>
      </w:pPr>
    </w:p>
    <w:p w14:paraId="2B1442F1" w14:textId="77777777" w:rsidR="003B7027" w:rsidRPr="0028514E" w:rsidRDefault="00296A74" w:rsidP="003A6943">
      <w:pPr>
        <w:pStyle w:val="a"/>
      </w:pPr>
      <w:r w:rsidRPr="0028514E">
        <w:t>Matala absoluuttinen neutrofiilien määrä (ANC)</w:t>
      </w:r>
    </w:p>
    <w:p w14:paraId="4358F2AA" w14:textId="77777777" w:rsidR="00C27CD4" w:rsidRPr="0028514E" w:rsidRDefault="00C27CD4" w:rsidP="006E5F9A">
      <w:pPr>
        <w:pStyle w:val="a4"/>
        <w:ind w:left="0"/>
      </w:pPr>
    </w:p>
    <w:p w14:paraId="466238CD" w14:textId="4A2C5DF5" w:rsidR="003B7027" w:rsidRPr="0028514E" w:rsidRDefault="00296A74" w:rsidP="006E5F9A">
      <w:pPr>
        <w:pStyle w:val="a4"/>
        <w:ind w:left="0"/>
      </w:pPr>
      <w:r w:rsidRPr="0028514E">
        <w:t xml:space="preserve">Aiemmin </w:t>
      </w:r>
      <w:r w:rsidR="00BF50DC">
        <w:t>tosilitsumabilla</w:t>
      </w:r>
      <w:r w:rsidR="00BF50DC" w:rsidRPr="0028514E">
        <w:t xml:space="preserve"> </w:t>
      </w:r>
      <w:r w:rsidRPr="0028514E">
        <w:t>hoitamattomille potilaille ei suositella hoidon aloitusta, jos absoluuttinen neutrofiilien määrä (ANC) on &lt; 2 x 10</w:t>
      </w:r>
      <w:r w:rsidRPr="0028514E">
        <w:rPr>
          <w:vertAlign w:val="superscript"/>
        </w:rPr>
        <w:t>9</w:t>
      </w:r>
      <w:r w:rsidRPr="0028514E">
        <w:t>/l.</w:t>
      </w:r>
    </w:p>
    <w:p w14:paraId="4129F088" w14:textId="77777777" w:rsidR="003B7027" w:rsidRPr="0028514E" w:rsidRDefault="003B7027" w:rsidP="006E5F9A">
      <w:pPr>
        <w:pStyle w:val="a4"/>
        <w:ind w:left="0"/>
        <w:rPr>
          <w:sz w:val="20"/>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52"/>
        <w:gridCol w:w="6894"/>
      </w:tblGrid>
      <w:tr w:rsidR="003B7027" w:rsidRPr="00777B93" w14:paraId="4CBB4FFE" w14:textId="77777777" w:rsidTr="006E4E50">
        <w:trPr>
          <w:trHeight w:val="20"/>
        </w:trPr>
        <w:tc>
          <w:tcPr>
            <w:tcW w:w="1997" w:type="dxa"/>
          </w:tcPr>
          <w:p w14:paraId="00FD6601" w14:textId="77777777" w:rsidR="003B7027" w:rsidRPr="0028514E" w:rsidRDefault="00296A74" w:rsidP="006E5F9A">
            <w:pPr>
              <w:pStyle w:val="TableParagraph"/>
              <w:jc w:val="center"/>
            </w:pPr>
            <w:r w:rsidRPr="0028514E">
              <w:t>Laboratorioarvo (solumäärä x 10</w:t>
            </w:r>
            <w:r w:rsidRPr="0028514E">
              <w:rPr>
                <w:vertAlign w:val="superscript"/>
              </w:rPr>
              <w:t>9</w:t>
            </w:r>
            <w:r w:rsidRPr="0028514E">
              <w:t>/l)</w:t>
            </w:r>
          </w:p>
        </w:tc>
        <w:tc>
          <w:tcPr>
            <w:tcW w:w="7070" w:type="dxa"/>
          </w:tcPr>
          <w:p w14:paraId="143EEA9D" w14:textId="77777777" w:rsidR="003B7027" w:rsidRPr="0028514E" w:rsidRDefault="00296A74" w:rsidP="006E5F9A">
            <w:pPr>
              <w:pStyle w:val="TableParagraph"/>
              <w:jc w:val="center"/>
            </w:pPr>
            <w:r w:rsidRPr="0028514E">
              <w:t>Toimenpide</w:t>
            </w:r>
          </w:p>
        </w:tc>
      </w:tr>
      <w:tr w:rsidR="003B7027" w:rsidRPr="00777B93" w14:paraId="19CD452A" w14:textId="77777777" w:rsidTr="006E4E50">
        <w:trPr>
          <w:trHeight w:val="20"/>
        </w:trPr>
        <w:tc>
          <w:tcPr>
            <w:tcW w:w="1997" w:type="dxa"/>
          </w:tcPr>
          <w:p w14:paraId="48F8A923" w14:textId="77777777" w:rsidR="003B7027" w:rsidRPr="0028514E" w:rsidRDefault="00296A74" w:rsidP="006E5F9A">
            <w:pPr>
              <w:pStyle w:val="TableParagraph"/>
            </w:pPr>
            <w:r w:rsidRPr="0028514E">
              <w:t>ANC &gt; 1</w:t>
            </w:r>
          </w:p>
        </w:tc>
        <w:tc>
          <w:tcPr>
            <w:tcW w:w="7070" w:type="dxa"/>
          </w:tcPr>
          <w:p w14:paraId="067D8E6B" w14:textId="77777777" w:rsidR="003B7027" w:rsidRPr="0028514E" w:rsidRDefault="00296A74" w:rsidP="006E5F9A">
            <w:pPr>
              <w:pStyle w:val="TableParagraph"/>
            </w:pPr>
            <w:r w:rsidRPr="0028514E">
              <w:t>Jatka samalla annoksella.</w:t>
            </w:r>
          </w:p>
        </w:tc>
      </w:tr>
      <w:tr w:rsidR="003B7027" w:rsidRPr="00BB5A61" w14:paraId="4260F7C2" w14:textId="77777777" w:rsidTr="006E4E50">
        <w:trPr>
          <w:trHeight w:val="20"/>
        </w:trPr>
        <w:tc>
          <w:tcPr>
            <w:tcW w:w="1997" w:type="dxa"/>
          </w:tcPr>
          <w:p w14:paraId="72E308C3" w14:textId="77777777" w:rsidR="003B7027" w:rsidRPr="0028514E" w:rsidRDefault="00296A74" w:rsidP="006E5F9A">
            <w:pPr>
              <w:pStyle w:val="TableParagraph"/>
            </w:pPr>
            <w:r w:rsidRPr="0028514E">
              <w:t>ANC 0,5–1</w:t>
            </w:r>
          </w:p>
        </w:tc>
        <w:tc>
          <w:tcPr>
            <w:tcW w:w="7070" w:type="dxa"/>
          </w:tcPr>
          <w:p w14:paraId="0AD41D00" w14:textId="231D49A9" w:rsidR="003B7027" w:rsidRPr="0028514E" w:rsidRDefault="00296A74" w:rsidP="006E5F9A">
            <w:pPr>
              <w:pStyle w:val="TableParagraph"/>
            </w:pPr>
            <w:r w:rsidRPr="0028514E">
              <w:t xml:space="preserve">Keskeytä </w:t>
            </w:r>
            <w:r w:rsidR="00BF50DC">
              <w:t>Avtozma</w:t>
            </w:r>
            <w:r w:rsidRPr="0028514E">
              <w:t>-hoito.</w:t>
            </w:r>
          </w:p>
          <w:p w14:paraId="06693BBB" w14:textId="77777777" w:rsidR="00C27CD4" w:rsidRPr="0028514E" w:rsidRDefault="00C27CD4" w:rsidP="006E5F9A">
            <w:pPr>
              <w:pStyle w:val="TableParagraph"/>
            </w:pPr>
          </w:p>
          <w:p w14:paraId="0E25274A" w14:textId="359FA113" w:rsidR="003B7027" w:rsidRPr="0028514E" w:rsidRDefault="00296A74" w:rsidP="006E5F9A">
            <w:pPr>
              <w:pStyle w:val="TableParagraph"/>
            </w:pPr>
            <w:r w:rsidRPr="0028514E">
              <w:t>Kun ANC nousee &gt; 1 x 10</w:t>
            </w:r>
            <w:r w:rsidRPr="0028514E">
              <w:rPr>
                <w:vertAlign w:val="superscript"/>
              </w:rPr>
              <w:t>9</w:t>
            </w:r>
            <w:r w:rsidRPr="0028514E">
              <w:t xml:space="preserve">/l, aloita </w:t>
            </w:r>
            <w:r w:rsidR="00BF50DC">
              <w:t>Avtozma</w:t>
            </w:r>
            <w:r w:rsidRPr="0028514E">
              <w:t>-hoito uudelleen kerran kahdessa viikossa annettavina injektioina kliinisen tilan mukaan.</w:t>
            </w:r>
          </w:p>
        </w:tc>
      </w:tr>
      <w:tr w:rsidR="003B7027" w:rsidRPr="00777B93" w14:paraId="561FECE2" w14:textId="77777777" w:rsidTr="006E4E50">
        <w:trPr>
          <w:trHeight w:val="20"/>
        </w:trPr>
        <w:tc>
          <w:tcPr>
            <w:tcW w:w="1997" w:type="dxa"/>
          </w:tcPr>
          <w:p w14:paraId="1D0D97F5" w14:textId="77777777" w:rsidR="003B7027" w:rsidRPr="0028514E" w:rsidRDefault="00296A74" w:rsidP="006E5F9A">
            <w:pPr>
              <w:pStyle w:val="TableParagraph"/>
            </w:pPr>
            <w:r w:rsidRPr="0028514E">
              <w:t>ANC &lt; 0,5</w:t>
            </w:r>
          </w:p>
        </w:tc>
        <w:tc>
          <w:tcPr>
            <w:tcW w:w="7070" w:type="dxa"/>
          </w:tcPr>
          <w:p w14:paraId="2D8B5A9C" w14:textId="47F33716" w:rsidR="003B7027" w:rsidRPr="0028514E" w:rsidRDefault="00296A74" w:rsidP="006E5F9A">
            <w:pPr>
              <w:pStyle w:val="TableParagraph"/>
            </w:pPr>
            <w:r w:rsidRPr="0028514E">
              <w:t xml:space="preserve">Lopeta </w:t>
            </w:r>
            <w:r w:rsidR="00BF50DC">
              <w:t>Avtozma</w:t>
            </w:r>
            <w:r w:rsidRPr="0028514E">
              <w:t>-hoito.</w:t>
            </w:r>
          </w:p>
        </w:tc>
      </w:tr>
    </w:tbl>
    <w:p w14:paraId="21CF8E9E" w14:textId="77777777" w:rsidR="00C27CD4" w:rsidRPr="0028514E" w:rsidRDefault="00C27CD4" w:rsidP="006E5F9A">
      <w:pPr>
        <w:tabs>
          <w:tab w:val="left" w:pos="1604"/>
        </w:tabs>
        <w:rPr>
          <w:rFonts w:ascii="Symbol" w:eastAsia="Symbol" w:hAnsi="Symbol" w:cs="Symbol"/>
          <w:lang w:val="fi-FI" w:eastAsia="en-US"/>
        </w:rPr>
      </w:pPr>
    </w:p>
    <w:p w14:paraId="329F082F" w14:textId="77777777" w:rsidR="003B7027" w:rsidRPr="0028514E" w:rsidRDefault="00296A74" w:rsidP="003A6943">
      <w:pPr>
        <w:pStyle w:val="a"/>
      </w:pPr>
      <w:r w:rsidRPr="0028514E">
        <w:t>Pieni trombosyyttien määrä</w:t>
      </w:r>
    </w:p>
    <w:p w14:paraId="1A09C32D" w14:textId="77777777" w:rsidR="003B7027" w:rsidRPr="0028514E" w:rsidRDefault="003B7027" w:rsidP="006E5F9A">
      <w:pPr>
        <w:pStyle w:val="a4"/>
        <w:ind w:left="0"/>
        <w:rPr>
          <w:sz w:val="20"/>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52"/>
        <w:gridCol w:w="6894"/>
      </w:tblGrid>
      <w:tr w:rsidR="003B7027" w:rsidRPr="00777B93" w14:paraId="309251D0" w14:textId="77777777" w:rsidTr="006E4E50">
        <w:trPr>
          <w:trHeight w:val="20"/>
        </w:trPr>
        <w:tc>
          <w:tcPr>
            <w:tcW w:w="1997" w:type="dxa"/>
          </w:tcPr>
          <w:p w14:paraId="03914F7F" w14:textId="77777777" w:rsidR="003B7027" w:rsidRPr="0028514E" w:rsidRDefault="00296A74" w:rsidP="006E5F9A">
            <w:pPr>
              <w:pStyle w:val="TableParagraph"/>
              <w:jc w:val="center"/>
            </w:pPr>
            <w:r w:rsidRPr="0028514E">
              <w:t>Laboratorioarvo (solumäärä x 10</w:t>
            </w:r>
            <w:r w:rsidRPr="0028514E">
              <w:rPr>
                <w:vertAlign w:val="superscript"/>
              </w:rPr>
              <w:t>3</w:t>
            </w:r>
            <w:r w:rsidRPr="0028514E">
              <w:t>/μl)</w:t>
            </w:r>
          </w:p>
        </w:tc>
        <w:tc>
          <w:tcPr>
            <w:tcW w:w="7070" w:type="dxa"/>
          </w:tcPr>
          <w:p w14:paraId="78A36CD0" w14:textId="77777777" w:rsidR="003B7027" w:rsidRPr="0028514E" w:rsidRDefault="00296A74" w:rsidP="006E5F9A">
            <w:pPr>
              <w:pStyle w:val="TableParagraph"/>
              <w:jc w:val="center"/>
            </w:pPr>
            <w:r w:rsidRPr="0028514E">
              <w:t>Toimenpide</w:t>
            </w:r>
          </w:p>
        </w:tc>
      </w:tr>
      <w:tr w:rsidR="003B7027" w:rsidRPr="00BB5A61" w14:paraId="3115E48B" w14:textId="77777777" w:rsidTr="006E4E50">
        <w:trPr>
          <w:trHeight w:val="20"/>
        </w:trPr>
        <w:tc>
          <w:tcPr>
            <w:tcW w:w="1997" w:type="dxa"/>
          </w:tcPr>
          <w:p w14:paraId="785961EA" w14:textId="77777777" w:rsidR="003B7027" w:rsidRPr="0028514E" w:rsidRDefault="00296A74" w:rsidP="006E5F9A">
            <w:pPr>
              <w:pStyle w:val="TableParagraph"/>
            </w:pPr>
            <w:r w:rsidRPr="0028514E">
              <w:t>50–100</w:t>
            </w:r>
          </w:p>
        </w:tc>
        <w:tc>
          <w:tcPr>
            <w:tcW w:w="7070" w:type="dxa"/>
          </w:tcPr>
          <w:p w14:paraId="180E478B" w14:textId="58951105" w:rsidR="003B7027" w:rsidRPr="0028514E" w:rsidRDefault="00296A74" w:rsidP="006E5F9A">
            <w:pPr>
              <w:pStyle w:val="TableParagraph"/>
            </w:pPr>
            <w:r w:rsidRPr="0028514E">
              <w:t xml:space="preserve">Keskeytä </w:t>
            </w:r>
            <w:r w:rsidR="00BF50DC">
              <w:t>Avtozma</w:t>
            </w:r>
            <w:r w:rsidRPr="0028514E">
              <w:t>-hoito.</w:t>
            </w:r>
          </w:p>
          <w:p w14:paraId="76DB6AF2" w14:textId="77777777" w:rsidR="00C27CD4" w:rsidRPr="0028514E" w:rsidRDefault="00C27CD4" w:rsidP="006E5F9A">
            <w:pPr>
              <w:pStyle w:val="TableParagraph"/>
            </w:pPr>
          </w:p>
          <w:p w14:paraId="5AA2C2BE" w14:textId="69BAD856" w:rsidR="003B7027" w:rsidRPr="0028514E" w:rsidRDefault="00296A74" w:rsidP="006E5F9A">
            <w:pPr>
              <w:pStyle w:val="TableParagraph"/>
            </w:pPr>
            <w:r w:rsidRPr="0028514E">
              <w:t>Kun trombosyyttien määrä nousee &gt; 100 x 10</w:t>
            </w:r>
            <w:r w:rsidRPr="0028514E">
              <w:rPr>
                <w:vertAlign w:val="superscript"/>
              </w:rPr>
              <w:t>3</w:t>
            </w:r>
            <w:r w:rsidRPr="0028514E">
              <w:t xml:space="preserve">/μl, aloita </w:t>
            </w:r>
            <w:r w:rsidR="00BF50DC">
              <w:t>Avtozma</w:t>
            </w:r>
            <w:r w:rsidRPr="0028514E">
              <w:t>-hoito uudelleen kerran kahdessa viikossa annettavilla injektioilla kliinisen tilan mukaan.</w:t>
            </w:r>
          </w:p>
        </w:tc>
      </w:tr>
      <w:tr w:rsidR="003B7027" w:rsidRPr="00777B93" w14:paraId="1C00E3FE" w14:textId="77777777" w:rsidTr="006E4E50">
        <w:trPr>
          <w:trHeight w:val="20"/>
        </w:trPr>
        <w:tc>
          <w:tcPr>
            <w:tcW w:w="1997" w:type="dxa"/>
          </w:tcPr>
          <w:p w14:paraId="2FED6317" w14:textId="77777777" w:rsidR="003B7027" w:rsidRPr="0028514E" w:rsidRDefault="00296A74" w:rsidP="006E5F9A">
            <w:pPr>
              <w:pStyle w:val="TableParagraph"/>
            </w:pPr>
            <w:r w:rsidRPr="0028514E">
              <w:t>&lt; 50</w:t>
            </w:r>
          </w:p>
        </w:tc>
        <w:tc>
          <w:tcPr>
            <w:tcW w:w="7070" w:type="dxa"/>
          </w:tcPr>
          <w:p w14:paraId="40FF44D8" w14:textId="400A4E2F" w:rsidR="003B7027" w:rsidRPr="0028514E" w:rsidRDefault="00296A74" w:rsidP="006E5F9A">
            <w:pPr>
              <w:pStyle w:val="TableParagraph"/>
            </w:pPr>
            <w:r w:rsidRPr="0028514E">
              <w:t xml:space="preserve">Lopeta </w:t>
            </w:r>
            <w:r w:rsidR="00BF50DC">
              <w:t>Avtozma</w:t>
            </w:r>
            <w:r w:rsidRPr="0028514E">
              <w:t>-hoito.</w:t>
            </w:r>
          </w:p>
        </w:tc>
      </w:tr>
    </w:tbl>
    <w:p w14:paraId="693752B9" w14:textId="77777777" w:rsidR="00C27CD4" w:rsidRPr="0028514E" w:rsidRDefault="00C27CD4" w:rsidP="006E5F9A">
      <w:pPr>
        <w:pStyle w:val="a4"/>
        <w:ind w:left="0"/>
        <w:rPr>
          <w:u w:val="single"/>
        </w:rPr>
      </w:pPr>
    </w:p>
    <w:p w14:paraId="0A6D800B" w14:textId="77777777" w:rsidR="004822B0" w:rsidRDefault="00296A74" w:rsidP="006E5F9A">
      <w:pPr>
        <w:pStyle w:val="a4"/>
        <w:ind w:left="0"/>
      </w:pPr>
      <w:r w:rsidRPr="0028514E">
        <w:rPr>
          <w:u w:val="single"/>
        </w:rPr>
        <w:t>Nivelreuma ja jättisoluarteriitti</w:t>
      </w:r>
      <w:r w:rsidRPr="0028514E">
        <w:t xml:space="preserve"> </w:t>
      </w:r>
    </w:p>
    <w:p w14:paraId="25D5CAA3" w14:textId="77777777" w:rsidR="003B7027" w:rsidRPr="0028514E" w:rsidRDefault="00296A74" w:rsidP="006E5F9A">
      <w:pPr>
        <w:pStyle w:val="a4"/>
        <w:ind w:left="0"/>
      </w:pPr>
      <w:r w:rsidRPr="0028514E">
        <w:rPr>
          <w:u w:val="single"/>
        </w:rPr>
        <w:t>Annoksen unohtaminen</w:t>
      </w:r>
    </w:p>
    <w:p w14:paraId="15CBA23D" w14:textId="78D84CBB" w:rsidR="003B7027" w:rsidRPr="0028514E" w:rsidRDefault="00296A74" w:rsidP="006E5F9A">
      <w:pPr>
        <w:pStyle w:val="a4"/>
        <w:ind w:left="0"/>
      </w:pPr>
      <w:r w:rsidRPr="0028514E">
        <w:lastRenderedPageBreak/>
        <w:t xml:space="preserve">Jos potilas unohtaa viikoittaisen ihon alle annettavan </w:t>
      </w:r>
      <w:r w:rsidR="00BF50DC">
        <w:t>Avtozma</w:t>
      </w:r>
      <w:r w:rsidRPr="0028514E">
        <w:t xml:space="preserve">-annoksensa eikä aikataulun mukaisesta antoajankohdasta ole kulunut yli 7 vuorokautta, potilasta on neuvottava ottamaan unohtunut annos seuraavana hoitoaikataulun mukaisena päivänä. Jos potilas unohtaa kerran kahdessa viikossa annettavan </w:t>
      </w:r>
      <w:r w:rsidR="00BF50DC">
        <w:t>Avtozma</w:t>
      </w:r>
      <w:r w:rsidRPr="0028514E">
        <w:t>-annoksensa eikä aikataulun mukaisesta antoajankohdasta ole kulunut yli 7 vuorokautta, potilasta on neuvottava ottamaan unohtunut annos heti ja seuraava annos seuraavana hoitoaikataulun mukaisena päivänä.</w:t>
      </w:r>
    </w:p>
    <w:p w14:paraId="401BBB87" w14:textId="77777777" w:rsidR="003B7027" w:rsidRPr="0028514E" w:rsidRDefault="003B7027" w:rsidP="006E5F9A">
      <w:pPr>
        <w:pStyle w:val="a4"/>
        <w:ind w:left="0"/>
      </w:pPr>
    </w:p>
    <w:p w14:paraId="02F5FAD2" w14:textId="77777777" w:rsidR="003B7027" w:rsidRPr="0028514E" w:rsidRDefault="00296A74" w:rsidP="006A0FEE">
      <w:pPr>
        <w:pStyle w:val="a4"/>
        <w:keepNext/>
        <w:ind w:left="0"/>
      </w:pPr>
      <w:r w:rsidRPr="0028514E">
        <w:rPr>
          <w:u w:val="single"/>
        </w:rPr>
        <w:t>Erityisryhmät</w:t>
      </w:r>
    </w:p>
    <w:p w14:paraId="31A3F66C" w14:textId="77777777" w:rsidR="004822B0" w:rsidRPr="00CA43F5" w:rsidRDefault="004822B0" w:rsidP="006A0FEE">
      <w:pPr>
        <w:keepNext/>
        <w:rPr>
          <w:i/>
          <w:lang w:val="fi-FI"/>
        </w:rPr>
      </w:pPr>
    </w:p>
    <w:p w14:paraId="7A31668C" w14:textId="77777777" w:rsidR="003B7027" w:rsidRPr="00CA43F5" w:rsidRDefault="00296A74" w:rsidP="006E5F9A">
      <w:pPr>
        <w:rPr>
          <w:i/>
          <w:lang w:val="fi-FI"/>
        </w:rPr>
      </w:pPr>
      <w:r w:rsidRPr="00CA43F5">
        <w:rPr>
          <w:i/>
          <w:lang w:val="fi-FI"/>
        </w:rPr>
        <w:t>Iäkkäät:</w:t>
      </w:r>
    </w:p>
    <w:p w14:paraId="54380D7B" w14:textId="77777777" w:rsidR="003B7027" w:rsidRPr="0028514E" w:rsidRDefault="00296A74" w:rsidP="006E5F9A">
      <w:pPr>
        <w:pStyle w:val="a4"/>
        <w:ind w:left="0"/>
      </w:pPr>
      <w:r w:rsidRPr="0028514E">
        <w:t>Annoksen muuttaminen ei ole tarpeen yli 65-vuotiaille potilaille.</w:t>
      </w:r>
    </w:p>
    <w:p w14:paraId="056A1502" w14:textId="77777777" w:rsidR="003B7027" w:rsidRPr="0028514E" w:rsidRDefault="003B7027" w:rsidP="006E5F9A">
      <w:pPr>
        <w:pStyle w:val="a4"/>
        <w:ind w:left="0"/>
      </w:pPr>
    </w:p>
    <w:p w14:paraId="51B4A1BA" w14:textId="77777777" w:rsidR="003B7027" w:rsidRPr="00CA43F5" w:rsidRDefault="00296A74" w:rsidP="006E5F9A">
      <w:pPr>
        <w:keepNext/>
        <w:keepLines/>
        <w:rPr>
          <w:i/>
          <w:lang w:val="fi-FI"/>
        </w:rPr>
      </w:pPr>
      <w:r w:rsidRPr="00CA43F5">
        <w:rPr>
          <w:i/>
          <w:lang w:val="fi-FI"/>
        </w:rPr>
        <w:t>Munuaisten vajaatoiminta:</w:t>
      </w:r>
    </w:p>
    <w:p w14:paraId="19AD38A9" w14:textId="1D04A0F1" w:rsidR="003B7027" w:rsidRPr="0028514E" w:rsidRDefault="00296A74" w:rsidP="006E5F9A">
      <w:pPr>
        <w:pStyle w:val="a4"/>
        <w:ind w:left="0"/>
      </w:pPr>
      <w:r w:rsidRPr="0028514E">
        <w:t xml:space="preserve">Annoksen muuttaminen ei ole tarpeen lievää tai kohtalaista munuaisten vajaatoimintaa sairastaville potilaille. </w:t>
      </w:r>
      <w:r w:rsidR="00BF50DC">
        <w:t>Avtozman</w:t>
      </w:r>
      <w:r w:rsidR="00BF50DC" w:rsidRPr="0028514E" w:rsidDel="00BF50DC">
        <w:t xml:space="preserve"> </w:t>
      </w:r>
      <w:r w:rsidRPr="0028514E">
        <w:t>käyttöä ei ole tutkittu vaikeaa munuaisten vajaatoimintaa sairastavilla potilailla (ks. kohta 5.2). Munuaisten toimintaa tulisi seurata tarkasti näillä potilailla.</w:t>
      </w:r>
    </w:p>
    <w:p w14:paraId="256367F0" w14:textId="77777777" w:rsidR="003B7027" w:rsidRPr="0028514E" w:rsidRDefault="003B7027" w:rsidP="006E5F9A">
      <w:pPr>
        <w:pStyle w:val="a4"/>
        <w:ind w:left="0"/>
      </w:pPr>
    </w:p>
    <w:p w14:paraId="71973308" w14:textId="77777777" w:rsidR="003B7027" w:rsidRPr="00CA43F5" w:rsidRDefault="00296A74" w:rsidP="006E5F9A">
      <w:pPr>
        <w:rPr>
          <w:i/>
          <w:lang w:val="fi-FI"/>
        </w:rPr>
      </w:pPr>
      <w:r w:rsidRPr="00CA43F5">
        <w:rPr>
          <w:i/>
          <w:lang w:val="fi-FI"/>
        </w:rPr>
        <w:t>Maksan vajaatoiminta:</w:t>
      </w:r>
    </w:p>
    <w:p w14:paraId="508DB9BC" w14:textId="559EEC88" w:rsidR="003B7027" w:rsidRPr="0028514E" w:rsidRDefault="00BF50DC" w:rsidP="006E5F9A">
      <w:pPr>
        <w:pStyle w:val="a4"/>
        <w:ind w:left="0"/>
      </w:pPr>
      <w:r>
        <w:t>Avtozman</w:t>
      </w:r>
      <w:r w:rsidRPr="0028514E" w:rsidDel="00BF50DC">
        <w:t xml:space="preserve"> </w:t>
      </w:r>
      <w:r w:rsidR="00296A74" w:rsidRPr="0028514E">
        <w:t>käyttöä ei ole tutkittu maksan vajaatoimintaa sairastavilla potilailla. Siksi annossuosituksia ei voida antaa.</w:t>
      </w:r>
    </w:p>
    <w:p w14:paraId="681B36A3" w14:textId="77777777" w:rsidR="00C27CD4" w:rsidRPr="0028514E" w:rsidRDefault="00C27CD4" w:rsidP="006E5F9A">
      <w:pPr>
        <w:pStyle w:val="a4"/>
        <w:ind w:left="0"/>
      </w:pPr>
    </w:p>
    <w:p w14:paraId="770C0725" w14:textId="77777777" w:rsidR="003B7027" w:rsidRPr="00CA43F5" w:rsidRDefault="00296A74" w:rsidP="006E5F9A">
      <w:pPr>
        <w:rPr>
          <w:i/>
          <w:lang w:val="fi-FI"/>
        </w:rPr>
      </w:pPr>
      <w:r w:rsidRPr="00CA43F5">
        <w:rPr>
          <w:i/>
          <w:lang w:val="fi-FI"/>
        </w:rPr>
        <w:t>Pediatriset potilaat</w:t>
      </w:r>
    </w:p>
    <w:p w14:paraId="237B00EB" w14:textId="4CE4F2F9" w:rsidR="003B7027" w:rsidRPr="0028514E" w:rsidRDefault="00BF50DC" w:rsidP="006E5F9A">
      <w:pPr>
        <w:pStyle w:val="a4"/>
        <w:ind w:left="0"/>
      </w:pPr>
      <w:r>
        <w:t>Avtozma</w:t>
      </w:r>
      <w:r w:rsidR="00296A74" w:rsidRPr="0028514E">
        <w:t>-valmisteen vakioannoksena ihon alle annettavan lääkemuodon turvallisuutta ja tehoa lasten (vastasyntyneistä alle 1 vuoden ikäisiin) hoidossa ei ole varmistettu. Tietoja ei ole saatavilla.</w:t>
      </w:r>
    </w:p>
    <w:p w14:paraId="40DEEF31" w14:textId="77777777" w:rsidR="00C27CD4" w:rsidRPr="0028514E" w:rsidRDefault="00C27CD4" w:rsidP="006E5F9A">
      <w:pPr>
        <w:pStyle w:val="a4"/>
        <w:ind w:left="0"/>
      </w:pPr>
    </w:p>
    <w:p w14:paraId="438B1101" w14:textId="77777777" w:rsidR="003B7027" w:rsidRPr="0028514E" w:rsidRDefault="00296A74" w:rsidP="006E5F9A">
      <w:pPr>
        <w:pStyle w:val="a4"/>
        <w:ind w:left="0"/>
      </w:pPr>
      <w:r w:rsidRPr="0028514E">
        <w:t>Annosmuutosten pitää perustua vain potilaan painossa ajan mittaan tapahtuvaan pysyvään muutokseen.</w:t>
      </w:r>
    </w:p>
    <w:p w14:paraId="491823E9" w14:textId="064A24EF" w:rsidR="003B7027" w:rsidRPr="0028514E" w:rsidRDefault="00BF50DC" w:rsidP="006E5F9A">
      <w:pPr>
        <w:pStyle w:val="a4"/>
        <w:ind w:left="0"/>
      </w:pPr>
      <w:r>
        <w:t>Avtozmaa</w:t>
      </w:r>
      <w:r w:rsidRPr="0028514E" w:rsidDel="00BF50DC">
        <w:t xml:space="preserve"> </w:t>
      </w:r>
      <w:r w:rsidR="00296A74" w:rsidRPr="0028514E">
        <w:t>voidaan käyttää yksinään tai yhdistelmänä metotreksaatin kanssa.</w:t>
      </w:r>
    </w:p>
    <w:p w14:paraId="3E268599" w14:textId="77777777" w:rsidR="003B7027" w:rsidRPr="0028514E" w:rsidRDefault="003B7027" w:rsidP="006E5F9A">
      <w:pPr>
        <w:pStyle w:val="a4"/>
        <w:ind w:left="0"/>
      </w:pPr>
    </w:p>
    <w:p w14:paraId="66E02442" w14:textId="77777777" w:rsidR="003B7027" w:rsidRPr="00CA43F5" w:rsidRDefault="00296A74" w:rsidP="006E5F9A">
      <w:pPr>
        <w:rPr>
          <w:i/>
          <w:lang w:val="fi-FI"/>
        </w:rPr>
      </w:pPr>
      <w:r w:rsidRPr="00CA43F5">
        <w:rPr>
          <w:i/>
          <w:lang w:val="fi-FI"/>
        </w:rPr>
        <w:t>Yleisoireista lastenreumaa sairastavat potilaat</w:t>
      </w:r>
    </w:p>
    <w:p w14:paraId="3FDBE479" w14:textId="77777777" w:rsidR="003B7027" w:rsidRPr="0028514E" w:rsidRDefault="00296A74" w:rsidP="006E5F9A">
      <w:pPr>
        <w:pStyle w:val="a4"/>
        <w:ind w:left="0"/>
      </w:pPr>
      <w:r w:rsidRPr="0028514E">
        <w:t>Yli 12-vuotiaille potilaille suositeltu annostus on 162 mg ihon alle kerran viikossa, jos potilas painaa vähintään 30 kg, tai 162 mg ihon alle kerran kahdessa viikossa, jos potilas painaa alle 30 kg.</w:t>
      </w:r>
      <w:r w:rsidR="00C27CD4" w:rsidRPr="0028514E">
        <w:t xml:space="preserve"> </w:t>
      </w:r>
      <w:r w:rsidRPr="0028514E">
        <w:t>Esitäytettyä kynää ei pidä käyttää alle 12-vuotiaiden pediatristen potilaiden hoitoon.</w:t>
      </w:r>
    </w:p>
    <w:p w14:paraId="71D8D065" w14:textId="77777777" w:rsidR="003B7027" w:rsidRPr="0028514E" w:rsidRDefault="003B7027" w:rsidP="006E5F9A">
      <w:pPr>
        <w:pStyle w:val="a4"/>
        <w:ind w:left="0"/>
      </w:pPr>
    </w:p>
    <w:p w14:paraId="25BF95C0" w14:textId="65779C92" w:rsidR="003B7027" w:rsidRPr="0028514E" w:rsidRDefault="00296A74" w:rsidP="006E5F9A">
      <w:pPr>
        <w:pStyle w:val="a4"/>
        <w:ind w:left="0"/>
      </w:pPr>
      <w:r w:rsidRPr="0028514E">
        <w:t xml:space="preserve">Potilaiden painon on oltava vähintään 10 kg, jotta heille voidaan antaa </w:t>
      </w:r>
      <w:r w:rsidR="00BF50DC">
        <w:t>Avtozma</w:t>
      </w:r>
      <w:r w:rsidRPr="0028514E">
        <w:t>-hoitoa ihon alle.</w:t>
      </w:r>
    </w:p>
    <w:p w14:paraId="41E09F52" w14:textId="77777777" w:rsidR="00C27CD4" w:rsidRPr="0028514E" w:rsidRDefault="00C27CD4" w:rsidP="006E5F9A">
      <w:pPr>
        <w:pStyle w:val="a4"/>
        <w:ind w:left="0"/>
      </w:pPr>
    </w:p>
    <w:p w14:paraId="614CEBF2" w14:textId="77777777" w:rsidR="003B7027" w:rsidRPr="00CA43F5" w:rsidRDefault="00296A74" w:rsidP="006E5F9A">
      <w:pPr>
        <w:rPr>
          <w:i/>
          <w:lang w:val="fi-FI"/>
        </w:rPr>
      </w:pPr>
      <w:r w:rsidRPr="00CA43F5">
        <w:rPr>
          <w:i/>
          <w:lang w:val="fi-FI"/>
        </w:rPr>
        <w:t>Lasten polyartriittia sairastavat potilaat:</w:t>
      </w:r>
    </w:p>
    <w:p w14:paraId="5F0496FA" w14:textId="77777777" w:rsidR="003B7027" w:rsidRPr="0028514E" w:rsidRDefault="00296A74" w:rsidP="006E5F9A">
      <w:pPr>
        <w:pStyle w:val="a4"/>
        <w:ind w:left="0"/>
      </w:pPr>
      <w:r w:rsidRPr="0028514E">
        <w:t>Yli 12-vuotiaille potilaille suositeltu annostus on 162 mg ihon alle kerran kahdessa viikossa, jos potilas painaa vähintään 30 kg, tai 162 mg ihon alle kerran kolmessa viikossa, jos potilas painaa alle 30 kg.</w:t>
      </w:r>
    </w:p>
    <w:p w14:paraId="4E20DC85" w14:textId="77777777" w:rsidR="003B7027" w:rsidRPr="0028514E" w:rsidRDefault="003B7027" w:rsidP="006E5F9A">
      <w:pPr>
        <w:pStyle w:val="a4"/>
        <w:ind w:left="0"/>
      </w:pPr>
    </w:p>
    <w:p w14:paraId="5DB8C324" w14:textId="77777777" w:rsidR="003B7027" w:rsidRPr="0028514E" w:rsidRDefault="00296A74" w:rsidP="006E5F9A">
      <w:pPr>
        <w:pStyle w:val="a4"/>
        <w:ind w:left="0"/>
      </w:pPr>
      <w:r w:rsidRPr="0028514E">
        <w:t>Esitäytettyä kynää ei pidä käyttää alle 12-vuotiaiden pediatristen potilaiden hoitoon.</w:t>
      </w:r>
    </w:p>
    <w:p w14:paraId="14231A57" w14:textId="77777777" w:rsidR="00C27CD4" w:rsidRPr="0028514E" w:rsidRDefault="00C27CD4" w:rsidP="006E5F9A">
      <w:pPr>
        <w:pStyle w:val="a4"/>
        <w:ind w:left="0"/>
      </w:pPr>
    </w:p>
    <w:p w14:paraId="21B6426A" w14:textId="77777777" w:rsidR="003B7027" w:rsidRPr="0028514E" w:rsidRDefault="00296A74" w:rsidP="006E5F9A">
      <w:pPr>
        <w:pStyle w:val="a4"/>
        <w:ind w:left="0"/>
      </w:pPr>
      <w:r w:rsidRPr="0028514E">
        <w:rPr>
          <w:u w:val="single"/>
        </w:rPr>
        <w:t>Annosmuutokset laboratoriotulosten poikkeavuuksien vuoksi (yleisoireinen lastenreuma ja lasten</w:t>
      </w:r>
      <w:r w:rsidRPr="0028514E">
        <w:t xml:space="preserve"> </w:t>
      </w:r>
      <w:r w:rsidRPr="0028514E">
        <w:rPr>
          <w:u w:val="single"/>
        </w:rPr>
        <w:t>polyartriitti)</w:t>
      </w:r>
    </w:p>
    <w:p w14:paraId="681EA8EF" w14:textId="77777777" w:rsidR="003B7027" w:rsidRPr="0028514E" w:rsidRDefault="003B7027" w:rsidP="006E5F9A">
      <w:pPr>
        <w:pStyle w:val="a4"/>
        <w:ind w:left="0"/>
      </w:pPr>
    </w:p>
    <w:p w14:paraId="7B43BD26" w14:textId="77777777" w:rsidR="003B7027" w:rsidRPr="0028514E" w:rsidRDefault="00296A74" w:rsidP="006E5F9A">
      <w:pPr>
        <w:pStyle w:val="a4"/>
        <w:ind w:left="0"/>
      </w:pPr>
      <w:r w:rsidRPr="0028514E">
        <w:t>Samanaikaisesti annetun MTX:n ja/tai muiden lääkkeiden annoksia on tarvittaessa muutettava tai annostus on lopetettava ja tosilitsumabin antaminen on keskeytettävä, kunnes potilaan kliininen tila on selvitetty. Koska monet samanaikaiset sairaudet voivat vaikuttaa yleisoireista lastenreumaa tai polyartriittia sairastavien potilaiden laboratorioarvoihin, päätöksen tosilitsumabihoidon lopettamisesta poikkeavien laboratorioarvojen vuoksi on perustuttava yksittäisen potilaan lääketieteelliseen arviointiin.</w:t>
      </w:r>
    </w:p>
    <w:p w14:paraId="70BC6352" w14:textId="77777777" w:rsidR="00C27CD4" w:rsidRPr="0028514E" w:rsidRDefault="00C27CD4" w:rsidP="006E5F9A">
      <w:pPr>
        <w:pStyle w:val="a4"/>
        <w:ind w:left="0"/>
      </w:pPr>
    </w:p>
    <w:p w14:paraId="063B3F32" w14:textId="77777777" w:rsidR="003B7027" w:rsidRPr="0028514E" w:rsidRDefault="00296A74" w:rsidP="003A6943">
      <w:pPr>
        <w:pStyle w:val="a"/>
      </w:pPr>
      <w:r w:rsidRPr="0028514E">
        <w:t>Poikkeavat maksaentsyymit</w:t>
      </w:r>
    </w:p>
    <w:p w14:paraId="29F42520" w14:textId="77777777" w:rsidR="003B7027" w:rsidRPr="0028514E" w:rsidRDefault="003B7027" w:rsidP="006E5F9A">
      <w:pPr>
        <w:pStyle w:val="a4"/>
        <w:ind w:left="0"/>
        <w:rPr>
          <w:sz w:val="20"/>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797"/>
        <w:gridCol w:w="7049"/>
      </w:tblGrid>
      <w:tr w:rsidR="003B7027" w:rsidRPr="00777B93" w14:paraId="60D2AF69" w14:textId="77777777" w:rsidTr="006E4E50">
        <w:trPr>
          <w:trHeight w:val="20"/>
          <w:tblHeader/>
        </w:trPr>
        <w:tc>
          <w:tcPr>
            <w:tcW w:w="1838" w:type="dxa"/>
          </w:tcPr>
          <w:p w14:paraId="16410CCD" w14:textId="77777777" w:rsidR="003B7027" w:rsidRPr="004822B0" w:rsidRDefault="00296A74" w:rsidP="006E5F9A">
            <w:pPr>
              <w:pStyle w:val="TableParagraph"/>
              <w:jc w:val="center"/>
              <w:rPr>
                <w:bCs/>
              </w:rPr>
            </w:pPr>
            <w:r w:rsidRPr="004822B0">
              <w:rPr>
                <w:bCs/>
              </w:rPr>
              <w:lastRenderedPageBreak/>
              <w:t>Laboratorioarvo</w:t>
            </w:r>
          </w:p>
        </w:tc>
        <w:tc>
          <w:tcPr>
            <w:tcW w:w="7229" w:type="dxa"/>
          </w:tcPr>
          <w:p w14:paraId="5894D596" w14:textId="77777777" w:rsidR="003B7027" w:rsidRPr="004822B0" w:rsidRDefault="00296A74" w:rsidP="006E5F9A">
            <w:pPr>
              <w:pStyle w:val="TableParagraph"/>
              <w:jc w:val="center"/>
              <w:rPr>
                <w:bCs/>
              </w:rPr>
            </w:pPr>
            <w:r w:rsidRPr="004822B0">
              <w:rPr>
                <w:bCs/>
              </w:rPr>
              <w:t>Toimenpide</w:t>
            </w:r>
          </w:p>
        </w:tc>
      </w:tr>
      <w:tr w:rsidR="003B7027" w:rsidRPr="00ED6BAC" w14:paraId="3ACF9B16" w14:textId="77777777" w:rsidTr="006E4E50">
        <w:trPr>
          <w:trHeight w:val="20"/>
        </w:trPr>
        <w:tc>
          <w:tcPr>
            <w:tcW w:w="1838" w:type="dxa"/>
          </w:tcPr>
          <w:p w14:paraId="0DA039C5" w14:textId="77777777" w:rsidR="003B7027" w:rsidRPr="0028514E" w:rsidRDefault="00296A74" w:rsidP="006E5F9A">
            <w:pPr>
              <w:pStyle w:val="TableParagraph"/>
            </w:pPr>
            <w:r w:rsidRPr="0028514E">
              <w:t>&gt; 1–3 x viitevälin yläraja</w:t>
            </w:r>
            <w:r w:rsidR="00C27CD4" w:rsidRPr="0028514E">
              <w:t xml:space="preserve"> </w:t>
            </w:r>
            <w:r w:rsidRPr="0028514E">
              <w:t>(Upper Limit of Normal</w:t>
            </w:r>
            <w:r w:rsidR="00962390" w:rsidRPr="0028514E">
              <w:t xml:space="preserve"> </w:t>
            </w:r>
            <w:r w:rsidRPr="0028514E">
              <w:t>= viitevälin yläraja)</w:t>
            </w:r>
          </w:p>
        </w:tc>
        <w:tc>
          <w:tcPr>
            <w:tcW w:w="7229" w:type="dxa"/>
          </w:tcPr>
          <w:p w14:paraId="56D50040" w14:textId="77777777" w:rsidR="003B7027" w:rsidRPr="0028514E" w:rsidRDefault="00296A74" w:rsidP="006E5F9A">
            <w:pPr>
              <w:pStyle w:val="TableParagraph"/>
            </w:pPr>
            <w:r w:rsidRPr="0028514E">
              <w:t>Muuta samanaikaisesti annettu MTX-annos, jos tarkoituksenmukaista.</w:t>
            </w:r>
          </w:p>
          <w:p w14:paraId="44776E3E" w14:textId="77777777" w:rsidR="00C27CD4" w:rsidRPr="0028514E" w:rsidRDefault="00C27CD4" w:rsidP="006E5F9A">
            <w:pPr>
              <w:pStyle w:val="TableParagraph"/>
            </w:pPr>
          </w:p>
          <w:p w14:paraId="34CD15F1" w14:textId="38BE6C46" w:rsidR="003B7027" w:rsidRPr="0028514E" w:rsidRDefault="00296A74" w:rsidP="006E5F9A">
            <w:pPr>
              <w:pStyle w:val="TableParagraph"/>
            </w:pPr>
            <w:r w:rsidRPr="0028514E">
              <w:t xml:space="preserve">Jos arvon nousu on pitkäaikaista, keskeytä </w:t>
            </w:r>
            <w:r w:rsidR="00FF570B">
              <w:t>Avtozma</w:t>
            </w:r>
            <w:r w:rsidRPr="0028514E">
              <w:t>-hoito, kunnes ALAT- (alaniiniaminotransferaasi) ja ASAT (aspartaattiaminotransferaasi) -arvot ovat normalisoituneet.</w:t>
            </w:r>
          </w:p>
        </w:tc>
      </w:tr>
      <w:tr w:rsidR="003B7027" w:rsidRPr="00BB5A61" w14:paraId="69CEE24A" w14:textId="77777777" w:rsidTr="006E4E50">
        <w:trPr>
          <w:cantSplit/>
          <w:trHeight w:val="20"/>
        </w:trPr>
        <w:tc>
          <w:tcPr>
            <w:tcW w:w="1838" w:type="dxa"/>
          </w:tcPr>
          <w:p w14:paraId="497D8158" w14:textId="77777777" w:rsidR="003B7027" w:rsidRPr="0028514E" w:rsidRDefault="00296A74" w:rsidP="006E5F9A">
            <w:pPr>
              <w:pStyle w:val="TableParagraph"/>
            </w:pPr>
            <w:r w:rsidRPr="0028514E">
              <w:t>&gt; 3 x viitevälin yläraja –</w:t>
            </w:r>
            <w:r w:rsidR="00962390" w:rsidRPr="0028514E">
              <w:t xml:space="preserve"> </w:t>
            </w:r>
            <w:r w:rsidRPr="0028514E">
              <w:t>5 x viitevälin yläraja</w:t>
            </w:r>
          </w:p>
        </w:tc>
        <w:tc>
          <w:tcPr>
            <w:tcW w:w="7229" w:type="dxa"/>
          </w:tcPr>
          <w:p w14:paraId="6ED7EB73" w14:textId="77777777" w:rsidR="003B7027" w:rsidRPr="0028514E" w:rsidRDefault="00296A74" w:rsidP="006E5F9A">
            <w:pPr>
              <w:pStyle w:val="TableParagraph"/>
            </w:pPr>
            <w:r w:rsidRPr="0028514E">
              <w:t>Muuta samanaikaisesti annettu MTX-annos, jos tarkoituksenmukaista.</w:t>
            </w:r>
          </w:p>
          <w:p w14:paraId="6C709CDA" w14:textId="77777777" w:rsidR="00C27CD4" w:rsidRPr="0028514E" w:rsidRDefault="00C27CD4" w:rsidP="006E5F9A">
            <w:pPr>
              <w:pStyle w:val="TableParagraph"/>
            </w:pPr>
          </w:p>
          <w:p w14:paraId="373E3DA0" w14:textId="7C4C8E18" w:rsidR="003B7027" w:rsidRPr="0028514E" w:rsidRDefault="00296A74" w:rsidP="006E5F9A">
            <w:pPr>
              <w:pStyle w:val="TableParagraph"/>
            </w:pPr>
            <w:r w:rsidRPr="0028514E">
              <w:t xml:space="preserve">Keskeytä </w:t>
            </w:r>
            <w:r w:rsidR="00FF570B">
              <w:t>Avtozma</w:t>
            </w:r>
            <w:r w:rsidRPr="0028514E">
              <w:t>-hoito, kunnes arvo on &lt; 3 x viitevälin yläraja ja noudata yllä annettuja suosituksia arvolle &gt; 1–3 x viitevälin yläraja.</w:t>
            </w:r>
          </w:p>
        </w:tc>
      </w:tr>
      <w:tr w:rsidR="003B7027" w:rsidRPr="00BB5A61" w14:paraId="4C6E7EFB" w14:textId="77777777" w:rsidTr="006E4E50">
        <w:trPr>
          <w:trHeight w:val="20"/>
        </w:trPr>
        <w:tc>
          <w:tcPr>
            <w:tcW w:w="1838" w:type="dxa"/>
          </w:tcPr>
          <w:p w14:paraId="40CC0F71" w14:textId="77777777" w:rsidR="003B7027" w:rsidRPr="0028514E" w:rsidRDefault="00296A74" w:rsidP="006E5F9A">
            <w:pPr>
              <w:pStyle w:val="TableParagraph"/>
            </w:pPr>
            <w:r w:rsidRPr="0028514E">
              <w:t>&gt; 5 x viitevälin yläraja</w:t>
            </w:r>
          </w:p>
        </w:tc>
        <w:tc>
          <w:tcPr>
            <w:tcW w:w="7229" w:type="dxa"/>
          </w:tcPr>
          <w:p w14:paraId="6F7944BB" w14:textId="1FF438AA" w:rsidR="003B7027" w:rsidRPr="0028514E" w:rsidRDefault="00296A74" w:rsidP="006E5F9A">
            <w:pPr>
              <w:pStyle w:val="TableParagraph"/>
            </w:pPr>
            <w:r w:rsidRPr="0028514E">
              <w:t xml:space="preserve">Lopeta </w:t>
            </w:r>
            <w:r w:rsidR="00FF570B">
              <w:t>Avtozma</w:t>
            </w:r>
            <w:r w:rsidRPr="0028514E">
              <w:t>-hoito.</w:t>
            </w:r>
          </w:p>
          <w:p w14:paraId="1A4E9C3E" w14:textId="77777777" w:rsidR="00C27CD4" w:rsidRPr="0028514E" w:rsidRDefault="00C27CD4" w:rsidP="006E5F9A">
            <w:pPr>
              <w:pStyle w:val="TableParagraph"/>
            </w:pPr>
          </w:p>
          <w:p w14:paraId="54CCB5FD" w14:textId="772E94AA" w:rsidR="003B7027" w:rsidRPr="0028514E" w:rsidRDefault="00296A74" w:rsidP="006E5F9A">
            <w:pPr>
              <w:pStyle w:val="TableParagraph"/>
            </w:pPr>
            <w:r w:rsidRPr="0028514E">
              <w:t xml:space="preserve">Päätöksen </w:t>
            </w:r>
            <w:r w:rsidR="00FF570B">
              <w:t>Avtozma</w:t>
            </w:r>
            <w:r w:rsidRPr="0028514E">
              <w:t>-hoidon lopettamisesta yleisoireista lastenreumaa tai polyartriittia sairastavilla potilailla poikkeavien laboratorioarvojen vuoksi on perustuttava yksittäisen potilaan lääketieteelliseen arviointiin.</w:t>
            </w:r>
          </w:p>
        </w:tc>
      </w:tr>
    </w:tbl>
    <w:p w14:paraId="460A3561" w14:textId="77777777" w:rsidR="008A3DEA" w:rsidRPr="0028514E" w:rsidRDefault="008A3DEA" w:rsidP="003A6943">
      <w:pPr>
        <w:rPr>
          <w:lang w:val="fi-FI" w:eastAsia="en-US"/>
        </w:rPr>
      </w:pPr>
    </w:p>
    <w:p w14:paraId="10AEAE0C" w14:textId="77777777" w:rsidR="003B7027" w:rsidRPr="0028514E" w:rsidRDefault="00296A74" w:rsidP="003A6943">
      <w:pPr>
        <w:pStyle w:val="a"/>
      </w:pPr>
      <w:r w:rsidRPr="0028514E">
        <w:t>Matala absoluuttinen neutrofiilien määrä (ANC)</w:t>
      </w:r>
    </w:p>
    <w:p w14:paraId="1857B3BD" w14:textId="77777777" w:rsidR="003B7027" w:rsidRPr="0028514E" w:rsidRDefault="003B7027" w:rsidP="006E5F9A">
      <w:pPr>
        <w:pStyle w:val="a4"/>
        <w:ind w:left="0"/>
        <w:rPr>
          <w:sz w:val="20"/>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106"/>
        <w:gridCol w:w="6740"/>
      </w:tblGrid>
      <w:tr w:rsidR="003B7027" w:rsidRPr="00777B93" w14:paraId="60FC332D" w14:textId="77777777" w:rsidTr="006E4E50">
        <w:trPr>
          <w:trHeight w:val="20"/>
        </w:trPr>
        <w:tc>
          <w:tcPr>
            <w:tcW w:w="2155" w:type="dxa"/>
          </w:tcPr>
          <w:p w14:paraId="77972808" w14:textId="77777777" w:rsidR="003B7027" w:rsidRPr="004822B0" w:rsidRDefault="00296A74" w:rsidP="006E5F9A">
            <w:pPr>
              <w:pStyle w:val="TableParagraph"/>
              <w:jc w:val="center"/>
              <w:rPr>
                <w:bCs/>
              </w:rPr>
            </w:pPr>
            <w:r w:rsidRPr="004822B0">
              <w:rPr>
                <w:bCs/>
              </w:rPr>
              <w:t>Laboratorioarvo (solumäärä</w:t>
            </w:r>
            <w:r w:rsidR="00962390" w:rsidRPr="004822B0">
              <w:rPr>
                <w:bCs/>
              </w:rPr>
              <w:t xml:space="preserve"> </w:t>
            </w:r>
            <w:r w:rsidRPr="004822B0">
              <w:rPr>
                <w:bCs/>
              </w:rPr>
              <w:t>x 10</w:t>
            </w:r>
            <w:r w:rsidRPr="004822B0">
              <w:rPr>
                <w:bCs/>
                <w:vertAlign w:val="superscript"/>
              </w:rPr>
              <w:t>9</w:t>
            </w:r>
            <w:r w:rsidRPr="004822B0">
              <w:rPr>
                <w:bCs/>
              </w:rPr>
              <w:t>/l )</w:t>
            </w:r>
          </w:p>
        </w:tc>
        <w:tc>
          <w:tcPr>
            <w:tcW w:w="6912" w:type="dxa"/>
          </w:tcPr>
          <w:p w14:paraId="7CE7BAF5" w14:textId="77777777" w:rsidR="003B7027" w:rsidRPr="004822B0" w:rsidRDefault="00296A74" w:rsidP="006E5F9A">
            <w:pPr>
              <w:pStyle w:val="TableParagraph"/>
              <w:jc w:val="center"/>
              <w:rPr>
                <w:bCs/>
              </w:rPr>
            </w:pPr>
            <w:r w:rsidRPr="004822B0">
              <w:rPr>
                <w:bCs/>
              </w:rPr>
              <w:t>Toimenpide</w:t>
            </w:r>
          </w:p>
        </w:tc>
      </w:tr>
      <w:tr w:rsidR="003B7027" w:rsidRPr="00777B93" w14:paraId="4B9D5FEA" w14:textId="77777777" w:rsidTr="006E4E50">
        <w:trPr>
          <w:trHeight w:val="20"/>
        </w:trPr>
        <w:tc>
          <w:tcPr>
            <w:tcW w:w="2155" w:type="dxa"/>
          </w:tcPr>
          <w:p w14:paraId="46442E06" w14:textId="77777777" w:rsidR="003B7027" w:rsidRPr="0028514E" w:rsidRDefault="00296A74" w:rsidP="006E5F9A">
            <w:pPr>
              <w:pStyle w:val="TableParagraph"/>
            </w:pPr>
            <w:r w:rsidRPr="0028514E">
              <w:t>ANC &gt; 1</w:t>
            </w:r>
          </w:p>
        </w:tc>
        <w:tc>
          <w:tcPr>
            <w:tcW w:w="6912" w:type="dxa"/>
          </w:tcPr>
          <w:p w14:paraId="40A66C81" w14:textId="77777777" w:rsidR="003B7027" w:rsidRPr="0028514E" w:rsidRDefault="00296A74" w:rsidP="006E5F9A">
            <w:pPr>
              <w:pStyle w:val="TableParagraph"/>
            </w:pPr>
            <w:r w:rsidRPr="0028514E">
              <w:t>Jatka samalla annoksella.</w:t>
            </w:r>
          </w:p>
        </w:tc>
      </w:tr>
      <w:tr w:rsidR="003B7027" w:rsidRPr="00ED6BAC" w14:paraId="678CB502" w14:textId="77777777" w:rsidTr="006E4E50">
        <w:trPr>
          <w:trHeight w:val="20"/>
        </w:trPr>
        <w:tc>
          <w:tcPr>
            <w:tcW w:w="2155" w:type="dxa"/>
          </w:tcPr>
          <w:p w14:paraId="6F755FAF" w14:textId="77777777" w:rsidR="003B7027" w:rsidRPr="0028514E" w:rsidRDefault="00296A74" w:rsidP="006E5F9A">
            <w:pPr>
              <w:pStyle w:val="TableParagraph"/>
            </w:pPr>
            <w:r w:rsidRPr="0028514E">
              <w:t>ANC 0,5–1</w:t>
            </w:r>
          </w:p>
        </w:tc>
        <w:tc>
          <w:tcPr>
            <w:tcW w:w="6912" w:type="dxa"/>
          </w:tcPr>
          <w:p w14:paraId="04E4A7F3" w14:textId="510A45D4" w:rsidR="003B7027" w:rsidRPr="0028514E" w:rsidRDefault="00296A74" w:rsidP="006E5F9A">
            <w:pPr>
              <w:pStyle w:val="TableParagraph"/>
            </w:pPr>
            <w:r w:rsidRPr="0028514E">
              <w:t xml:space="preserve">Keskeytä </w:t>
            </w:r>
            <w:r w:rsidR="00FF570B">
              <w:t>Avtozma</w:t>
            </w:r>
            <w:r w:rsidRPr="0028514E">
              <w:t>-hoito.</w:t>
            </w:r>
          </w:p>
          <w:p w14:paraId="530BD3FE" w14:textId="77777777" w:rsidR="00C27CD4" w:rsidRPr="0028514E" w:rsidRDefault="00C27CD4" w:rsidP="006E5F9A">
            <w:pPr>
              <w:pStyle w:val="TableParagraph"/>
            </w:pPr>
          </w:p>
          <w:p w14:paraId="07D09264" w14:textId="1225AA77" w:rsidR="003B7027" w:rsidRPr="0028514E" w:rsidRDefault="00296A74" w:rsidP="006E5F9A">
            <w:pPr>
              <w:pStyle w:val="TableParagraph"/>
            </w:pPr>
            <w:r w:rsidRPr="0028514E">
              <w:t>Kun ANC nousee &gt; 1 x 10</w:t>
            </w:r>
            <w:r w:rsidRPr="0028514E">
              <w:rPr>
                <w:vertAlign w:val="superscript"/>
              </w:rPr>
              <w:t>9</w:t>
            </w:r>
            <w:r w:rsidRPr="0028514E">
              <w:t xml:space="preserve">/l, aloita </w:t>
            </w:r>
            <w:r w:rsidR="00FF570B">
              <w:t>Avtozma</w:t>
            </w:r>
            <w:r w:rsidRPr="0028514E">
              <w:t>-hoito uudelleen.</w:t>
            </w:r>
          </w:p>
        </w:tc>
      </w:tr>
      <w:tr w:rsidR="003B7027" w:rsidRPr="00BB5A61" w14:paraId="118A86B5" w14:textId="77777777" w:rsidTr="006E4E50">
        <w:trPr>
          <w:trHeight w:val="20"/>
        </w:trPr>
        <w:tc>
          <w:tcPr>
            <w:tcW w:w="2155" w:type="dxa"/>
          </w:tcPr>
          <w:p w14:paraId="1C08EDCA" w14:textId="77777777" w:rsidR="003B7027" w:rsidRPr="0028514E" w:rsidRDefault="00296A74" w:rsidP="006E5F9A">
            <w:pPr>
              <w:pStyle w:val="TableParagraph"/>
            </w:pPr>
            <w:r w:rsidRPr="0028514E">
              <w:t>ANC &lt; 0,5</w:t>
            </w:r>
          </w:p>
        </w:tc>
        <w:tc>
          <w:tcPr>
            <w:tcW w:w="6912" w:type="dxa"/>
          </w:tcPr>
          <w:p w14:paraId="1D970C9E" w14:textId="4A093F8B" w:rsidR="003B7027" w:rsidRPr="0028514E" w:rsidRDefault="00296A74" w:rsidP="006E5F9A">
            <w:pPr>
              <w:pStyle w:val="TableParagraph"/>
            </w:pPr>
            <w:r w:rsidRPr="0028514E">
              <w:t xml:space="preserve">Lopeta </w:t>
            </w:r>
            <w:r w:rsidR="00FF570B">
              <w:t>Avtozma</w:t>
            </w:r>
            <w:r w:rsidRPr="0028514E">
              <w:t>-hoito.</w:t>
            </w:r>
          </w:p>
          <w:p w14:paraId="46CBBFA5" w14:textId="77777777" w:rsidR="00C27CD4" w:rsidRPr="0028514E" w:rsidRDefault="00C27CD4" w:rsidP="006E5F9A">
            <w:pPr>
              <w:pStyle w:val="TableParagraph"/>
            </w:pPr>
          </w:p>
          <w:p w14:paraId="11840A44" w14:textId="5FD786B2" w:rsidR="003B7027" w:rsidRPr="0028514E" w:rsidRDefault="00296A74" w:rsidP="006E5F9A">
            <w:pPr>
              <w:pStyle w:val="TableParagraph"/>
            </w:pPr>
            <w:r w:rsidRPr="0028514E">
              <w:t xml:space="preserve">Päätöksen </w:t>
            </w:r>
            <w:r w:rsidR="00FF570B">
              <w:t>Avtozma</w:t>
            </w:r>
            <w:r w:rsidRPr="0028514E">
              <w:t>-hoidon lopettamisesta yleisoireista lastenreumaa tai polyartriittia sairastavilla potilailla poikkeavien laboratorioarvojen vuoksi on perustuttava yksittäisen potilaan lääketieteelliseen arviointiin.</w:t>
            </w:r>
          </w:p>
        </w:tc>
      </w:tr>
    </w:tbl>
    <w:p w14:paraId="0A5E837B" w14:textId="77777777" w:rsidR="00C27CD4" w:rsidRPr="0028514E" w:rsidRDefault="00C27CD4" w:rsidP="006E5F9A">
      <w:pPr>
        <w:tabs>
          <w:tab w:val="left" w:pos="1751"/>
        </w:tabs>
        <w:rPr>
          <w:rFonts w:ascii="Symbol" w:eastAsia="Symbol" w:hAnsi="Symbol" w:cs="Symbol"/>
          <w:lang w:val="fi-FI" w:eastAsia="en-US"/>
        </w:rPr>
      </w:pPr>
    </w:p>
    <w:p w14:paraId="66E6C239" w14:textId="77777777" w:rsidR="003B7027" w:rsidRPr="0028514E" w:rsidRDefault="00296A74" w:rsidP="003A6943">
      <w:pPr>
        <w:pStyle w:val="a"/>
      </w:pPr>
      <w:r w:rsidRPr="0028514E">
        <w:t>Pieni trombosyyttien määrä</w:t>
      </w:r>
    </w:p>
    <w:p w14:paraId="3DB5FBEB" w14:textId="77777777" w:rsidR="003B7027" w:rsidRPr="0028514E" w:rsidRDefault="003B7027" w:rsidP="006E5F9A">
      <w:pPr>
        <w:pStyle w:val="a4"/>
        <w:ind w:left="0"/>
        <w:rPr>
          <w:sz w:val="20"/>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105"/>
        <w:gridCol w:w="6741"/>
      </w:tblGrid>
      <w:tr w:rsidR="003B7027" w:rsidRPr="00777B93" w14:paraId="2AD6C3D2" w14:textId="77777777" w:rsidTr="006E4E50">
        <w:trPr>
          <w:trHeight w:val="20"/>
        </w:trPr>
        <w:tc>
          <w:tcPr>
            <w:tcW w:w="2154" w:type="dxa"/>
          </w:tcPr>
          <w:p w14:paraId="098E3FD7" w14:textId="77777777" w:rsidR="003B7027" w:rsidRPr="003A6943" w:rsidRDefault="00296A74" w:rsidP="006E5F9A">
            <w:pPr>
              <w:pStyle w:val="TableParagraph"/>
              <w:jc w:val="center"/>
              <w:rPr>
                <w:bCs/>
              </w:rPr>
            </w:pPr>
            <w:r w:rsidRPr="003A6943">
              <w:rPr>
                <w:bCs/>
              </w:rPr>
              <w:t>Laboratorioarvo (solumäärä x 10</w:t>
            </w:r>
            <w:r w:rsidRPr="003A6943">
              <w:rPr>
                <w:bCs/>
                <w:vertAlign w:val="superscript"/>
              </w:rPr>
              <w:t>3</w:t>
            </w:r>
            <w:r w:rsidRPr="003A6943">
              <w:rPr>
                <w:bCs/>
              </w:rPr>
              <w:t>/</w:t>
            </w:r>
            <w:r w:rsidR="003A6943" w:rsidRPr="003A6943">
              <w:t>μ</w:t>
            </w:r>
            <w:r w:rsidRPr="003A6943">
              <w:rPr>
                <w:bCs/>
              </w:rPr>
              <w:t>l)</w:t>
            </w:r>
          </w:p>
        </w:tc>
        <w:tc>
          <w:tcPr>
            <w:tcW w:w="6913" w:type="dxa"/>
          </w:tcPr>
          <w:p w14:paraId="3133C9F0" w14:textId="77777777" w:rsidR="003B7027" w:rsidRPr="003A6943" w:rsidRDefault="00296A74" w:rsidP="006E5F9A">
            <w:pPr>
              <w:pStyle w:val="TableParagraph"/>
              <w:jc w:val="center"/>
              <w:rPr>
                <w:bCs/>
              </w:rPr>
            </w:pPr>
            <w:r w:rsidRPr="003A6943">
              <w:rPr>
                <w:bCs/>
              </w:rPr>
              <w:t>Toimenpide</w:t>
            </w:r>
          </w:p>
        </w:tc>
      </w:tr>
      <w:tr w:rsidR="003B7027" w:rsidRPr="00BB5A61" w14:paraId="0C3AC0AB" w14:textId="77777777" w:rsidTr="006E4E50">
        <w:trPr>
          <w:trHeight w:val="20"/>
        </w:trPr>
        <w:tc>
          <w:tcPr>
            <w:tcW w:w="2154" w:type="dxa"/>
          </w:tcPr>
          <w:p w14:paraId="0C231BA5" w14:textId="77777777" w:rsidR="003B7027" w:rsidRPr="003A6943" w:rsidRDefault="00296A74" w:rsidP="006E5F9A">
            <w:pPr>
              <w:pStyle w:val="TableParagraph"/>
            </w:pPr>
            <w:r w:rsidRPr="003A6943">
              <w:t>50–100</w:t>
            </w:r>
          </w:p>
        </w:tc>
        <w:tc>
          <w:tcPr>
            <w:tcW w:w="6913" w:type="dxa"/>
          </w:tcPr>
          <w:p w14:paraId="39E83FF1" w14:textId="77777777" w:rsidR="003B7027" w:rsidRPr="003A6943" w:rsidRDefault="00296A74" w:rsidP="006E5F9A">
            <w:pPr>
              <w:pStyle w:val="TableParagraph"/>
            </w:pPr>
            <w:r w:rsidRPr="003A6943">
              <w:t>Muuta samanaikaisesti annettu MTX-annos, jos tarkoituksenmukaista.</w:t>
            </w:r>
          </w:p>
          <w:p w14:paraId="1DE9C078" w14:textId="77777777" w:rsidR="00962390" w:rsidRPr="003A6943" w:rsidRDefault="00962390" w:rsidP="006E5F9A">
            <w:pPr>
              <w:pStyle w:val="TableParagraph"/>
            </w:pPr>
          </w:p>
          <w:p w14:paraId="2B896CC0" w14:textId="6A573447" w:rsidR="003B7027" w:rsidRPr="003A6943" w:rsidRDefault="00296A74" w:rsidP="006E5F9A">
            <w:pPr>
              <w:pStyle w:val="TableParagraph"/>
            </w:pPr>
            <w:r w:rsidRPr="003A6943">
              <w:t xml:space="preserve">Keskeytä </w:t>
            </w:r>
            <w:r w:rsidR="00FF570B">
              <w:t>Avtozma</w:t>
            </w:r>
            <w:r w:rsidRPr="003A6943">
              <w:t>-hoito.</w:t>
            </w:r>
          </w:p>
          <w:p w14:paraId="521DBB38" w14:textId="77777777" w:rsidR="00962390" w:rsidRPr="003A6943" w:rsidRDefault="00962390" w:rsidP="006E5F9A">
            <w:pPr>
              <w:pStyle w:val="TableParagraph"/>
            </w:pPr>
          </w:p>
          <w:p w14:paraId="59A43965" w14:textId="2E7D6AED" w:rsidR="003B7027" w:rsidRPr="003A6943" w:rsidRDefault="00296A74" w:rsidP="006E5F9A">
            <w:pPr>
              <w:pStyle w:val="TableParagraph"/>
            </w:pPr>
            <w:r w:rsidRPr="003A6943">
              <w:t>Kun trombosyyttien määrä nousee &gt; 100 x 10</w:t>
            </w:r>
            <w:r w:rsidRPr="003A6943">
              <w:rPr>
                <w:vertAlign w:val="superscript"/>
              </w:rPr>
              <w:t>3</w:t>
            </w:r>
            <w:r w:rsidRPr="003A6943">
              <w:t>/μl, aloita</w:t>
            </w:r>
            <w:r w:rsidR="0089521E" w:rsidRPr="003A6943">
              <w:t xml:space="preserve"> </w:t>
            </w:r>
            <w:r w:rsidR="00FF570B">
              <w:t>Avtozma</w:t>
            </w:r>
            <w:r w:rsidRPr="003A6943">
              <w:t>-hoito uudelleen</w:t>
            </w:r>
          </w:p>
        </w:tc>
      </w:tr>
      <w:tr w:rsidR="003B7027" w:rsidRPr="00BB5A61" w14:paraId="1D32FB04" w14:textId="77777777" w:rsidTr="006E4E50">
        <w:trPr>
          <w:trHeight w:val="20"/>
        </w:trPr>
        <w:tc>
          <w:tcPr>
            <w:tcW w:w="2154" w:type="dxa"/>
          </w:tcPr>
          <w:p w14:paraId="44FE25F4" w14:textId="77777777" w:rsidR="003B7027" w:rsidRPr="003A6943" w:rsidRDefault="00296A74" w:rsidP="006E5F9A">
            <w:pPr>
              <w:pStyle w:val="TableParagraph"/>
            </w:pPr>
            <w:r w:rsidRPr="003A6943">
              <w:t>&lt; 50</w:t>
            </w:r>
          </w:p>
        </w:tc>
        <w:tc>
          <w:tcPr>
            <w:tcW w:w="6913" w:type="dxa"/>
          </w:tcPr>
          <w:p w14:paraId="6502E691" w14:textId="1C7BC57D" w:rsidR="003B7027" w:rsidRPr="003A6943" w:rsidRDefault="00296A74" w:rsidP="006E5F9A">
            <w:pPr>
              <w:pStyle w:val="TableParagraph"/>
            </w:pPr>
            <w:r w:rsidRPr="003A6943">
              <w:t xml:space="preserve">Lopeta </w:t>
            </w:r>
            <w:r w:rsidR="00FF570B">
              <w:t>Avtozma</w:t>
            </w:r>
            <w:r w:rsidRPr="003A6943">
              <w:t>-hoito.</w:t>
            </w:r>
          </w:p>
          <w:p w14:paraId="3B543C37" w14:textId="77777777" w:rsidR="00962390" w:rsidRPr="003A6943" w:rsidRDefault="00962390" w:rsidP="006E5F9A">
            <w:pPr>
              <w:pStyle w:val="TableParagraph"/>
            </w:pPr>
          </w:p>
          <w:p w14:paraId="2996E745" w14:textId="53541983" w:rsidR="003B7027" w:rsidRPr="003A6943" w:rsidRDefault="00296A74" w:rsidP="006E5F9A">
            <w:pPr>
              <w:pStyle w:val="TableParagraph"/>
            </w:pPr>
            <w:r w:rsidRPr="003A6943">
              <w:t xml:space="preserve">Päätöksen </w:t>
            </w:r>
            <w:r w:rsidR="00FF570B">
              <w:t>Avtozma</w:t>
            </w:r>
            <w:r w:rsidRPr="003A6943">
              <w:t>-hoidon lopettamisesta yleisoireista lastenreumaa tai polyartriittia sairastavilla potilailla poikkeavien laboratorioarvojen vuoksi on perustuttava yksittäisen potilaan lääketieteelliseen arviointiin.</w:t>
            </w:r>
          </w:p>
        </w:tc>
      </w:tr>
    </w:tbl>
    <w:p w14:paraId="47D47DBA" w14:textId="77777777" w:rsidR="00C27CD4" w:rsidRPr="0028514E" w:rsidRDefault="00C27CD4" w:rsidP="006E5F9A">
      <w:pPr>
        <w:pStyle w:val="a4"/>
        <w:ind w:left="0"/>
      </w:pPr>
    </w:p>
    <w:p w14:paraId="3DE82808" w14:textId="77777777" w:rsidR="003B7027" w:rsidRPr="0028514E" w:rsidRDefault="00296A74" w:rsidP="006E5F9A">
      <w:pPr>
        <w:pStyle w:val="a4"/>
        <w:ind w:left="0"/>
      </w:pPr>
      <w:r w:rsidRPr="0028514E">
        <w:t>Tosilitsumabin antotiheyden harventamista poikkeavien laboratorioarvojen vuoksi ei ole tutkittu yleisoireista lastenreumaa tai polyartriittia sairastavilla potilailla.</w:t>
      </w:r>
    </w:p>
    <w:p w14:paraId="0E547E1F" w14:textId="77777777" w:rsidR="00C27CD4" w:rsidRPr="0028514E" w:rsidRDefault="00C27CD4" w:rsidP="006E5F9A">
      <w:pPr>
        <w:pStyle w:val="a4"/>
        <w:ind w:left="0"/>
      </w:pPr>
    </w:p>
    <w:p w14:paraId="5A771C1D" w14:textId="5C638CE8" w:rsidR="003B7027" w:rsidRPr="0028514E" w:rsidRDefault="00FF570B" w:rsidP="006E5F9A">
      <w:pPr>
        <w:pStyle w:val="a4"/>
        <w:ind w:left="0"/>
      </w:pPr>
      <w:r>
        <w:t>Avtozma</w:t>
      </w:r>
      <w:r w:rsidR="00296A74" w:rsidRPr="0028514E">
        <w:t>n ihon alle annettavan lääkemuodon turvallisuutta ja tehoa lapsille, jotka sairastavat jotakin muuta sairautta kuin yleisoireista lastenreumaa tai polyartriittia, ei ole tutkittu.</w:t>
      </w:r>
    </w:p>
    <w:p w14:paraId="267E6EDC" w14:textId="77777777" w:rsidR="00C27CD4" w:rsidRPr="0028514E" w:rsidRDefault="00C27CD4" w:rsidP="006E5F9A">
      <w:pPr>
        <w:pStyle w:val="a4"/>
        <w:ind w:left="0"/>
      </w:pPr>
    </w:p>
    <w:p w14:paraId="5B6FBE18" w14:textId="722183B5" w:rsidR="003B7027" w:rsidRPr="0028514E" w:rsidRDefault="00296A74" w:rsidP="006E5F9A">
      <w:pPr>
        <w:pStyle w:val="a4"/>
        <w:ind w:left="0"/>
      </w:pPr>
      <w:r w:rsidRPr="0028514E">
        <w:lastRenderedPageBreak/>
        <w:t xml:space="preserve">Laskimoon annettavasta lääkemuodosta saatavissa olevat tiedot viittaavat siihen, että kliinistä paranemista voidaan havaita 12 viikon kuluessa </w:t>
      </w:r>
      <w:r w:rsidR="00FF570B">
        <w:t>tosilitsumabi</w:t>
      </w:r>
      <w:r w:rsidRPr="0028514E">
        <w:t>hoidon aloittamisesta. Jos tämän ajanjakson kuluessa ei havaita tilan paranemista, hoidon jatkamista pitää harkita tarkoin uudelleen.</w:t>
      </w:r>
    </w:p>
    <w:p w14:paraId="68DC8631" w14:textId="77777777" w:rsidR="003B7027" w:rsidRPr="0028514E" w:rsidRDefault="003B7027" w:rsidP="006E5F9A">
      <w:pPr>
        <w:pStyle w:val="a4"/>
        <w:ind w:left="0"/>
      </w:pPr>
    </w:p>
    <w:p w14:paraId="6F150015" w14:textId="77777777" w:rsidR="003B7027" w:rsidRPr="0028514E" w:rsidRDefault="00296A74" w:rsidP="006E5F9A">
      <w:pPr>
        <w:pStyle w:val="a4"/>
        <w:ind w:left="0"/>
      </w:pPr>
      <w:r w:rsidRPr="0028514E">
        <w:rPr>
          <w:u w:val="single"/>
        </w:rPr>
        <w:t>Annoksen unohtaminen</w:t>
      </w:r>
    </w:p>
    <w:p w14:paraId="13B11041" w14:textId="049C445F" w:rsidR="003B7027" w:rsidRPr="0028514E" w:rsidRDefault="00296A74" w:rsidP="006E5F9A">
      <w:pPr>
        <w:pStyle w:val="a4"/>
        <w:ind w:left="0"/>
      </w:pPr>
      <w:r w:rsidRPr="0028514E">
        <w:t xml:space="preserve">Jos yleisoireista lastenreumaa sairastavan potilaan ihon alle viikoittain annettava </w:t>
      </w:r>
      <w:r w:rsidR="00FF570B">
        <w:t>Avtozma</w:t>
      </w:r>
      <w:r w:rsidRPr="0028514E">
        <w:t xml:space="preserve">-pistos unohtuu eikä hoito-ohjelman mukaisesta antoajankohdasta ole kulunut yli 7 vuorokautta, potilasta pitää ohjeistaa ottamaan unohtunut annos tavanomaisen hoito-ohjelman seuraavana lääkkeenottoajankohtana. Jos potilas unohtaa ihon alle kerran kahdessa viikossa annettavan </w:t>
      </w:r>
      <w:r w:rsidR="00FF570B">
        <w:t>Avtozma</w:t>
      </w:r>
      <w:r w:rsidRPr="0028514E">
        <w:t>-pistoksen eikä hoito-ohjelman mukaisesta antoajankohdasta ole kulunut yli 7 vuorokautta, potilasta pitää ohjeistaa ottamaan unohtunut annos heti, kun sen unohtuminen huomataan, ja seuraava annos tavanomaisen hoito-ohjelman seuraavana lääkkeenottoajankohtana.</w:t>
      </w:r>
    </w:p>
    <w:p w14:paraId="0AC95360" w14:textId="77777777" w:rsidR="003B7027" w:rsidRPr="0028514E" w:rsidRDefault="003B7027" w:rsidP="006E5F9A">
      <w:pPr>
        <w:pStyle w:val="a4"/>
        <w:ind w:left="0"/>
      </w:pPr>
    </w:p>
    <w:p w14:paraId="68904178" w14:textId="4210C7A7" w:rsidR="003B7027" w:rsidRPr="0028514E" w:rsidRDefault="00296A74" w:rsidP="006E5F9A">
      <w:pPr>
        <w:pStyle w:val="a4"/>
        <w:ind w:left="0"/>
      </w:pPr>
      <w:r w:rsidRPr="0028514E">
        <w:t xml:space="preserve">Jos lasten aktiivista polyartriittia sairastavan potilaan ihon alle annettava </w:t>
      </w:r>
      <w:r w:rsidR="00FF570B">
        <w:t>Avtozma</w:t>
      </w:r>
      <w:r w:rsidRPr="0028514E">
        <w:t xml:space="preserve">-pistos unohtuu eikä hoito-ohjelman mukaisesta antoajankohdasta ole kulunut yli 7 vuorokautta, potilaan on otettava unohtunut annos heti, kun sen unohtuminen huomataan, ja ottaa seuraava annos tavanomaisen hoito- ohjelman seuraavana lääkkeenottoajankohtana. Jos potilas unohtaa ihon alle annettavan </w:t>
      </w:r>
      <w:r w:rsidR="00FF570B">
        <w:t>Avtozma</w:t>
      </w:r>
      <w:r w:rsidRPr="0028514E">
        <w:t xml:space="preserve">-injektion ja aikataulun mukaisesta antoajankohdasta on kulunut yli 7 vuorokautta tai jos potilas on epävarma siitä, milloin </w:t>
      </w:r>
      <w:r w:rsidR="00FF570B">
        <w:t>Avtozma</w:t>
      </w:r>
      <w:r w:rsidRPr="0028514E">
        <w:t>-pistos pitää ottaa, hänen on otettava yhteyttä lääkäriin tai apteekkihenkilökuntaan.</w:t>
      </w:r>
    </w:p>
    <w:p w14:paraId="012C9042" w14:textId="77777777" w:rsidR="00C27CD4" w:rsidRPr="0028514E" w:rsidRDefault="00C27CD4" w:rsidP="006E5F9A">
      <w:pPr>
        <w:pStyle w:val="a4"/>
        <w:ind w:left="0"/>
        <w:rPr>
          <w:u w:val="single"/>
        </w:rPr>
      </w:pPr>
    </w:p>
    <w:p w14:paraId="25A6EA87" w14:textId="77777777" w:rsidR="003B7027" w:rsidRPr="0028514E" w:rsidRDefault="00296A74" w:rsidP="006E5F9A">
      <w:pPr>
        <w:pStyle w:val="a4"/>
        <w:ind w:left="0"/>
      </w:pPr>
      <w:r w:rsidRPr="0028514E">
        <w:rPr>
          <w:u w:val="single"/>
        </w:rPr>
        <w:t>Antotapa</w:t>
      </w:r>
    </w:p>
    <w:p w14:paraId="0F7FF984" w14:textId="77777777" w:rsidR="003B7027" w:rsidRPr="0028514E" w:rsidRDefault="003B7027" w:rsidP="006E5F9A">
      <w:pPr>
        <w:pStyle w:val="a4"/>
        <w:ind w:left="0"/>
      </w:pPr>
    </w:p>
    <w:p w14:paraId="3B93EBF9" w14:textId="18C828D0" w:rsidR="003B7027" w:rsidRPr="0028514E" w:rsidRDefault="00FF570B" w:rsidP="006E5F9A">
      <w:pPr>
        <w:pStyle w:val="a4"/>
        <w:ind w:left="0"/>
      </w:pPr>
      <w:r>
        <w:t>Avtozma</w:t>
      </w:r>
      <w:r w:rsidR="00296A74" w:rsidRPr="0028514E">
        <w:t xml:space="preserve"> on tarkoitettu annettavaksi ihon alle.</w:t>
      </w:r>
    </w:p>
    <w:p w14:paraId="34D07554" w14:textId="51D2708E" w:rsidR="003B7027" w:rsidRPr="0028514E" w:rsidRDefault="00296A74" w:rsidP="006E5F9A">
      <w:pPr>
        <w:pStyle w:val="a4"/>
        <w:ind w:left="0"/>
      </w:pPr>
      <w:r w:rsidRPr="0028514E">
        <w:t xml:space="preserve">Kun potilaalle on annettu riittävä opastus pistostekniikasta, potilas voi pistää </w:t>
      </w:r>
      <w:r w:rsidR="00FF570B">
        <w:t>Avtozma</w:t>
      </w:r>
      <w:r w:rsidRPr="0028514E">
        <w:t>n itse, jos lääkäri katsoo sen asianmukaiseksi. Esitäytetyn kynän koko sisältö (0,9 ml) pitää antaa injektiona ihon alle. Suositeltuja injektiokohtia (vatsa, reisi ja olkavarsi) pitää vaihdella eikä injektiota saa koskaan pistää luomiin, arpiin eikä ihoalueelle, jolla on aristusta, mustelmia, punoitusta, kovettuma tai iho ei ole ehjä.</w:t>
      </w:r>
    </w:p>
    <w:p w14:paraId="3C31ECC9" w14:textId="77777777" w:rsidR="00C27CD4" w:rsidRPr="0028514E" w:rsidRDefault="00C27CD4" w:rsidP="006E5F9A">
      <w:pPr>
        <w:pStyle w:val="a4"/>
        <w:ind w:left="0"/>
      </w:pPr>
    </w:p>
    <w:p w14:paraId="6255A99E" w14:textId="77777777" w:rsidR="003B7027" w:rsidRPr="0028514E" w:rsidRDefault="00296A74" w:rsidP="006E5F9A">
      <w:pPr>
        <w:pStyle w:val="a4"/>
        <w:ind w:left="0"/>
      </w:pPr>
      <w:r w:rsidRPr="0028514E">
        <w:t>Esitäytettyä kynää ei saa ravistaa.</w:t>
      </w:r>
    </w:p>
    <w:p w14:paraId="0B5900FF" w14:textId="77777777" w:rsidR="003B7027" w:rsidRPr="0028514E" w:rsidRDefault="003B7027" w:rsidP="006E5F9A">
      <w:pPr>
        <w:pStyle w:val="a4"/>
        <w:ind w:left="0"/>
      </w:pPr>
    </w:p>
    <w:p w14:paraId="7087EE02" w14:textId="317E5DD7" w:rsidR="003B7027" w:rsidRPr="0028514E" w:rsidRDefault="00296A74" w:rsidP="006E5F9A">
      <w:pPr>
        <w:pStyle w:val="a4"/>
        <w:ind w:left="0"/>
      </w:pPr>
      <w:r w:rsidRPr="0028514E">
        <w:t>Tarkemmat ohjeet esitäytetyn</w:t>
      </w:r>
      <w:r w:rsidR="00FF570B">
        <w:t xml:space="preserve"> Avtozma-</w:t>
      </w:r>
      <w:r w:rsidRPr="0028514E">
        <w:t>kynän käyttöön on esitetty pakkausselosteessa. Ks. ohjeet kohdasta 6.6.</w:t>
      </w:r>
    </w:p>
    <w:p w14:paraId="29C2A57C" w14:textId="77777777" w:rsidR="003B7027" w:rsidRPr="0028514E" w:rsidRDefault="003B7027" w:rsidP="006E5F9A">
      <w:pPr>
        <w:pStyle w:val="a4"/>
        <w:ind w:left="0"/>
      </w:pPr>
    </w:p>
    <w:p w14:paraId="2B53491C" w14:textId="77777777" w:rsidR="003B7027" w:rsidRPr="0028514E" w:rsidRDefault="00296A74" w:rsidP="006E5F9A">
      <w:pPr>
        <w:pStyle w:val="2"/>
      </w:pPr>
      <w:r w:rsidRPr="0028514E">
        <w:t>4.3</w:t>
      </w:r>
      <w:r w:rsidRPr="0028514E">
        <w:tab/>
        <w:t>Vasta-aiheet</w:t>
      </w:r>
    </w:p>
    <w:p w14:paraId="35288074" w14:textId="77777777" w:rsidR="00C27CD4" w:rsidRPr="0028514E" w:rsidRDefault="00C27CD4" w:rsidP="001C1F69"/>
    <w:p w14:paraId="6DD4AE57" w14:textId="77777777" w:rsidR="003B7027" w:rsidRPr="0028514E" w:rsidRDefault="00296A74" w:rsidP="006E5F9A">
      <w:pPr>
        <w:pStyle w:val="a4"/>
        <w:ind w:left="0"/>
      </w:pPr>
      <w:r w:rsidRPr="0028514E">
        <w:t>Yliherkkyys vaikuttavalle aineelle tai kohdassa 6.1 mainituille apuaineille. Aktiiviset vaikeat infektiot (ks. kohta 4.4).</w:t>
      </w:r>
    </w:p>
    <w:p w14:paraId="13313565" w14:textId="77777777" w:rsidR="00C27CD4" w:rsidRPr="0028514E" w:rsidRDefault="00C27CD4" w:rsidP="006E5F9A">
      <w:pPr>
        <w:pStyle w:val="a4"/>
        <w:ind w:left="0"/>
      </w:pPr>
    </w:p>
    <w:p w14:paraId="61DA2BD8" w14:textId="77777777" w:rsidR="003B7027" w:rsidRPr="0028514E" w:rsidRDefault="00296A74" w:rsidP="006E5F9A">
      <w:pPr>
        <w:pStyle w:val="2"/>
      </w:pPr>
      <w:r w:rsidRPr="0028514E">
        <w:t>4.4</w:t>
      </w:r>
      <w:r w:rsidRPr="0028514E">
        <w:tab/>
        <w:t>Varoitukset ja käyttöön liittyvät varotoimet</w:t>
      </w:r>
    </w:p>
    <w:p w14:paraId="09D0FA9A" w14:textId="77777777" w:rsidR="00C27CD4" w:rsidRPr="009A3CB5" w:rsidRDefault="00C27CD4" w:rsidP="001C1F69">
      <w:pPr>
        <w:rPr>
          <w:lang w:val="fi-FI"/>
        </w:rPr>
      </w:pPr>
    </w:p>
    <w:p w14:paraId="312AA676" w14:textId="57E2D88C" w:rsidR="003B7027" w:rsidRPr="0028514E" w:rsidRDefault="00FF570B" w:rsidP="006E5F9A">
      <w:pPr>
        <w:pStyle w:val="a4"/>
        <w:ind w:left="0"/>
      </w:pPr>
      <w:r>
        <w:t>Avtozma</w:t>
      </w:r>
      <w:r w:rsidR="00296A74" w:rsidRPr="0028514E">
        <w:t>n ihon alle annettava lääkemuoto ei ole tarkoitettu annettavaksi laskimoon.</w:t>
      </w:r>
    </w:p>
    <w:p w14:paraId="4C40BF67" w14:textId="77777777" w:rsidR="003B7027" w:rsidRPr="0028514E" w:rsidRDefault="003B7027" w:rsidP="006E5F9A">
      <w:pPr>
        <w:pStyle w:val="a4"/>
        <w:ind w:left="0"/>
      </w:pPr>
    </w:p>
    <w:p w14:paraId="6AFBB7A5" w14:textId="77777777" w:rsidR="003B7027" w:rsidRPr="00CA43F5" w:rsidRDefault="00296A74" w:rsidP="006E5F9A">
      <w:pPr>
        <w:rPr>
          <w:i/>
          <w:lang w:val="fi-FI"/>
        </w:rPr>
      </w:pPr>
      <w:r w:rsidRPr="00CA43F5">
        <w:rPr>
          <w:i/>
          <w:lang w:val="fi-FI"/>
        </w:rPr>
        <w:t>Jäljitettävyys</w:t>
      </w:r>
    </w:p>
    <w:p w14:paraId="55C11DFD" w14:textId="77777777" w:rsidR="003B7027" w:rsidRPr="0028514E" w:rsidRDefault="00296A74" w:rsidP="006E5F9A">
      <w:pPr>
        <w:pStyle w:val="a4"/>
        <w:ind w:left="0"/>
      </w:pPr>
      <w:r w:rsidRPr="0028514E">
        <w:t>Biologisten lääkevalmisteiden jäljitettävyyden parantamiseksi on annetun valmisteen nimi ja eränumero dokumentoitava selkeästi.</w:t>
      </w:r>
    </w:p>
    <w:p w14:paraId="6CA86639" w14:textId="77777777" w:rsidR="00C27CD4" w:rsidRPr="0028514E" w:rsidRDefault="00C27CD4" w:rsidP="006E5F9A">
      <w:pPr>
        <w:pStyle w:val="a4"/>
        <w:ind w:left="0"/>
      </w:pPr>
    </w:p>
    <w:p w14:paraId="13668774" w14:textId="77777777" w:rsidR="003B7027" w:rsidRPr="00CA43F5" w:rsidRDefault="00296A74" w:rsidP="006E5F9A">
      <w:pPr>
        <w:rPr>
          <w:i/>
          <w:lang w:val="fi-FI"/>
        </w:rPr>
      </w:pPr>
      <w:r w:rsidRPr="00CA43F5">
        <w:rPr>
          <w:i/>
          <w:lang w:val="fi-FI"/>
        </w:rPr>
        <w:t>Infektiot</w:t>
      </w:r>
    </w:p>
    <w:p w14:paraId="5F673299" w14:textId="59C58076" w:rsidR="003B7027" w:rsidRPr="0028514E" w:rsidRDefault="00296A74" w:rsidP="006E5F9A">
      <w:pPr>
        <w:pStyle w:val="a4"/>
        <w:ind w:left="0"/>
      </w:pPr>
      <w:r w:rsidRPr="0028514E">
        <w:t xml:space="preserve">Vakavia ja joskus kuolemaan johtaneita infektioita on raportoitu potilailla, jotka ovat saaneet immunosuppressiivisia lääkkeitä mukaan lukien </w:t>
      </w:r>
      <w:r w:rsidR="00FF570B">
        <w:t>tosilitsumabia</w:t>
      </w:r>
      <w:r w:rsidR="00FF570B" w:rsidRPr="0028514E">
        <w:t xml:space="preserve"> </w:t>
      </w:r>
      <w:r w:rsidRPr="0028514E">
        <w:t xml:space="preserve">(ks. kohta 4.8). </w:t>
      </w:r>
      <w:r w:rsidR="00FF570B">
        <w:t>Avtozma</w:t>
      </w:r>
      <w:r w:rsidRPr="0028514E">
        <w:t xml:space="preserve">-hoitoa ei saa aloittaa, jos potilaalla on aktiivinen infektio (ks. kohta 4.3). Jos potilaalle kehittyy vakava infektio, </w:t>
      </w:r>
      <w:r w:rsidR="00FF570B">
        <w:t>Tosilitsumabi</w:t>
      </w:r>
      <w:r w:rsidRPr="0028514E">
        <w:t xml:space="preserve">hoito on keskeytettävä, kunnes infektio on saatu hallintaan (ks. kohta 4.8). </w:t>
      </w:r>
      <w:r w:rsidR="00FF570B">
        <w:t>Avtozma-v</w:t>
      </w:r>
      <w:r w:rsidRPr="0028514E">
        <w:t>almisteen käyttöä harkitessaan lääkärin on noudatettava varovaisuutta, jos potilaalla on aikaisemmin esiintynyt uusiutuvia tai kroonisia infektioita tai jos hänellä on infektioalttiutta lisäävä perussairaus (esim. divertikuliitti, diabetes ja interstitiaalinen keuhkosairaus).</w:t>
      </w:r>
    </w:p>
    <w:p w14:paraId="150D0009" w14:textId="77777777" w:rsidR="00C27CD4" w:rsidRPr="0028514E" w:rsidRDefault="00C27CD4" w:rsidP="006E5F9A">
      <w:pPr>
        <w:pStyle w:val="a4"/>
        <w:ind w:left="0"/>
      </w:pPr>
    </w:p>
    <w:p w14:paraId="2EC714B0" w14:textId="480104F0" w:rsidR="003B7027" w:rsidRPr="0028514E" w:rsidRDefault="00296A74" w:rsidP="006E5F9A">
      <w:pPr>
        <w:pStyle w:val="a4"/>
        <w:ind w:left="0"/>
      </w:pPr>
      <w:r w:rsidRPr="0028514E">
        <w:lastRenderedPageBreak/>
        <w:t xml:space="preserve">Käytettäessä immunosuppressiivisia lääkkeitä, kuten </w:t>
      </w:r>
      <w:r w:rsidR="00FF570B">
        <w:t>Avtozma</w:t>
      </w:r>
      <w:r w:rsidRPr="0028514E">
        <w:t xml:space="preserve">a, potilaiden tilaa on seurattava tarkoin, jotta mahdolliset vakavat infektiot havaitaan ajoissa, sillä akuutin vaiheen reaktion estyminen voi heikentää akuutin tulehduksen oireita. Potilaan mahdollista infektiota arvioitaessa tulisi huomioida </w:t>
      </w:r>
      <w:r w:rsidR="00FF570B">
        <w:t>Avtozma</w:t>
      </w:r>
      <w:r w:rsidRPr="0028514E">
        <w:t>n vaikutukset C-reaktiiviseen proteiiniin (CRP), neutrofiileihin ja infektion oireisiin.</w:t>
      </w:r>
      <w:r w:rsidR="00C27CD4" w:rsidRPr="0028514E">
        <w:t xml:space="preserve"> </w:t>
      </w:r>
      <w:r w:rsidRPr="0028514E">
        <w:t>Potilaita ja yleisoireista lastenreumaa tai polyartriittia sairastavien potilaiden vanhempia/huoltajia pitää ohjeistaa ottamaan heti yhteyttä terveydenhoitohenkilöstöön, jos he havaitsevat mitä tahansa infektioon viittaavia oireita, jotta tutkimukset ja hoito voidaan aloittaa mahdollisimman nopeasti.</w:t>
      </w:r>
    </w:p>
    <w:p w14:paraId="26717F5A" w14:textId="77777777" w:rsidR="00C27CD4" w:rsidRPr="00CA43F5" w:rsidRDefault="00C27CD4" w:rsidP="006E5F9A">
      <w:pPr>
        <w:rPr>
          <w:i/>
          <w:lang w:val="fi-FI"/>
        </w:rPr>
      </w:pPr>
    </w:p>
    <w:p w14:paraId="6B2F6A3F" w14:textId="77777777" w:rsidR="003B7027" w:rsidRPr="00CA43F5" w:rsidRDefault="00296A74" w:rsidP="006E5F9A">
      <w:pPr>
        <w:rPr>
          <w:i/>
          <w:lang w:val="fi-FI"/>
        </w:rPr>
      </w:pPr>
      <w:r w:rsidRPr="00CA43F5">
        <w:rPr>
          <w:i/>
          <w:lang w:val="fi-FI"/>
        </w:rPr>
        <w:t>Tuberkuloosi</w:t>
      </w:r>
    </w:p>
    <w:p w14:paraId="150BE8D4" w14:textId="7CF7ED16" w:rsidR="003B7027" w:rsidRPr="0028514E" w:rsidRDefault="00296A74" w:rsidP="006E5F9A">
      <w:pPr>
        <w:pStyle w:val="a4"/>
        <w:ind w:left="0"/>
      </w:pPr>
      <w:r w:rsidRPr="0028514E">
        <w:t xml:space="preserve">Kuten muitakin biologisia lääkkeitä käytettäessä latentin tuberkuloosin poissulkemista seulontatutkimusten avulla suositellaan kaikilla potilailla ennen </w:t>
      </w:r>
      <w:r w:rsidR="00FF570B">
        <w:t>Avtozma</w:t>
      </w:r>
      <w:r w:rsidRPr="0028514E">
        <w:t xml:space="preserve">-hoidon aloittamista. Jos latentti tuberkuloosi todetaan, se on hoidettava tavanomaisilla mykobakteerilääkkeillä ennen kuin </w:t>
      </w:r>
      <w:r w:rsidR="00FF570B">
        <w:t>Avtozma</w:t>
      </w:r>
      <w:r w:rsidRPr="0028514E">
        <w:t>-hoito aloitetaan. Lääkettä määrääviä lääkäreitä muistutetaan tuberkuliinikokeen ja verinäytteestä määritettävän IGRA-testin väärän negatiivisen tuloksen riskistä, varsinkin vaikeasti sairailla tai immuunipuutteisilla potilailla.</w:t>
      </w:r>
    </w:p>
    <w:p w14:paraId="04EFBCE6" w14:textId="77777777" w:rsidR="00C27CD4" w:rsidRPr="0028514E" w:rsidRDefault="00C27CD4" w:rsidP="006E5F9A">
      <w:pPr>
        <w:pStyle w:val="a4"/>
        <w:ind w:left="0"/>
      </w:pPr>
    </w:p>
    <w:p w14:paraId="7C2E79A6" w14:textId="4E4F5DA0" w:rsidR="003B7027" w:rsidRPr="0028514E" w:rsidRDefault="00296A74" w:rsidP="006E5F9A">
      <w:pPr>
        <w:pStyle w:val="a4"/>
        <w:ind w:left="0"/>
      </w:pPr>
      <w:r w:rsidRPr="0028514E">
        <w:t xml:space="preserve">Potilaita ja yleisoireista lastenreumaa tai polyartriittia sairastavien potilaiden vanhempia/huoltajia tulisi kehottaa ottamaan yhteyttä lääkäriin, jos </w:t>
      </w:r>
      <w:r w:rsidR="00FF570B">
        <w:t>Avtozma</w:t>
      </w:r>
      <w:r w:rsidRPr="0028514E">
        <w:t>-hoidon aikana tai sen jälkeen ilmenee tuberkuloosi-infektioon viittaavia merkkejä tai oireita (esim. itsepintainen yskä, kuihtuminen/painon lasku, lievä lämmönnousu).</w:t>
      </w:r>
    </w:p>
    <w:p w14:paraId="1DFDDB0E" w14:textId="77777777" w:rsidR="00C27CD4" w:rsidRPr="0028514E" w:rsidRDefault="00C27CD4" w:rsidP="006E5F9A">
      <w:pPr>
        <w:pStyle w:val="a4"/>
        <w:ind w:left="0"/>
      </w:pPr>
    </w:p>
    <w:p w14:paraId="2EC96468" w14:textId="77777777" w:rsidR="003B7027" w:rsidRPr="00CA43F5" w:rsidRDefault="00296A74" w:rsidP="006E5F9A">
      <w:pPr>
        <w:rPr>
          <w:i/>
          <w:lang w:val="fi-FI"/>
        </w:rPr>
      </w:pPr>
      <w:r w:rsidRPr="00CA43F5">
        <w:rPr>
          <w:i/>
          <w:lang w:val="fi-FI"/>
        </w:rPr>
        <w:t>Virustautien uudelleen aktivoituminen</w:t>
      </w:r>
    </w:p>
    <w:p w14:paraId="7F1DA5B8" w14:textId="55C7AE0C" w:rsidR="003B7027" w:rsidRPr="0028514E" w:rsidRDefault="00296A74" w:rsidP="006E5F9A">
      <w:pPr>
        <w:pStyle w:val="a4"/>
        <w:ind w:left="0"/>
      </w:pPr>
      <w:r w:rsidRPr="0028514E">
        <w:t xml:space="preserve">Virusten uudelleen aktivoitumista (esim. hepatiitti B -virus) on raportoitu biologisilla nivelreumalääkkeillä hoidetuilla potilailla. </w:t>
      </w:r>
      <w:r w:rsidR="00814758">
        <w:t>T</w:t>
      </w:r>
      <w:r w:rsidR="00FF570B">
        <w:t>osilitsumabin</w:t>
      </w:r>
      <w:r w:rsidR="00FF570B" w:rsidRPr="0028514E">
        <w:t xml:space="preserve"> </w:t>
      </w:r>
      <w:r w:rsidRPr="0028514E">
        <w:t>kliinisiin tutkimuksiin ei ole hyväksytty hepatiittipositiivisia potilaita.</w:t>
      </w:r>
    </w:p>
    <w:p w14:paraId="2F6B9009" w14:textId="77777777" w:rsidR="00C27CD4" w:rsidRPr="0028514E" w:rsidRDefault="00C27CD4" w:rsidP="006E5F9A">
      <w:pPr>
        <w:pStyle w:val="a4"/>
        <w:ind w:left="0"/>
      </w:pPr>
    </w:p>
    <w:p w14:paraId="4C817D6A" w14:textId="77777777" w:rsidR="003B7027" w:rsidRPr="00CA43F5" w:rsidRDefault="00296A74" w:rsidP="006E5F9A">
      <w:pPr>
        <w:rPr>
          <w:i/>
          <w:lang w:val="fi-FI"/>
        </w:rPr>
      </w:pPr>
      <w:r w:rsidRPr="00CA43F5">
        <w:rPr>
          <w:i/>
          <w:lang w:val="fi-FI"/>
        </w:rPr>
        <w:t>Divertikuliitin komplikaatiot</w:t>
      </w:r>
    </w:p>
    <w:p w14:paraId="1EB524AD" w14:textId="347074E1" w:rsidR="003B7027" w:rsidRPr="0028514E" w:rsidRDefault="00296A74" w:rsidP="006E5F9A">
      <w:pPr>
        <w:pStyle w:val="a4"/>
        <w:ind w:left="0"/>
      </w:pPr>
      <w:r w:rsidRPr="0028514E">
        <w:t xml:space="preserve">Melko harvinaisena divertikuliitin komplikaationa on raportoitu divertikkelien perforaatioita </w:t>
      </w:r>
      <w:r w:rsidR="00FF570B">
        <w:t>Avtozma</w:t>
      </w:r>
      <w:r w:rsidRPr="0028514E">
        <w:t xml:space="preserve">-hoitoa saaneilla potilailla (ks. kohta 4.8). </w:t>
      </w:r>
      <w:r w:rsidR="00FF570B">
        <w:t>Avtozma</w:t>
      </w:r>
      <w:r w:rsidRPr="0028514E">
        <w:t>a tulisi antaa varoen potilaille, joilla on aikaisemmin esiintynyt suoliston haavaumia tai divertikuliittia. Jos potilaalle ilmaantuu komplisoituneeseen divertikuliittiin viittaavia oireita, kuten vatsakipua, verenvuotoa ja/tai selittämättömiä muutoksia suolen toiminnassa ja kuumetta, potilas on tutkittava heti, jotta divertikuliitti ja siihen mahdollisesti liittyvä suolen puhkeaminen havaitaan mahdollisimman varhaisessa vaiheessa.</w:t>
      </w:r>
    </w:p>
    <w:p w14:paraId="264CBA2B" w14:textId="77777777" w:rsidR="00C27CD4" w:rsidRPr="0028514E" w:rsidRDefault="00C27CD4" w:rsidP="006E5F9A">
      <w:pPr>
        <w:pStyle w:val="a4"/>
        <w:ind w:left="0"/>
      </w:pPr>
    </w:p>
    <w:p w14:paraId="688EDBBC" w14:textId="77777777" w:rsidR="003B7027" w:rsidRPr="00CA43F5" w:rsidRDefault="00296A74" w:rsidP="006E5F9A">
      <w:pPr>
        <w:rPr>
          <w:i/>
          <w:lang w:val="fi-FI"/>
        </w:rPr>
      </w:pPr>
      <w:r w:rsidRPr="00CA43F5">
        <w:rPr>
          <w:i/>
          <w:lang w:val="fi-FI"/>
        </w:rPr>
        <w:t>Yliherkkyysreaktiot</w:t>
      </w:r>
    </w:p>
    <w:p w14:paraId="4B90AC83" w14:textId="3AA82F95" w:rsidR="003B7027" w:rsidRPr="0028514E" w:rsidRDefault="00296A74" w:rsidP="006E5F9A">
      <w:pPr>
        <w:pStyle w:val="a4"/>
        <w:ind w:left="0"/>
      </w:pPr>
      <w:r w:rsidRPr="0028514E">
        <w:t xml:space="preserve">Vakavia yliherkkyysreaktioita, anafylaksiaa mukaan lukien, on raportoitu </w:t>
      </w:r>
      <w:r w:rsidR="00FF570B">
        <w:t>tosilitsumabin</w:t>
      </w:r>
      <w:r w:rsidR="00FF570B" w:rsidRPr="0028514E">
        <w:t xml:space="preserve"> </w:t>
      </w:r>
      <w:r w:rsidRPr="0028514E">
        <w:t xml:space="preserve">käytön yhteydessä (ks. kohta 4.8). Reaktiot voivat olla vaikeampia ja mahdollisesti fataaleja niillä potilailla, jotka ovat kokeneet yliherkkyysreaktioita aikaisemman </w:t>
      </w:r>
      <w:r w:rsidR="00FF570B">
        <w:t>Avtozma</w:t>
      </w:r>
      <w:r w:rsidRPr="0028514E">
        <w:t xml:space="preserve">-hoidon yhteydessä, vaikka heille annetaan esilääkityksenä steroideja ja antihistamiineja. Anafylaktisen tai muun vakavan yliherkkyysreaktion ilmaantuessa, </w:t>
      </w:r>
      <w:r w:rsidR="00FF570B">
        <w:t>Avtozma</w:t>
      </w:r>
      <w:r w:rsidRPr="0028514E">
        <w:t xml:space="preserve">n anto on heti keskeytettävä, asianmukainen hoito on aloitettava ja </w:t>
      </w:r>
      <w:r w:rsidR="00FF570B">
        <w:t>Avtozma</w:t>
      </w:r>
      <w:r w:rsidRPr="0028514E">
        <w:t>-hoito on lopetettava pysyvästi.</w:t>
      </w:r>
    </w:p>
    <w:p w14:paraId="0837090A" w14:textId="77777777" w:rsidR="00C27CD4" w:rsidRPr="0028514E" w:rsidRDefault="00C27CD4" w:rsidP="006E5F9A">
      <w:pPr>
        <w:pStyle w:val="a4"/>
        <w:ind w:left="0"/>
      </w:pPr>
    </w:p>
    <w:p w14:paraId="42628A3E" w14:textId="77777777" w:rsidR="003B7027" w:rsidRPr="00CA43F5" w:rsidRDefault="00296A74" w:rsidP="006E5F9A">
      <w:pPr>
        <w:rPr>
          <w:i/>
          <w:lang w:val="fi-FI"/>
        </w:rPr>
      </w:pPr>
      <w:r w:rsidRPr="00CA43F5">
        <w:rPr>
          <w:i/>
          <w:lang w:val="fi-FI"/>
        </w:rPr>
        <w:t>Aktiivinen maksasairaus ja maksan vajaatoiminta</w:t>
      </w:r>
    </w:p>
    <w:p w14:paraId="595E3C8C" w14:textId="7AA08DAA" w:rsidR="003B7027" w:rsidRPr="0028514E" w:rsidRDefault="00FF570B" w:rsidP="006E5F9A">
      <w:pPr>
        <w:pStyle w:val="a4"/>
        <w:ind w:left="0"/>
      </w:pPr>
      <w:r>
        <w:t>Avtozma</w:t>
      </w:r>
      <w:r w:rsidR="00296A74" w:rsidRPr="0028514E">
        <w:t>-hoitoon voi liittyä kohonneita aminotransferaasiarvoja, varsinkin jos sitä annetaan yhdessä MTX:n kanssa. Siksi on noudatettava varovaisuutta, jos harkitaan hoidon aloittamista potilaille, joilla on aktiivinen maksasairaus tai maksan vajaatoiminta (ks. kohdat 4.2 ja 4.8).</w:t>
      </w:r>
    </w:p>
    <w:p w14:paraId="0F45A067" w14:textId="77777777" w:rsidR="00C27CD4" w:rsidRPr="0028514E" w:rsidRDefault="00C27CD4" w:rsidP="006E5F9A">
      <w:pPr>
        <w:pStyle w:val="a4"/>
        <w:ind w:left="0"/>
      </w:pPr>
    </w:p>
    <w:p w14:paraId="7D274537" w14:textId="77777777" w:rsidR="003B7027" w:rsidRPr="00CA43F5" w:rsidRDefault="00296A74" w:rsidP="006E5F9A">
      <w:pPr>
        <w:rPr>
          <w:i/>
          <w:lang w:val="fi-FI"/>
        </w:rPr>
      </w:pPr>
      <w:r w:rsidRPr="00CA43F5">
        <w:rPr>
          <w:i/>
          <w:lang w:val="fi-FI"/>
        </w:rPr>
        <w:t>Maksatoksisuus</w:t>
      </w:r>
    </w:p>
    <w:p w14:paraId="669738DA" w14:textId="32E466B2" w:rsidR="003B7027" w:rsidRPr="0028514E" w:rsidRDefault="00296A74" w:rsidP="006E5F9A">
      <w:pPr>
        <w:pStyle w:val="a4"/>
        <w:ind w:left="0"/>
      </w:pPr>
      <w:r w:rsidRPr="0028514E">
        <w:t xml:space="preserve">Ohimenevää tai jaksottaista lievää tai kohtalaista maksan aminotransferaasiarvojen nousua on raportoitu yleisesti </w:t>
      </w:r>
      <w:r w:rsidR="00FF570B">
        <w:t>tosilitsumabi</w:t>
      </w:r>
      <w:r w:rsidRPr="0028514E">
        <w:t xml:space="preserve">hoidon yhteydessä (ks. kohta 4.8). Kohonneita arvoja havaittiin enemmän, kun </w:t>
      </w:r>
      <w:r w:rsidR="00FF570B">
        <w:t>tosilitsumabi</w:t>
      </w:r>
      <w:r w:rsidRPr="0028514E">
        <w:t>hoitoon yhdistettiin jokin mahdollisesti maksatoksinen lääke (esim. MTX). Muita maksantoimintakokeissa ilmenevien yhdisteiden määritystä, kuten bilirubiini, on harkittava kliinisen tarpeen mukaan.</w:t>
      </w:r>
    </w:p>
    <w:p w14:paraId="526CF65C" w14:textId="77777777" w:rsidR="00C27CD4" w:rsidRPr="0028514E" w:rsidRDefault="00C27CD4" w:rsidP="006E5F9A">
      <w:pPr>
        <w:pStyle w:val="a4"/>
        <w:ind w:left="0"/>
      </w:pPr>
    </w:p>
    <w:p w14:paraId="3934083B" w14:textId="04F66B0E" w:rsidR="003B7027" w:rsidRPr="0028514E" w:rsidRDefault="00BA3A23" w:rsidP="006E5F9A">
      <w:pPr>
        <w:pStyle w:val="a4"/>
        <w:ind w:left="0"/>
      </w:pPr>
      <w:r>
        <w:t>Tosilitsumabi</w:t>
      </w:r>
      <w:r w:rsidR="00296A74" w:rsidRPr="0028514E">
        <w:t xml:space="preserve">hoitoa saaneilla potilailla on havaittu vakavia lääkkeestä aiheutuneita maksavaurioita, mukaan lukien akuutti maksan vajaatoiminta, hepatiitti ja ikterus (ks. kohta 4.8). Vakava maksavaurio </w:t>
      </w:r>
      <w:r w:rsidR="00296A74" w:rsidRPr="0028514E">
        <w:lastRenderedPageBreak/>
        <w:t xml:space="preserve">ilmeni kahdesta viikosta yli viiteen vuoteen </w:t>
      </w:r>
      <w:r>
        <w:t>tosilitsumabin</w:t>
      </w:r>
      <w:r w:rsidRPr="0028514E">
        <w:t xml:space="preserve"> </w:t>
      </w:r>
      <w:r w:rsidR="00296A74" w:rsidRPr="0028514E">
        <w:t>käytön aloittamisesta. Maksansiirron vaativia maksan vajaatoimintatapauksia on raportoitu. Potilaita tulee neuvoa ottamaan yhteyttä lääkäriin heti, jos maksavaurion oireita ilmaantuu.</w:t>
      </w:r>
    </w:p>
    <w:p w14:paraId="1C2C8CFD" w14:textId="77777777" w:rsidR="003B7027" w:rsidRPr="0028514E" w:rsidRDefault="003B7027" w:rsidP="006E5F9A">
      <w:pPr>
        <w:pStyle w:val="a4"/>
        <w:ind w:left="0"/>
      </w:pPr>
    </w:p>
    <w:p w14:paraId="7429794F" w14:textId="7C75BBBE" w:rsidR="003B7027" w:rsidRPr="0028514E" w:rsidRDefault="00296A74" w:rsidP="00A14525">
      <w:pPr>
        <w:pStyle w:val="a4"/>
        <w:ind w:left="0"/>
      </w:pPr>
      <w:r w:rsidRPr="0028514E">
        <w:t xml:space="preserve">Varovaisuutta on noudatettava harkittaessa </w:t>
      </w:r>
      <w:r w:rsidR="00BA3A23">
        <w:t>Avtozma</w:t>
      </w:r>
      <w:r w:rsidRPr="0028514E">
        <w:t>-hoidon aloittamista potilaille, joiden kohonneet ALAT- tai ASAT-arvot ovat &gt; 1,5 x viitevälin yläraja. Hoitoa ei suositella potilaille, joiden ALAT- tai ASAT-arvot hoidon alussa ovat &gt; 5 x viitevälin yläraja.</w:t>
      </w:r>
    </w:p>
    <w:p w14:paraId="761FBCC3" w14:textId="77777777" w:rsidR="00C27CD4" w:rsidRPr="0028514E" w:rsidRDefault="00C27CD4" w:rsidP="00A14525">
      <w:pPr>
        <w:pStyle w:val="a4"/>
        <w:ind w:left="0"/>
      </w:pPr>
    </w:p>
    <w:p w14:paraId="3A9988CA" w14:textId="49BAE978" w:rsidR="003B7027" w:rsidRPr="0028514E" w:rsidRDefault="00296A74" w:rsidP="00A14525">
      <w:pPr>
        <w:pStyle w:val="a4"/>
        <w:ind w:left="0"/>
      </w:pPr>
      <w:r w:rsidRPr="0028514E">
        <w:t xml:space="preserve">Nivelreuma- ja jättisoluarteriittipotilaiden sekä yleisoireista lastenreumaa tai polyartriittia sairastavien potilaiden ALAT- ja ASAT-arvoja on seurattava joka 4.–8. viikko hoidon kuuden ensimmäisen kuukauden aikana ja sen jälkeen joka 12. viikko. Suositukset annoksen muuttamisesta aminotransferaasiarvojen perusteella, mukaan lukien </w:t>
      </w:r>
      <w:r w:rsidR="00BA3A23">
        <w:t>Avtozma</w:t>
      </w:r>
      <w:r w:rsidRPr="0028514E">
        <w:t xml:space="preserve">-hoidon lopettamista, ks. kohta 4.2. Jos ASAT- tai ALAT-arvojen nousu on &gt; 3–5 x viitevälin yläraja, </w:t>
      </w:r>
      <w:r w:rsidR="00BA3A23">
        <w:t>Avtozma</w:t>
      </w:r>
      <w:r w:rsidRPr="0028514E">
        <w:t>-hoito on keskeytettävä.</w:t>
      </w:r>
    </w:p>
    <w:p w14:paraId="2F218247" w14:textId="77777777" w:rsidR="003B7027" w:rsidRPr="0028514E" w:rsidRDefault="003B7027" w:rsidP="00A14525">
      <w:pPr>
        <w:pStyle w:val="a4"/>
        <w:ind w:left="0"/>
      </w:pPr>
    </w:p>
    <w:p w14:paraId="338FAFEA" w14:textId="77777777" w:rsidR="003B7027" w:rsidRPr="00CA43F5" w:rsidRDefault="00296A74" w:rsidP="00A14525">
      <w:pPr>
        <w:rPr>
          <w:i/>
          <w:lang w:val="fi-FI"/>
        </w:rPr>
      </w:pPr>
      <w:r w:rsidRPr="00CA43F5">
        <w:rPr>
          <w:i/>
          <w:lang w:val="fi-FI"/>
        </w:rPr>
        <w:t>Hematologiset poikkeamat</w:t>
      </w:r>
    </w:p>
    <w:p w14:paraId="2A5C80D8" w14:textId="229B80F4" w:rsidR="003B7027" w:rsidRPr="0028514E" w:rsidRDefault="00296A74" w:rsidP="00A14525">
      <w:pPr>
        <w:pStyle w:val="a4"/>
        <w:ind w:left="0"/>
      </w:pPr>
      <w:r w:rsidRPr="0028514E">
        <w:t xml:space="preserve">Neutrofiili- ja trombosyyttiarvon laskua on esiintynyt, kun </w:t>
      </w:r>
      <w:r w:rsidR="00BA3A23">
        <w:t>tosilitsumabia</w:t>
      </w:r>
      <w:r w:rsidR="00BA3A23" w:rsidRPr="0028514E">
        <w:t xml:space="preserve"> </w:t>
      </w:r>
      <w:r w:rsidRPr="0028514E">
        <w:t>on annettu 8 mg/kg yhdessä MTX:n kanssa (ks. kohta 4.8). Neutropenian riski voi olla suurentunut, jos potilasta on aikaisemmin hoidettu TNF-estäjällä.</w:t>
      </w:r>
    </w:p>
    <w:p w14:paraId="39C7BA55" w14:textId="77777777" w:rsidR="003B7027" w:rsidRPr="0028514E" w:rsidRDefault="003B7027" w:rsidP="00A14525">
      <w:pPr>
        <w:pStyle w:val="a4"/>
        <w:ind w:left="0"/>
      </w:pPr>
    </w:p>
    <w:p w14:paraId="3E441CE1" w14:textId="37499969" w:rsidR="003B7027" w:rsidRPr="0028514E" w:rsidRDefault="00296A74" w:rsidP="00A14525">
      <w:pPr>
        <w:pStyle w:val="a4"/>
        <w:ind w:left="0"/>
      </w:pPr>
      <w:r w:rsidRPr="0028514E">
        <w:t xml:space="preserve">Aiemmin </w:t>
      </w:r>
      <w:r w:rsidR="00BA3A23">
        <w:t>tosilitsumabi</w:t>
      </w:r>
      <w:r w:rsidRPr="0028514E">
        <w:t>lla hoitamattomille potilaille ei suositella hoidon aloitusta, jos ANC (absoluuttinen neutrofiilien määrä) on &lt; 2 x 10</w:t>
      </w:r>
      <w:r w:rsidRPr="0028514E">
        <w:rPr>
          <w:vertAlign w:val="superscript"/>
        </w:rPr>
        <w:t>9</w:t>
      </w:r>
      <w:r w:rsidRPr="0028514E">
        <w:t xml:space="preserve">/l. Varovaisuutta on noudatettava harkittaessa </w:t>
      </w:r>
      <w:r w:rsidR="00BA3A23">
        <w:t>tosilitsumabi</w:t>
      </w:r>
      <w:r w:rsidRPr="0028514E">
        <w:t>hoidon aloittamista potilaille, joiden trombosyyttiarvo on alentunut (trombosyyttiarvo alle 100 x 10</w:t>
      </w:r>
      <w:r w:rsidRPr="0028514E">
        <w:rPr>
          <w:vertAlign w:val="superscript"/>
        </w:rPr>
        <w:t>3</w:t>
      </w:r>
      <w:r w:rsidRPr="0028514E">
        <w:t>/μl). Hoidon jatkamista ei suositella, jos potilaan ANC on &lt; 0,5 x 10</w:t>
      </w:r>
      <w:r w:rsidRPr="0028514E">
        <w:rPr>
          <w:vertAlign w:val="superscript"/>
        </w:rPr>
        <w:t>9</w:t>
      </w:r>
      <w:r w:rsidRPr="0028514E">
        <w:t>/l tai trombosyyttiarvo</w:t>
      </w:r>
      <w:r w:rsidR="00C27CD4" w:rsidRPr="0028514E">
        <w:t xml:space="preserve"> </w:t>
      </w:r>
      <w:r w:rsidRPr="0028514E">
        <w:t>&lt; 50 x 10</w:t>
      </w:r>
      <w:r w:rsidRPr="0028514E">
        <w:rPr>
          <w:vertAlign w:val="superscript"/>
        </w:rPr>
        <w:t>3</w:t>
      </w:r>
      <w:r w:rsidRPr="0028514E">
        <w:t>/μl.</w:t>
      </w:r>
    </w:p>
    <w:p w14:paraId="5614C0F3" w14:textId="77777777" w:rsidR="00C27CD4" w:rsidRPr="0028514E" w:rsidRDefault="00C27CD4" w:rsidP="00A14525">
      <w:pPr>
        <w:pStyle w:val="a4"/>
        <w:ind w:left="0"/>
      </w:pPr>
    </w:p>
    <w:p w14:paraId="753B029D" w14:textId="1D8F1D6D" w:rsidR="003B7027" w:rsidRPr="0028514E" w:rsidRDefault="00296A74" w:rsidP="006E5F9A">
      <w:pPr>
        <w:pStyle w:val="a4"/>
        <w:ind w:left="0"/>
      </w:pPr>
      <w:r w:rsidRPr="0028514E">
        <w:t xml:space="preserve">Vaikeaan neutropeniaan voi liittyä vakavien infektioiden kohonnut riski. </w:t>
      </w:r>
      <w:r w:rsidR="00BA3A23">
        <w:t>Tosilitsumabi</w:t>
      </w:r>
      <w:r w:rsidRPr="0028514E">
        <w:t>n kliinisissä tutkimuksissa ei ole tähän mennessä ilmennyt selvää yhteyttä alentuneiden neutrofiiliarvojen ja vakavien infektiotapausten välillä.</w:t>
      </w:r>
    </w:p>
    <w:p w14:paraId="73E04727" w14:textId="77777777" w:rsidR="003B7027" w:rsidRPr="0028514E" w:rsidRDefault="003B7027" w:rsidP="006E5F9A">
      <w:pPr>
        <w:pStyle w:val="a4"/>
        <w:ind w:left="0"/>
      </w:pPr>
    </w:p>
    <w:p w14:paraId="7E16A8C3" w14:textId="77777777" w:rsidR="003B7027" w:rsidRPr="0028514E" w:rsidRDefault="00296A74" w:rsidP="006E5F9A">
      <w:pPr>
        <w:pStyle w:val="a4"/>
        <w:ind w:left="0"/>
      </w:pPr>
      <w:r w:rsidRPr="0028514E">
        <w:t>Nivelreuma- ja jättisoluarteriittipotilailla neutrofiili- ja trombosyyttiarvoja on seurattava 4–8 viikon ajan hoidon alkamisesta ja myöhemmin normaalin kliinisen käytännön mukaan. Suositukset annoksen muuttamisesta ANC- ja trombosyyttiarvojen mukaan, ks. kohta 4.2.</w:t>
      </w:r>
    </w:p>
    <w:p w14:paraId="46553BF2" w14:textId="77777777" w:rsidR="003B7027" w:rsidRPr="0028514E" w:rsidRDefault="003B7027" w:rsidP="006E5F9A">
      <w:pPr>
        <w:pStyle w:val="a4"/>
        <w:ind w:left="0"/>
      </w:pPr>
    </w:p>
    <w:p w14:paraId="4EE99D89" w14:textId="77777777" w:rsidR="003B7027" w:rsidRPr="0028514E" w:rsidRDefault="00296A74" w:rsidP="006E5F9A">
      <w:pPr>
        <w:pStyle w:val="a4"/>
        <w:ind w:left="0"/>
      </w:pPr>
      <w:r w:rsidRPr="0028514E">
        <w:t>Yleisoireista lastenreumaa ja polyartriittia sairastavilla lapsipotilailla neutrofiili- ja trombosyyttiarvoja on seurattava toisen antokerran yhteydessä ja sen jälkeen hyvän hoitokäytännön mukaan (ks.</w:t>
      </w:r>
      <w:r w:rsidR="00C27CD4" w:rsidRPr="0028514E">
        <w:t xml:space="preserve"> </w:t>
      </w:r>
      <w:r w:rsidRPr="0028514E">
        <w:t>kohta 4.2).</w:t>
      </w:r>
    </w:p>
    <w:p w14:paraId="734D7CD0" w14:textId="77777777" w:rsidR="00C27CD4" w:rsidRPr="0028514E" w:rsidRDefault="00C27CD4" w:rsidP="006E5F9A">
      <w:pPr>
        <w:pStyle w:val="a4"/>
        <w:ind w:left="0"/>
      </w:pPr>
    </w:p>
    <w:p w14:paraId="7EBA34EA" w14:textId="77777777" w:rsidR="003B7027" w:rsidRPr="00CA43F5" w:rsidRDefault="00296A74" w:rsidP="006E5F9A">
      <w:pPr>
        <w:rPr>
          <w:i/>
          <w:lang w:val="fi-FI"/>
        </w:rPr>
      </w:pPr>
      <w:r w:rsidRPr="00CA43F5">
        <w:rPr>
          <w:i/>
          <w:lang w:val="fi-FI"/>
        </w:rPr>
        <w:t>Veren rasva-arvot</w:t>
      </w:r>
    </w:p>
    <w:p w14:paraId="488CF0DD" w14:textId="16688EA1" w:rsidR="003B7027" w:rsidRPr="0028514E" w:rsidRDefault="00296A74" w:rsidP="006E5F9A">
      <w:pPr>
        <w:pStyle w:val="a4"/>
        <w:ind w:left="0"/>
      </w:pPr>
      <w:r w:rsidRPr="0028514E">
        <w:t xml:space="preserve">Veren rasva-arvojen, kuten kokonaiskolesterolin, LDL- ja HDL-kolesterolin sekä triglyseridien, nousua havaittiin </w:t>
      </w:r>
      <w:r w:rsidR="00BA3A23" w:rsidRPr="00BA3A23">
        <w:t>tosilitsumabi</w:t>
      </w:r>
      <w:r w:rsidR="00BA3A23">
        <w:t>lla</w:t>
      </w:r>
      <w:r w:rsidRPr="0028514E">
        <w:t xml:space="preserve"> hoidetuilla potilailla (ks. kohta 4.8). Suurimmalla osalla potilaista ei havaittu aterogeenisen vaikutuksen lisääntymistä. Kohonneet kokonaiskolesteroliarvot saatiin yleensä hallintaan kolesterolia alentavilla lääkkeillä.</w:t>
      </w:r>
    </w:p>
    <w:p w14:paraId="620131DD" w14:textId="77777777" w:rsidR="003B7027" w:rsidRPr="0028514E" w:rsidRDefault="003B7027" w:rsidP="006E5F9A">
      <w:pPr>
        <w:pStyle w:val="a4"/>
        <w:ind w:left="0"/>
      </w:pPr>
    </w:p>
    <w:p w14:paraId="62E2D47C" w14:textId="44347A86" w:rsidR="003B7027" w:rsidRPr="0028514E" w:rsidRDefault="00296A74" w:rsidP="006E5F9A">
      <w:pPr>
        <w:pStyle w:val="a4"/>
        <w:ind w:left="0"/>
      </w:pPr>
      <w:r w:rsidRPr="0028514E">
        <w:t xml:space="preserve">Nivelreumaa tai jättisoluarteriittia sairastavilla potilailla rasva-arvot on määritettävä 4–8 viikon kuluttua </w:t>
      </w:r>
      <w:r w:rsidR="00BA3A23" w:rsidRPr="00BA3A23">
        <w:t>tosilitsumabi</w:t>
      </w:r>
      <w:r w:rsidRPr="0028514E">
        <w:t>hoidon aloittamisesta. Potilaita tulisi hoitaa hyperlipidemian paikallisten hoitosuositusten mukaisesti.</w:t>
      </w:r>
    </w:p>
    <w:p w14:paraId="32FE73C9" w14:textId="77777777" w:rsidR="00C27CD4" w:rsidRPr="0028514E" w:rsidRDefault="00C27CD4" w:rsidP="006E5F9A">
      <w:pPr>
        <w:pStyle w:val="a4"/>
        <w:ind w:left="0"/>
      </w:pPr>
    </w:p>
    <w:p w14:paraId="66ACBE95" w14:textId="77777777" w:rsidR="003B7027" w:rsidRPr="00CA43F5" w:rsidRDefault="00296A74" w:rsidP="006E5F9A">
      <w:pPr>
        <w:rPr>
          <w:i/>
          <w:lang w:val="fi-FI"/>
        </w:rPr>
      </w:pPr>
      <w:r w:rsidRPr="00CA43F5">
        <w:rPr>
          <w:i/>
          <w:lang w:val="fi-FI"/>
        </w:rPr>
        <w:t>Neurologiset häiriöt</w:t>
      </w:r>
    </w:p>
    <w:p w14:paraId="0C184ECC" w14:textId="2C4D3DD3" w:rsidR="003B7027" w:rsidRPr="0028514E" w:rsidRDefault="00296A74" w:rsidP="006E5F9A">
      <w:pPr>
        <w:pStyle w:val="a4"/>
        <w:ind w:left="0"/>
      </w:pPr>
      <w:r w:rsidRPr="0028514E">
        <w:t xml:space="preserve">Lääkäreiden tulisi kiinnittää erityistä huomiota oireisiin, jotka voivat viitata keskushermoston myeliinikadon puhkeamiseen. Toistaiseksi ei tiedetä, liittyykö </w:t>
      </w:r>
      <w:r w:rsidR="00BA3A23" w:rsidRPr="00BA3A23">
        <w:t>tosilitsumabi</w:t>
      </w:r>
      <w:r w:rsidRPr="0028514E">
        <w:t>hoitoon keskushermoston myeliinikatoa.</w:t>
      </w:r>
    </w:p>
    <w:p w14:paraId="1B939478" w14:textId="77777777" w:rsidR="003B7027" w:rsidRPr="0028514E" w:rsidRDefault="003B7027" w:rsidP="006E5F9A">
      <w:pPr>
        <w:pStyle w:val="a4"/>
        <w:ind w:left="0"/>
      </w:pPr>
    </w:p>
    <w:p w14:paraId="07B38774" w14:textId="77777777" w:rsidR="003B7027" w:rsidRPr="00CA43F5" w:rsidRDefault="00296A74" w:rsidP="006E5F9A">
      <w:pPr>
        <w:rPr>
          <w:i/>
          <w:lang w:val="fi-FI"/>
        </w:rPr>
      </w:pPr>
      <w:r w:rsidRPr="00CA43F5">
        <w:rPr>
          <w:i/>
          <w:lang w:val="fi-FI"/>
        </w:rPr>
        <w:t>Maligniteetti</w:t>
      </w:r>
    </w:p>
    <w:p w14:paraId="0D60280A" w14:textId="77777777" w:rsidR="003B7027" w:rsidRPr="0028514E" w:rsidRDefault="00296A74" w:rsidP="006E5F9A">
      <w:pPr>
        <w:pStyle w:val="a4"/>
        <w:ind w:left="0"/>
      </w:pPr>
      <w:r w:rsidRPr="0028514E">
        <w:t>Nivelreumapotilailla on lisääntynyt pahanlaatuisten kasvainten riski. Immunomodulatoriset lääkkeet voivat suurentaa tätä riskiä.</w:t>
      </w:r>
    </w:p>
    <w:p w14:paraId="3CECB244" w14:textId="77777777" w:rsidR="00C27CD4" w:rsidRPr="0028514E" w:rsidRDefault="00C27CD4" w:rsidP="006E5F9A">
      <w:pPr>
        <w:pStyle w:val="a4"/>
        <w:ind w:left="0"/>
      </w:pPr>
    </w:p>
    <w:p w14:paraId="5F7FC21A" w14:textId="77777777" w:rsidR="003B7027" w:rsidRPr="00CA43F5" w:rsidRDefault="00296A74" w:rsidP="006E5F9A">
      <w:pPr>
        <w:rPr>
          <w:i/>
          <w:lang w:val="fi-FI"/>
        </w:rPr>
      </w:pPr>
      <w:r w:rsidRPr="00CA43F5">
        <w:rPr>
          <w:i/>
          <w:lang w:val="fi-FI"/>
        </w:rPr>
        <w:t>Rokotukset</w:t>
      </w:r>
    </w:p>
    <w:p w14:paraId="434652C3" w14:textId="3CDD34FF" w:rsidR="003B7027" w:rsidRPr="0028514E" w:rsidRDefault="00296A74" w:rsidP="00A14525">
      <w:pPr>
        <w:pStyle w:val="a4"/>
        <w:ind w:left="0"/>
      </w:pPr>
      <w:r w:rsidRPr="0028514E">
        <w:lastRenderedPageBreak/>
        <w:t xml:space="preserve">Eläviä tai eläviä heikennettyjä taudinaiheuttajia sisältäviä rokotteita ei tulisi antaa </w:t>
      </w:r>
      <w:r w:rsidR="00BA3A23" w:rsidRPr="00BA3A23">
        <w:t>tosilitsumabi</w:t>
      </w:r>
      <w:r w:rsidRPr="0028514E">
        <w:t xml:space="preserve">hoidon aikana, sillä niiden kliinistä turvallisuutta ei ole osoitettu. Avoimessa satunnaistetussa tutkimuksessa </w:t>
      </w:r>
      <w:r w:rsidR="00BA3A23" w:rsidRPr="00BA3A23">
        <w:t>tosilitsumabi</w:t>
      </w:r>
      <w:r w:rsidR="00BA3A23">
        <w:t>n</w:t>
      </w:r>
      <w:r w:rsidR="00BA3A23" w:rsidRPr="00BA3A23" w:rsidDel="00BA3A23">
        <w:t xml:space="preserve"> </w:t>
      </w:r>
      <w:r w:rsidRPr="0028514E">
        <w:t xml:space="preserve">ja MTX:n yhdistelmällä hoidetut aikuiset nivelreumapotilaat saavuttivat tehokkaan vasteen sekä 23-valenttiselle pneumokokkipolysakkaridi- että jäykkäkouristusrokotteelle. Vaste oli verrattavissa pelkkää MTX-hoitoa saaneiden potilaiden vasteeseen. Kaikille potilaille, etenkin iäkkäille, suositellaan kaikkien ajantasaisten rokotusten antamista voimassa olevien rokotussuositusten mukaisesti ennen </w:t>
      </w:r>
      <w:r w:rsidR="00BA3A23" w:rsidRPr="00BA3A23">
        <w:t>tosilitsumabi</w:t>
      </w:r>
      <w:r w:rsidRPr="0028514E">
        <w:t xml:space="preserve">-hoidon aloittamista. Eläviä taudinaiheuttajia sisältävien rokotteiden antamisen ja </w:t>
      </w:r>
      <w:r w:rsidR="00BA3A23" w:rsidRPr="00BA3A23">
        <w:t>tosilitsumabi</w:t>
      </w:r>
      <w:r w:rsidRPr="0028514E">
        <w:t>-hoidon aloittamisen välillä on pidettävä tauko, jonka kesto on nykyisten immunosuppressantteja koskevien rokotussuositusten mukainen.</w:t>
      </w:r>
    </w:p>
    <w:p w14:paraId="7BE1CB38" w14:textId="77777777" w:rsidR="00C27CD4" w:rsidRPr="0028514E" w:rsidRDefault="00C27CD4" w:rsidP="00A14525">
      <w:pPr>
        <w:pStyle w:val="a4"/>
        <w:ind w:left="0"/>
      </w:pPr>
    </w:p>
    <w:p w14:paraId="203E0F05" w14:textId="77777777" w:rsidR="003B7027" w:rsidRPr="00CA43F5" w:rsidRDefault="00296A74" w:rsidP="00A14525">
      <w:pPr>
        <w:rPr>
          <w:i/>
          <w:lang w:val="fi-FI"/>
        </w:rPr>
      </w:pPr>
      <w:r w:rsidRPr="00CA43F5">
        <w:rPr>
          <w:i/>
          <w:lang w:val="fi-FI"/>
        </w:rPr>
        <w:t>Sydän- ja verisuonitautiriski</w:t>
      </w:r>
    </w:p>
    <w:p w14:paraId="07D2E70C" w14:textId="77777777" w:rsidR="003B7027" w:rsidRPr="0028514E" w:rsidRDefault="00296A74" w:rsidP="00A14525">
      <w:pPr>
        <w:pStyle w:val="a4"/>
        <w:ind w:left="0"/>
      </w:pPr>
      <w:r w:rsidRPr="0028514E">
        <w:t>Nivelreumapotilailla on suurentunut sydän- ja verisuonisairauksien riski, ja riskitekijöiden (esim. hypertensio, hyperlipidemia) hallinnan tulisi olla osa näiden potilaiden tavanomaista perushoitoa.</w:t>
      </w:r>
    </w:p>
    <w:p w14:paraId="40F65BA0" w14:textId="77777777" w:rsidR="00C27CD4" w:rsidRPr="0028514E" w:rsidRDefault="00C27CD4" w:rsidP="00A14525">
      <w:pPr>
        <w:pStyle w:val="a4"/>
        <w:ind w:left="0"/>
      </w:pPr>
    </w:p>
    <w:p w14:paraId="4625DFAB" w14:textId="77777777" w:rsidR="003B7027" w:rsidRPr="00CA43F5" w:rsidRDefault="00296A74" w:rsidP="00A14525">
      <w:pPr>
        <w:rPr>
          <w:i/>
          <w:lang w:val="fi-FI"/>
        </w:rPr>
      </w:pPr>
      <w:r w:rsidRPr="00CA43F5">
        <w:rPr>
          <w:i/>
          <w:lang w:val="fi-FI"/>
        </w:rPr>
        <w:t>Yhteiskäyttö TNF-estäjien kanssa</w:t>
      </w:r>
    </w:p>
    <w:p w14:paraId="36027518" w14:textId="75F86B22" w:rsidR="003B7027" w:rsidRPr="0028514E" w:rsidRDefault="00BA3A23" w:rsidP="00A14525">
      <w:pPr>
        <w:pStyle w:val="a4"/>
        <w:ind w:left="0"/>
      </w:pPr>
      <w:r>
        <w:t>Avtozman</w:t>
      </w:r>
      <w:r w:rsidRPr="0028514E">
        <w:t xml:space="preserve"> </w:t>
      </w:r>
      <w:r w:rsidR="00296A74" w:rsidRPr="0028514E">
        <w:t xml:space="preserve">käytöstä yhdessä TNF-estäjien tai muiden biologisten reumalääkkeiden kanssa ei ole kokemuksia nivelreumaa sairastavilla potilailla. </w:t>
      </w:r>
      <w:r>
        <w:t>Avtozman</w:t>
      </w:r>
      <w:r w:rsidRPr="0028514E">
        <w:t xml:space="preserve"> </w:t>
      </w:r>
      <w:r w:rsidR="00296A74" w:rsidRPr="0028514E">
        <w:t>käyttöä yhdessä muiden biologisten reumalääkkeiden kanssa ei suositella.</w:t>
      </w:r>
    </w:p>
    <w:p w14:paraId="0307A157" w14:textId="77777777" w:rsidR="006725DF" w:rsidRPr="00CA43F5" w:rsidRDefault="006725DF" w:rsidP="00A14525">
      <w:pPr>
        <w:rPr>
          <w:i/>
          <w:lang w:val="fi-FI"/>
        </w:rPr>
      </w:pPr>
    </w:p>
    <w:p w14:paraId="1752E89F" w14:textId="2221BACA" w:rsidR="003B7027" w:rsidRPr="00CA43F5" w:rsidRDefault="00296A74" w:rsidP="00A14525">
      <w:pPr>
        <w:rPr>
          <w:i/>
          <w:lang w:val="fi-FI"/>
        </w:rPr>
      </w:pPr>
      <w:r w:rsidRPr="00CA43F5">
        <w:rPr>
          <w:i/>
          <w:lang w:val="fi-FI"/>
        </w:rPr>
        <w:t>Jättisoluarteriitti</w:t>
      </w:r>
    </w:p>
    <w:p w14:paraId="62B2D980" w14:textId="5632FE4C" w:rsidR="003B7027" w:rsidRPr="0028514E" w:rsidRDefault="00BA3A23" w:rsidP="00A14525">
      <w:pPr>
        <w:pStyle w:val="a4"/>
        <w:ind w:left="0"/>
      </w:pPr>
      <w:r>
        <w:t>Avtozma</w:t>
      </w:r>
      <w:r w:rsidR="00296A74" w:rsidRPr="0028514E">
        <w:t>-monoterapiaa ei saa käyttää akuuttien relapsien hoitoon, koska sen tehoa niiden hoitoon ei ole varmistettu. Potilaalle pitää antaa glukokortikoideja lääkärin harkinnan ja hoitokäytännön mukaan.</w:t>
      </w:r>
    </w:p>
    <w:p w14:paraId="024EF71E" w14:textId="77777777" w:rsidR="00C27CD4" w:rsidRPr="0028514E" w:rsidRDefault="00C27CD4" w:rsidP="00A14525">
      <w:pPr>
        <w:pStyle w:val="a4"/>
        <w:ind w:left="0"/>
      </w:pPr>
    </w:p>
    <w:p w14:paraId="2A6AF7CA" w14:textId="77777777" w:rsidR="003B7027" w:rsidRPr="00CA43F5" w:rsidRDefault="00296A74" w:rsidP="00A14525">
      <w:pPr>
        <w:rPr>
          <w:i/>
          <w:lang w:val="fi-FI"/>
        </w:rPr>
      </w:pPr>
      <w:r w:rsidRPr="00CA43F5">
        <w:rPr>
          <w:i/>
          <w:lang w:val="fi-FI"/>
        </w:rPr>
        <w:t>Yleisoireista lastenreumaa sairastavat potilaat</w:t>
      </w:r>
    </w:p>
    <w:p w14:paraId="64B0DB92" w14:textId="7D5288B1" w:rsidR="003B7027" w:rsidRPr="0028514E" w:rsidRDefault="00296A74" w:rsidP="00A14525">
      <w:pPr>
        <w:pStyle w:val="a4"/>
        <w:ind w:left="0"/>
      </w:pPr>
      <w:r w:rsidRPr="0028514E">
        <w:t xml:space="preserve">Makrofagiaktivaatio-oireyhtymä (MAS) on vakava henkeä uhkaava tila, joka voi kehittyä yleisoireista lastenreumaa sairastaville potilaille. Kliinisissä tutkimuksissa </w:t>
      </w:r>
      <w:r w:rsidR="00BA3A23">
        <w:t>tosilitsumabia</w:t>
      </w:r>
      <w:r w:rsidR="00BA3A23" w:rsidRPr="0028514E">
        <w:t xml:space="preserve"> </w:t>
      </w:r>
      <w:r w:rsidRPr="0028514E">
        <w:t>ei ole tutkittu aktiivisen makrofagiaktivaatio-oireyhtymän oireita saaneilla potilailla.</w:t>
      </w:r>
    </w:p>
    <w:p w14:paraId="6FE4630D" w14:textId="77777777" w:rsidR="003B7027" w:rsidRDefault="003B7027" w:rsidP="00A14525">
      <w:pPr>
        <w:pStyle w:val="a4"/>
        <w:ind w:left="0"/>
      </w:pPr>
    </w:p>
    <w:p w14:paraId="40F84A1F" w14:textId="77777777" w:rsidR="00BA3A23" w:rsidRDefault="00BA3A23" w:rsidP="00BA3A23">
      <w:pPr>
        <w:pStyle w:val="a4"/>
        <w:ind w:left="0"/>
      </w:pPr>
      <w:r>
        <w:rPr>
          <w:u w:val="single"/>
        </w:rPr>
        <w:t>Apuaineet, joiden vaikutus tunnetaan</w:t>
      </w:r>
    </w:p>
    <w:p w14:paraId="130A7AE7" w14:textId="77777777" w:rsidR="00BA3A23" w:rsidRDefault="00BA3A23" w:rsidP="00BA3A23">
      <w:pPr>
        <w:pStyle w:val="a4"/>
        <w:ind w:left="0"/>
      </w:pPr>
      <w:r>
        <w:rPr>
          <w:i/>
          <w:iCs/>
        </w:rPr>
        <w:t>Polysorbaatti</w:t>
      </w:r>
    </w:p>
    <w:p w14:paraId="1419A4F8" w14:textId="44F9AEC7" w:rsidR="00BA3A23" w:rsidRPr="00E919A5" w:rsidRDefault="00BA3A23" w:rsidP="00BA3A23">
      <w:pPr>
        <w:pStyle w:val="a4"/>
        <w:ind w:left="0"/>
        <w:rPr>
          <w:rFonts w:eastAsia="맑은 고딕"/>
          <w:lang w:eastAsia="ko-KR"/>
        </w:rPr>
      </w:pPr>
      <w:r>
        <w:t>Yksi 162 mg:n esitäytetty kynä sisältää 0,2 mg polysorbaatti</w:t>
      </w:r>
      <w:r w:rsidR="00484863">
        <w:rPr>
          <w:rFonts w:eastAsia="맑은 고딕" w:hint="eastAsia"/>
          <w:lang w:eastAsia="ko-KR"/>
        </w:rPr>
        <w:t xml:space="preserve"> 80</w:t>
      </w:r>
      <w:r w:rsidR="0042468E">
        <w:rPr>
          <w:rFonts w:eastAsia="맑은 고딕"/>
          <w:lang w:eastAsia="ko-KR"/>
        </w:rPr>
        <w:t xml:space="preserve">:tä. </w:t>
      </w:r>
    </w:p>
    <w:p w14:paraId="2AA63EE5" w14:textId="1A9C5554" w:rsidR="00BA3A23" w:rsidRDefault="00BA3A23" w:rsidP="00A14525">
      <w:pPr>
        <w:pStyle w:val="a4"/>
        <w:ind w:left="0"/>
      </w:pPr>
      <w:r>
        <w:t>Polysorbaatit saattavat aiheuttaa allergisia reaktioita. Potilaiden, joilla on polysorbaattiallergia, ei pidä ottaa tätä lääkettä.</w:t>
      </w:r>
    </w:p>
    <w:p w14:paraId="79C19349" w14:textId="77777777" w:rsidR="00BA3A23" w:rsidRPr="0028514E" w:rsidRDefault="00BA3A23" w:rsidP="00A14525">
      <w:pPr>
        <w:pStyle w:val="a4"/>
        <w:ind w:left="0"/>
      </w:pPr>
    </w:p>
    <w:p w14:paraId="27B8E2F5" w14:textId="77777777" w:rsidR="003B7027" w:rsidRPr="0028514E" w:rsidRDefault="00296A74" w:rsidP="00A14525">
      <w:pPr>
        <w:pStyle w:val="2"/>
      </w:pPr>
      <w:r w:rsidRPr="0028514E">
        <w:t>4.5</w:t>
      </w:r>
      <w:r w:rsidRPr="0028514E">
        <w:tab/>
        <w:t>Yhteisvaikutukset muiden lääkevalmisteiden kanssa sekä muut yhteisvaikutukset</w:t>
      </w:r>
    </w:p>
    <w:p w14:paraId="7AE7A6F2" w14:textId="287C6AB3" w:rsidR="00C27CD4" w:rsidRPr="0028514E" w:rsidRDefault="00C27CD4" w:rsidP="00A14525">
      <w:pPr>
        <w:pStyle w:val="a4"/>
        <w:ind w:left="0"/>
      </w:pPr>
    </w:p>
    <w:p w14:paraId="23FC78DE" w14:textId="77777777" w:rsidR="003B7027" w:rsidRPr="0028514E" w:rsidRDefault="00296A74" w:rsidP="00A14525">
      <w:pPr>
        <w:pStyle w:val="a4"/>
        <w:ind w:left="0"/>
      </w:pPr>
      <w:r w:rsidRPr="0028514E">
        <w:t>Yhteisvaikutuksia on tutkittu vain aikuisille tehdyissä tutkimuksissa.</w:t>
      </w:r>
    </w:p>
    <w:p w14:paraId="27B5A64E" w14:textId="77777777" w:rsidR="003B7027" w:rsidRPr="0028514E" w:rsidRDefault="003B7027" w:rsidP="00A14525">
      <w:pPr>
        <w:pStyle w:val="a4"/>
        <w:ind w:left="0"/>
      </w:pPr>
    </w:p>
    <w:p w14:paraId="7EB9C703" w14:textId="6252DB65" w:rsidR="003B7027" w:rsidRPr="0028514E" w:rsidRDefault="00BA3A23" w:rsidP="00A14525">
      <w:pPr>
        <w:pStyle w:val="a4"/>
        <w:ind w:left="0"/>
      </w:pPr>
      <w:r>
        <w:t>Avtozma</w:t>
      </w:r>
      <w:r w:rsidRPr="0028514E">
        <w:t xml:space="preserve"> </w:t>
      </w:r>
      <w:r w:rsidR="00296A74" w:rsidRPr="0028514E">
        <w:t>10 mg/kg kerta-annoksena annettuna ei vaikuttanut kliinisesti merkitsevästi MTX- altistukseen MTX-hoidon (10–25 mg kerran viikossa) aikana.</w:t>
      </w:r>
    </w:p>
    <w:p w14:paraId="3814C5A3" w14:textId="77777777" w:rsidR="00C27CD4" w:rsidRPr="0028514E" w:rsidRDefault="00C27CD4" w:rsidP="00A14525">
      <w:pPr>
        <w:pStyle w:val="a4"/>
        <w:ind w:left="0"/>
      </w:pPr>
    </w:p>
    <w:p w14:paraId="0FEEC852" w14:textId="6222930A" w:rsidR="003B7027" w:rsidRPr="0028514E" w:rsidRDefault="00296A74" w:rsidP="00A14525">
      <w:pPr>
        <w:pStyle w:val="a4"/>
        <w:ind w:left="0"/>
      </w:pPr>
      <w:r w:rsidRPr="0028514E">
        <w:t xml:space="preserve">Populaatiofarmakokineettisessä analyysissä havaittiin, etteivät MTX, steroideihin kuulumattomat tulehduskipulääkkeet (NSAID-lääkkeet) eivätkä kortikosteroidit vaikuttaneet nivelreumapotilailla </w:t>
      </w:r>
      <w:r w:rsidR="00BA3A23">
        <w:t>tosilitsumabin</w:t>
      </w:r>
      <w:r w:rsidR="00BA3A23" w:rsidRPr="0028514E">
        <w:t xml:space="preserve"> </w:t>
      </w:r>
      <w:r w:rsidRPr="0028514E">
        <w:t xml:space="preserve">puhdistumaan. Jättisoluarteriittipotilailla kumulatiivisten kortikosteroidiannosten ei havaittu vaikuttaneen </w:t>
      </w:r>
      <w:r w:rsidR="00BA3A23">
        <w:t>tosilitsumabi</w:t>
      </w:r>
      <w:r w:rsidRPr="0028514E">
        <w:t>altistukseen.</w:t>
      </w:r>
    </w:p>
    <w:p w14:paraId="5687BDEA" w14:textId="77777777" w:rsidR="003B7027" w:rsidRPr="0028514E" w:rsidRDefault="003B7027" w:rsidP="00A14525">
      <w:pPr>
        <w:pStyle w:val="a4"/>
        <w:ind w:left="0"/>
      </w:pPr>
    </w:p>
    <w:p w14:paraId="308DA8D4" w14:textId="636FC86A" w:rsidR="003B7027" w:rsidRPr="0028514E" w:rsidRDefault="00296A74" w:rsidP="006E5F9A">
      <w:pPr>
        <w:pStyle w:val="a4"/>
        <w:ind w:left="0"/>
      </w:pPr>
      <w:r w:rsidRPr="0028514E">
        <w:t xml:space="preserve">Kroonista tulehdusta vahvistavat sytokiinit, kuten IL-6, estävät maksan CYP450-entsyymien ilmentymistä. CYP450-entsyymien ilmentyminen voi siis palautua, kun aloitetaan voimakas sytokiinia estävä lääkitys, esimerkiksi </w:t>
      </w:r>
      <w:r w:rsidR="00BA3A23">
        <w:t>Avtozma</w:t>
      </w:r>
      <w:r w:rsidRPr="0028514E">
        <w:t>.</w:t>
      </w:r>
    </w:p>
    <w:p w14:paraId="4592994B" w14:textId="77777777" w:rsidR="003B7027" w:rsidRPr="0028514E" w:rsidRDefault="003B7027" w:rsidP="006E5F9A">
      <w:pPr>
        <w:pStyle w:val="a4"/>
        <w:ind w:left="0"/>
      </w:pPr>
    </w:p>
    <w:p w14:paraId="240FA8A4" w14:textId="526865EB" w:rsidR="003B7027" w:rsidRPr="0028514E" w:rsidRDefault="00296A74" w:rsidP="006E5F9A">
      <w:pPr>
        <w:pStyle w:val="a4"/>
        <w:ind w:left="0"/>
      </w:pPr>
      <w:r w:rsidRPr="0028514E">
        <w:rPr>
          <w:i/>
        </w:rPr>
        <w:t xml:space="preserve">In vitro </w:t>
      </w:r>
      <w:r w:rsidRPr="0028514E">
        <w:t>-tutkimukset viljellyillä ihmisen maksasoluilla osoittivat, että IL-6 pienensi CYP1A2-</w:t>
      </w:r>
      <w:r w:rsidRPr="0028514E">
        <w:rPr>
          <w:i/>
        </w:rPr>
        <w:t xml:space="preserve">, </w:t>
      </w:r>
      <w:r w:rsidRPr="0028514E">
        <w:t xml:space="preserve">CYP2C9-, CYP2C19- ja CYP3A4-entsyymien ilmentymää. </w:t>
      </w:r>
      <w:r w:rsidR="00BA3A23">
        <w:t>Tosilitsumabi</w:t>
      </w:r>
      <w:r w:rsidR="00BA3A23" w:rsidRPr="0028514E">
        <w:t xml:space="preserve"> </w:t>
      </w:r>
      <w:r w:rsidRPr="0028514E">
        <w:t>normalisoi näiden entsyymien ilmentymää.</w:t>
      </w:r>
    </w:p>
    <w:p w14:paraId="07C55F9E" w14:textId="77777777" w:rsidR="003B7027" w:rsidRPr="0028514E" w:rsidRDefault="003B7027" w:rsidP="006E5F9A">
      <w:pPr>
        <w:pStyle w:val="a4"/>
        <w:ind w:left="0"/>
      </w:pPr>
    </w:p>
    <w:p w14:paraId="39F1E12D" w14:textId="0A1AD94B" w:rsidR="003B7027" w:rsidRPr="0028514E" w:rsidRDefault="00296A74" w:rsidP="006E5F9A">
      <w:pPr>
        <w:pStyle w:val="a4"/>
        <w:ind w:left="0"/>
      </w:pPr>
      <w:r w:rsidRPr="0028514E">
        <w:t xml:space="preserve">Kliinisessä tutkimuksessa nivelreumapotilailla simvastatiinipitoisuudet (CYP3A4) olivat laskeneet 57 % viikon kuluttua </w:t>
      </w:r>
      <w:r w:rsidR="00BA3A23">
        <w:t>tosilitsumabi</w:t>
      </w:r>
      <w:r w:rsidRPr="0028514E">
        <w:t>kerta-annoksen antamisesta ja olivat vastaavat tai hieman korkeammat kuin terveillä koehenkilöillä mitatut pitoisuudet.</w:t>
      </w:r>
    </w:p>
    <w:p w14:paraId="0F585EB5" w14:textId="77777777" w:rsidR="00C27CD4" w:rsidRPr="0028514E" w:rsidRDefault="00C27CD4" w:rsidP="006E5F9A">
      <w:pPr>
        <w:pStyle w:val="a4"/>
        <w:ind w:left="0"/>
      </w:pPr>
    </w:p>
    <w:p w14:paraId="4C35F3AF" w14:textId="273A4D99" w:rsidR="003B7027" w:rsidRPr="0028514E" w:rsidRDefault="00296A74" w:rsidP="006E5F9A">
      <w:pPr>
        <w:pStyle w:val="a4"/>
        <w:ind w:left="0"/>
      </w:pPr>
      <w:r w:rsidRPr="0028514E">
        <w:t xml:space="preserve">Potilaita on seurattava tarkoin </w:t>
      </w:r>
      <w:r w:rsidR="00BA3A23">
        <w:t>tosilitsumabi</w:t>
      </w:r>
      <w:r w:rsidRPr="0028514E">
        <w:t>hoitoa aloitettaessa tai lopetettaessa, jos he saavat CYP450- entsyymien 3A4, 1A2 tai 2C9 välityksellä metaboloituvia lääkkeitä (esim. metyyliprednisoloni, deksametasoni [oraalisen glukokortikoidihoidon lopettamisoireiden mahdollisuus], atorvastatiini, kalsiuminestäjät, teofylliini, varfariini, fenprokumoni, fenytoiini, siklosporiini tai bentsodiatsepiinit). Näiden lääkkeiden annokset määritellään yksilöllisesti ja annosten suurentaminen saattaa olla tarpeen hoitotehon säilyttämiseksi. Eliminaation pitkän puoliintumisajan (t</w:t>
      </w:r>
      <w:r w:rsidRPr="0028514E">
        <w:rPr>
          <w:vertAlign w:val="subscript"/>
        </w:rPr>
        <w:t>1/2</w:t>
      </w:r>
      <w:r w:rsidRPr="0028514E">
        <w:t xml:space="preserve">) takia </w:t>
      </w:r>
      <w:r w:rsidR="00BA3A23">
        <w:t xml:space="preserve">tosilitsumabin </w:t>
      </w:r>
      <w:r w:rsidRPr="0028514E">
        <w:t>vaikutus CYP450-entsyymin toimintaan saattaa jatkua vielä useita viikkoja hoidon päättymisen jälkeen.</w:t>
      </w:r>
    </w:p>
    <w:p w14:paraId="4CD267AD" w14:textId="77777777" w:rsidR="003B7027" w:rsidRPr="0028514E" w:rsidRDefault="003B7027" w:rsidP="006E5F9A">
      <w:pPr>
        <w:pStyle w:val="a4"/>
        <w:ind w:left="0"/>
      </w:pPr>
    </w:p>
    <w:p w14:paraId="3EE02F4A" w14:textId="77777777" w:rsidR="003B7027" w:rsidRPr="0028514E" w:rsidRDefault="00296A74" w:rsidP="006725DF">
      <w:pPr>
        <w:pStyle w:val="2"/>
        <w:keepNext/>
      </w:pPr>
      <w:r w:rsidRPr="0028514E">
        <w:t>4.6</w:t>
      </w:r>
      <w:r w:rsidRPr="0028514E">
        <w:tab/>
        <w:t>Hedelmällisyys, raskaus ja imetys</w:t>
      </w:r>
    </w:p>
    <w:p w14:paraId="398302C0" w14:textId="77777777" w:rsidR="00C27CD4" w:rsidRPr="0028514E" w:rsidRDefault="00C27CD4" w:rsidP="001C1F69"/>
    <w:p w14:paraId="720D438F" w14:textId="77777777" w:rsidR="003B7027" w:rsidRPr="0028514E" w:rsidRDefault="00296A74" w:rsidP="00455598">
      <w:pPr>
        <w:pStyle w:val="a4"/>
        <w:keepNext/>
        <w:ind w:left="0"/>
      </w:pPr>
      <w:r w:rsidRPr="0028514E">
        <w:rPr>
          <w:u w:val="single"/>
        </w:rPr>
        <w:t>Naiset, jotka voivat tulla raskaaksi</w:t>
      </w:r>
    </w:p>
    <w:p w14:paraId="01E5AD8E" w14:textId="77777777" w:rsidR="003B7027" w:rsidRPr="0028514E" w:rsidRDefault="003B7027" w:rsidP="00455598">
      <w:pPr>
        <w:pStyle w:val="a4"/>
        <w:keepNext/>
        <w:ind w:left="0"/>
      </w:pPr>
    </w:p>
    <w:p w14:paraId="633FC393" w14:textId="77777777" w:rsidR="003B7027" w:rsidRPr="0028514E" w:rsidRDefault="00296A74" w:rsidP="006E5F9A">
      <w:pPr>
        <w:pStyle w:val="a4"/>
        <w:ind w:left="0"/>
      </w:pPr>
      <w:r w:rsidRPr="0028514E">
        <w:t>Naisten, jotka voivat tulla raskaaksi, on käytettävä luotettavaa ehkäisyä hoidon aikana ja vähintään kolmen kuukauden ajan hoidon päättymisen jälkeen.</w:t>
      </w:r>
    </w:p>
    <w:p w14:paraId="203ED7F1" w14:textId="77777777" w:rsidR="00C27CD4" w:rsidRPr="0028514E" w:rsidRDefault="00C27CD4" w:rsidP="006E5F9A">
      <w:pPr>
        <w:pStyle w:val="a4"/>
        <w:ind w:left="0"/>
        <w:rPr>
          <w:u w:val="single"/>
        </w:rPr>
      </w:pPr>
    </w:p>
    <w:p w14:paraId="25EEF47F" w14:textId="77777777" w:rsidR="003B7027" w:rsidRPr="0028514E" w:rsidRDefault="00296A74" w:rsidP="006E5F9A">
      <w:pPr>
        <w:pStyle w:val="a4"/>
        <w:ind w:left="0"/>
      </w:pPr>
      <w:r w:rsidRPr="0028514E">
        <w:rPr>
          <w:u w:val="single"/>
        </w:rPr>
        <w:t>Raskaus</w:t>
      </w:r>
    </w:p>
    <w:p w14:paraId="5B266B9A" w14:textId="77777777" w:rsidR="003B7027" w:rsidRPr="0028514E" w:rsidRDefault="003B7027" w:rsidP="006E5F9A">
      <w:pPr>
        <w:pStyle w:val="a4"/>
        <w:ind w:left="0"/>
      </w:pPr>
    </w:p>
    <w:p w14:paraId="6BFAC703" w14:textId="02BFB51C" w:rsidR="003B7027" w:rsidRPr="0028514E" w:rsidRDefault="00296A74" w:rsidP="006E5F9A">
      <w:pPr>
        <w:pStyle w:val="a4"/>
        <w:ind w:left="0"/>
      </w:pPr>
      <w:r w:rsidRPr="0028514E">
        <w:t xml:space="preserve">Ei ole riittävästi tietoja </w:t>
      </w:r>
      <w:r w:rsidR="00BA3A23">
        <w:t>Avtozma</w:t>
      </w:r>
      <w:r w:rsidRPr="0028514E">
        <w:t>n käytöstä raskaana oleville naisille. Eläinkokeissa on havaittu spontaanien keskenmenojen / alkio- ja sikiökuolemien lisääntymistä suuria annoksia annettaessa (ks. kohta 5.3). Mahdollista riskiä ihmisille ei tunneta.</w:t>
      </w:r>
    </w:p>
    <w:p w14:paraId="0EB1B6A7" w14:textId="77777777" w:rsidR="003B7027" w:rsidRPr="0028514E" w:rsidRDefault="003B7027" w:rsidP="006E5F9A">
      <w:pPr>
        <w:pStyle w:val="a4"/>
        <w:ind w:left="0"/>
      </w:pPr>
    </w:p>
    <w:p w14:paraId="52B8E22F" w14:textId="0F93B470" w:rsidR="003B7027" w:rsidRPr="0028514E" w:rsidRDefault="00BA3A23" w:rsidP="006E5F9A">
      <w:pPr>
        <w:pStyle w:val="a4"/>
        <w:ind w:left="0"/>
      </w:pPr>
      <w:r>
        <w:t>Avtozma</w:t>
      </w:r>
      <w:r w:rsidR="00296A74" w:rsidRPr="0028514E">
        <w:t>a ei pidä käyttää raskauden aikana, ellei se ole ehdottoman välttämätöntä.</w:t>
      </w:r>
    </w:p>
    <w:p w14:paraId="19CA03C9" w14:textId="77777777" w:rsidR="00C27CD4" w:rsidRPr="0028514E" w:rsidRDefault="00C27CD4" w:rsidP="006E5F9A">
      <w:pPr>
        <w:pStyle w:val="a4"/>
        <w:ind w:left="0"/>
        <w:rPr>
          <w:u w:val="single"/>
        </w:rPr>
      </w:pPr>
    </w:p>
    <w:p w14:paraId="76000045" w14:textId="77777777" w:rsidR="003B7027" w:rsidRPr="0028514E" w:rsidRDefault="00296A74" w:rsidP="006E5F9A">
      <w:pPr>
        <w:pStyle w:val="a4"/>
        <w:keepNext/>
        <w:keepLines/>
        <w:ind w:left="0"/>
      </w:pPr>
      <w:r w:rsidRPr="0028514E">
        <w:rPr>
          <w:u w:val="single"/>
        </w:rPr>
        <w:t>Imetys</w:t>
      </w:r>
    </w:p>
    <w:p w14:paraId="7917577E" w14:textId="77777777" w:rsidR="003B7027" w:rsidRPr="0028514E" w:rsidRDefault="003B7027" w:rsidP="006E5F9A">
      <w:pPr>
        <w:pStyle w:val="a4"/>
        <w:ind w:left="0"/>
      </w:pPr>
    </w:p>
    <w:p w14:paraId="0F846381" w14:textId="79B7EE8C" w:rsidR="003B7027" w:rsidRPr="0028514E" w:rsidRDefault="00296A74" w:rsidP="006E5F9A">
      <w:pPr>
        <w:pStyle w:val="a4"/>
        <w:ind w:left="0"/>
      </w:pPr>
      <w:r w:rsidRPr="0028514E">
        <w:t xml:space="preserve">Ei tiedetä, erittyykö </w:t>
      </w:r>
      <w:r w:rsidR="00BA3A23">
        <w:t>Avtozma</w:t>
      </w:r>
      <w:r w:rsidRPr="0028514E">
        <w:t xml:space="preserve"> äidinmaitoon ihmisillä. </w:t>
      </w:r>
      <w:r w:rsidR="00BA3A23">
        <w:t>Avtozma</w:t>
      </w:r>
      <w:r w:rsidRPr="0028514E">
        <w:t xml:space="preserve">n erittymistä äidinmaitoon ei ole tutkittu eläimillä. Harkittaessa imettämisen jatkamista tai keskeyttämistä tai </w:t>
      </w:r>
      <w:r w:rsidR="00BA3A23">
        <w:t>Avtozma</w:t>
      </w:r>
      <w:r w:rsidRPr="0028514E">
        <w:t xml:space="preserve">-hoidon jatkamista tai keskeyttämistä on otettava huomioon sekä imettämisestä koituva hyöty lapselle että </w:t>
      </w:r>
      <w:r w:rsidR="00BA3A23">
        <w:t>Avtozma</w:t>
      </w:r>
      <w:r w:rsidRPr="0028514E">
        <w:t>-hoidosta koituva hyöty äidille.</w:t>
      </w:r>
    </w:p>
    <w:p w14:paraId="64EA0089" w14:textId="77777777" w:rsidR="003B7027" w:rsidRPr="0028514E" w:rsidRDefault="003B7027" w:rsidP="006E5F9A">
      <w:pPr>
        <w:pStyle w:val="a4"/>
        <w:ind w:left="0"/>
      </w:pPr>
    </w:p>
    <w:p w14:paraId="00237C36" w14:textId="77777777" w:rsidR="003B7027" w:rsidRPr="0028514E" w:rsidRDefault="00296A74" w:rsidP="006E5F9A">
      <w:pPr>
        <w:pStyle w:val="a4"/>
        <w:ind w:left="0"/>
      </w:pPr>
      <w:r w:rsidRPr="0028514E">
        <w:rPr>
          <w:u w:val="single"/>
        </w:rPr>
        <w:t>Hedelmällisyys</w:t>
      </w:r>
    </w:p>
    <w:p w14:paraId="6C60E16E" w14:textId="77777777" w:rsidR="003B7027" w:rsidRPr="0028514E" w:rsidRDefault="003B7027" w:rsidP="006E5F9A">
      <w:pPr>
        <w:pStyle w:val="a4"/>
        <w:ind w:left="0"/>
      </w:pPr>
    </w:p>
    <w:p w14:paraId="5BB5338B" w14:textId="204769B9" w:rsidR="003B7027" w:rsidRPr="0028514E" w:rsidRDefault="00296A74" w:rsidP="006E5F9A">
      <w:pPr>
        <w:pStyle w:val="a4"/>
        <w:ind w:left="0"/>
      </w:pPr>
      <w:r w:rsidRPr="0028514E">
        <w:t xml:space="preserve">Käytettävissä olevat ei-kliiniset tiedot eivät viittaa </w:t>
      </w:r>
      <w:r w:rsidR="00BA3A23">
        <w:t>Avtozma</w:t>
      </w:r>
      <w:r w:rsidRPr="0028514E">
        <w:t>-hoidon vaikuttavan hedelmällisyyteen.</w:t>
      </w:r>
    </w:p>
    <w:p w14:paraId="51874A04" w14:textId="77777777" w:rsidR="003B7027" w:rsidRPr="0028514E" w:rsidRDefault="003B7027" w:rsidP="006E5F9A">
      <w:pPr>
        <w:pStyle w:val="a4"/>
        <w:ind w:left="0"/>
      </w:pPr>
    </w:p>
    <w:p w14:paraId="4E2F5238" w14:textId="77777777" w:rsidR="003B7027" w:rsidRPr="0028514E" w:rsidRDefault="00296A74" w:rsidP="006E5F9A">
      <w:pPr>
        <w:pStyle w:val="2"/>
      </w:pPr>
      <w:r w:rsidRPr="0028514E">
        <w:t>4.7</w:t>
      </w:r>
      <w:r w:rsidRPr="0028514E">
        <w:tab/>
        <w:t>Vaikutus ajokykyyn ja koneidenkäyttökykyyn</w:t>
      </w:r>
    </w:p>
    <w:p w14:paraId="08721539" w14:textId="77777777" w:rsidR="00C27CD4" w:rsidRPr="009A3CB5" w:rsidRDefault="00C27CD4" w:rsidP="001C1F69">
      <w:pPr>
        <w:rPr>
          <w:lang w:val="fi-FI"/>
        </w:rPr>
      </w:pPr>
    </w:p>
    <w:p w14:paraId="1BA4EE3F" w14:textId="6EAF913B" w:rsidR="003B7027" w:rsidRPr="0028514E" w:rsidRDefault="00BA3A23" w:rsidP="006E5F9A">
      <w:pPr>
        <w:pStyle w:val="a4"/>
        <w:ind w:left="0"/>
      </w:pPr>
      <w:r>
        <w:t>Tosilitsumabilla</w:t>
      </w:r>
      <w:r w:rsidRPr="0028514E">
        <w:t xml:space="preserve"> </w:t>
      </w:r>
      <w:r w:rsidR="00296A74" w:rsidRPr="0028514E">
        <w:t>on vähäinen vaikutus ajokykyyn ja koneidenkäyttökykyyn (ks. kohta 4.8, huimaus).</w:t>
      </w:r>
    </w:p>
    <w:p w14:paraId="2154A5C1" w14:textId="77777777" w:rsidR="003B7027" w:rsidRPr="0028514E" w:rsidRDefault="003B7027" w:rsidP="006E5F9A">
      <w:pPr>
        <w:pStyle w:val="a4"/>
        <w:ind w:left="0"/>
      </w:pPr>
    </w:p>
    <w:p w14:paraId="47679FCD" w14:textId="77777777" w:rsidR="003B7027" w:rsidRPr="0028514E" w:rsidRDefault="00296A74" w:rsidP="006E5F9A">
      <w:pPr>
        <w:pStyle w:val="2"/>
      </w:pPr>
      <w:r w:rsidRPr="0028514E">
        <w:t>4.8</w:t>
      </w:r>
      <w:r w:rsidRPr="0028514E">
        <w:tab/>
        <w:t>Haittavaikutukset</w:t>
      </w:r>
    </w:p>
    <w:p w14:paraId="6D6A4846" w14:textId="77777777" w:rsidR="00C27CD4" w:rsidRPr="009A3CB5" w:rsidRDefault="00C27CD4" w:rsidP="001C1F69">
      <w:pPr>
        <w:rPr>
          <w:lang w:val="fi-FI"/>
        </w:rPr>
      </w:pPr>
    </w:p>
    <w:p w14:paraId="2163863D" w14:textId="77777777" w:rsidR="003B7027" w:rsidRPr="0028514E" w:rsidRDefault="00296A74" w:rsidP="006E5F9A">
      <w:pPr>
        <w:pStyle w:val="a4"/>
        <w:ind w:left="0"/>
      </w:pPr>
      <w:r w:rsidRPr="0028514E">
        <w:rPr>
          <w:u w:val="single"/>
        </w:rPr>
        <w:t>Turvallisuusprofiilin yhteenveto</w:t>
      </w:r>
    </w:p>
    <w:p w14:paraId="02219FB7" w14:textId="77777777" w:rsidR="003B7027" w:rsidRPr="0028514E" w:rsidRDefault="003B7027" w:rsidP="006E5F9A">
      <w:pPr>
        <w:pStyle w:val="a4"/>
        <w:ind w:left="0"/>
      </w:pPr>
    </w:p>
    <w:p w14:paraId="5EF8E2E1" w14:textId="6326A6EE" w:rsidR="003B7027" w:rsidRPr="0028514E" w:rsidRDefault="00296A74" w:rsidP="006E5F9A">
      <w:pPr>
        <w:pStyle w:val="a4"/>
        <w:ind w:left="0"/>
      </w:pPr>
      <w:r w:rsidRPr="0028514E">
        <w:t xml:space="preserve">Turvallisuusprofiili perustuu 4510 potilaan altistumiseen </w:t>
      </w:r>
      <w:r w:rsidR="00BA3A23">
        <w:t>tosilitsumabille</w:t>
      </w:r>
      <w:r w:rsidRPr="0028514E">
        <w:t xml:space="preserve"> kliinisissä tutkimuksissa. Valtaosa näistä potilaista osallistui nivelreumaa (n = 4009) koskeneisiin tutkimuksiin, ja muu kokemus on saatu jättisoluarteriittia (n = 149), polyartriittia (n = 240) ja yleisoireista lastenreumaa (n = 112) koskeneista tutkimuksista. </w:t>
      </w:r>
      <w:r w:rsidR="00BA3A23">
        <w:t>Tosilitsumabin</w:t>
      </w:r>
      <w:r w:rsidR="00BA3A23" w:rsidRPr="0028514E">
        <w:t xml:space="preserve"> </w:t>
      </w:r>
      <w:r w:rsidRPr="0028514E">
        <w:t>turvallisuusprofiili on näissä käyttöaiheissa samankaltainen eikä siinä ole havaittavissa eroja.</w:t>
      </w:r>
    </w:p>
    <w:p w14:paraId="0D24C2D0" w14:textId="77777777" w:rsidR="003B7027" w:rsidRPr="0028514E" w:rsidRDefault="003B7027" w:rsidP="006E5F9A">
      <w:pPr>
        <w:pStyle w:val="a4"/>
        <w:ind w:left="0"/>
      </w:pPr>
    </w:p>
    <w:p w14:paraId="56524D59" w14:textId="77777777" w:rsidR="003B7027" w:rsidRPr="0028514E" w:rsidRDefault="00296A74" w:rsidP="006E5F9A">
      <w:pPr>
        <w:pStyle w:val="a4"/>
        <w:ind w:left="0"/>
      </w:pPr>
      <w:r w:rsidRPr="0028514E">
        <w:t>Yleisimmät haittavaikutukset olivat ylähengitystieinfektiot, nasofaryngiitti, päänsärky, hypertensio ja ALAT-arvon nousu.</w:t>
      </w:r>
    </w:p>
    <w:p w14:paraId="2E6E3A7B" w14:textId="77777777" w:rsidR="00C27CD4" w:rsidRPr="0028514E" w:rsidRDefault="00C27CD4" w:rsidP="006E5F9A">
      <w:pPr>
        <w:pStyle w:val="a4"/>
        <w:ind w:left="0"/>
      </w:pPr>
    </w:p>
    <w:p w14:paraId="55C650C8" w14:textId="77777777" w:rsidR="003B7027" w:rsidRPr="0028514E" w:rsidRDefault="00296A74" w:rsidP="006E5F9A">
      <w:pPr>
        <w:pStyle w:val="a4"/>
        <w:ind w:left="0"/>
      </w:pPr>
      <w:r w:rsidRPr="0028514E">
        <w:t>Vakavimmat haittavaikutukset olivat vakavat infektiot, divertikuliitin komplikaatiot ja yliherkkyysreaktiot.</w:t>
      </w:r>
    </w:p>
    <w:p w14:paraId="3415E92A" w14:textId="77777777" w:rsidR="003B7027" w:rsidRPr="0028514E" w:rsidRDefault="003B7027" w:rsidP="006E5F9A">
      <w:pPr>
        <w:pStyle w:val="a4"/>
        <w:ind w:left="0"/>
      </w:pPr>
    </w:p>
    <w:p w14:paraId="479EC84C" w14:textId="77777777" w:rsidR="003B7027" w:rsidRPr="0028514E" w:rsidRDefault="00296A74" w:rsidP="006E5F9A">
      <w:pPr>
        <w:pStyle w:val="a4"/>
        <w:ind w:left="0"/>
      </w:pPr>
      <w:r w:rsidRPr="0028514E">
        <w:rPr>
          <w:u w:val="single"/>
        </w:rPr>
        <w:t>Taulukoitu lista haittavaikutuksista</w:t>
      </w:r>
    </w:p>
    <w:p w14:paraId="3176F5DC" w14:textId="5CDEEACD" w:rsidR="003B7027" w:rsidRPr="0028514E" w:rsidRDefault="00296A74" w:rsidP="006E5F9A">
      <w:pPr>
        <w:pStyle w:val="a4"/>
        <w:ind w:left="0"/>
      </w:pPr>
      <w:r w:rsidRPr="0028514E">
        <w:lastRenderedPageBreak/>
        <w:t xml:space="preserve">Taulukossa 1 luetellaan haittavaikutukset, jotka on todettu kliinisissä tutkimuksissa ja/tai </w:t>
      </w:r>
      <w:r w:rsidR="00BA3A23">
        <w:t>tosilitsumabin</w:t>
      </w:r>
      <w:r w:rsidR="00BA3A23" w:rsidRPr="0028514E">
        <w:t xml:space="preserve"> </w:t>
      </w:r>
      <w:r w:rsidRPr="0028514E">
        <w:t>markkinoille tulon jälkeisessä käytössä spontaanien tapausselostusten, kirjallisuudessa raportoitujen tapausten ja ei-interventiotutkimusohjelmissa todettujen tapausten perusteella. Haittavaikutukset luetellaan MedDRA-elinjärjestelmän mukaan. Kunkin haittavaikutuksen vastaava yleisyysluokka perustuu seuraavaan esitystapaan: hyvin yleinen (≥ 1/10), yleinen (≥ 1/100, &lt; 1/10), melko harvinainen (≥ 1/1 000, &lt; 1/100), harvinainen (≥ 1/10 000, &lt; 1/1 000) tai hyvin harvinainen</w:t>
      </w:r>
      <w:r w:rsidR="00C27CD4" w:rsidRPr="0028514E">
        <w:t xml:space="preserve"> </w:t>
      </w:r>
      <w:r w:rsidRPr="0028514E">
        <w:t>(&lt; 1/10 000). Haittavaikutukset on esitetty kussakin yleisyysluokassa haittavaikutuksen vakavuuden mukaan alenevassa järjestyksessä.</w:t>
      </w:r>
    </w:p>
    <w:p w14:paraId="3BC2C221" w14:textId="77777777" w:rsidR="00C27CD4" w:rsidRPr="0028514E" w:rsidRDefault="00C27CD4" w:rsidP="006E5F9A">
      <w:pPr>
        <w:pStyle w:val="a4"/>
        <w:ind w:left="0"/>
      </w:pPr>
    </w:p>
    <w:p w14:paraId="399E3139" w14:textId="6EE29B5A" w:rsidR="003B7027" w:rsidRPr="00CA43F5" w:rsidRDefault="00296A74" w:rsidP="00A14525">
      <w:pPr>
        <w:pStyle w:val="Tabletitle"/>
        <w:keepNext/>
        <w:rPr>
          <w:lang w:val="fi-FI"/>
        </w:rPr>
      </w:pPr>
      <w:r w:rsidRPr="00CA43F5">
        <w:rPr>
          <w:lang w:val="fi-FI"/>
        </w:rPr>
        <w:t>Taulukko 1.</w:t>
      </w:r>
      <w:r w:rsidR="00C27CD4" w:rsidRPr="00CA43F5">
        <w:rPr>
          <w:lang w:val="fi-FI"/>
        </w:rPr>
        <w:tab/>
      </w:r>
      <w:r w:rsidRPr="00CA43F5">
        <w:rPr>
          <w:lang w:val="fi-FI"/>
        </w:rPr>
        <w:t xml:space="preserve">Lista </w:t>
      </w:r>
      <w:r w:rsidR="00BA3A23" w:rsidRPr="00CA43F5">
        <w:rPr>
          <w:lang w:val="fi-FI"/>
        </w:rPr>
        <w:t>tosilitsumabi</w:t>
      </w:r>
      <w:r w:rsidRPr="00CA43F5">
        <w:rPr>
          <w:lang w:val="fi-FI"/>
        </w:rPr>
        <w:t>hoitoa saaneilla potilailla esiintyneistä haittavaikutuksista</w:t>
      </w:r>
    </w:p>
    <w:p w14:paraId="04D32B42" w14:textId="77777777" w:rsidR="00C27CD4" w:rsidRPr="00CA43F5" w:rsidRDefault="00C27CD4" w:rsidP="006E5F9A">
      <w:pPr>
        <w:keepNext/>
        <w:rPr>
          <w:i/>
          <w:lang w:val="fi-FI"/>
        </w:rPr>
      </w:pPr>
    </w:p>
    <w:tbl>
      <w:tblPr>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376"/>
        <w:gridCol w:w="1434"/>
        <w:gridCol w:w="1842"/>
        <w:gridCol w:w="1985"/>
        <w:gridCol w:w="1435"/>
      </w:tblGrid>
      <w:tr w:rsidR="003B7027" w:rsidRPr="00777B93" w14:paraId="74686AFF" w14:textId="77777777" w:rsidTr="00EC0612">
        <w:trPr>
          <w:trHeight w:val="20"/>
          <w:tblHeader/>
        </w:trPr>
        <w:tc>
          <w:tcPr>
            <w:tcW w:w="2376" w:type="dxa"/>
            <w:vMerge w:val="restart"/>
            <w:vAlign w:val="center"/>
          </w:tcPr>
          <w:p w14:paraId="342F2465" w14:textId="77777777" w:rsidR="003B7027" w:rsidRPr="00A14525" w:rsidRDefault="00296A74" w:rsidP="006E5F9A">
            <w:pPr>
              <w:pStyle w:val="TableParagraph"/>
              <w:jc w:val="center"/>
              <w:rPr>
                <w:b/>
                <w:sz w:val="20"/>
                <w:szCs w:val="20"/>
              </w:rPr>
            </w:pPr>
            <w:r w:rsidRPr="00A14525">
              <w:rPr>
                <w:b/>
                <w:sz w:val="20"/>
                <w:szCs w:val="20"/>
              </w:rPr>
              <w:t>MedDRA-</w:t>
            </w:r>
            <w:r w:rsidR="00962390" w:rsidRPr="00A14525">
              <w:rPr>
                <w:b/>
                <w:sz w:val="20"/>
                <w:szCs w:val="20"/>
              </w:rPr>
              <w:t xml:space="preserve"> </w:t>
            </w:r>
            <w:r w:rsidRPr="00A14525">
              <w:rPr>
                <w:b/>
                <w:sz w:val="20"/>
                <w:szCs w:val="20"/>
              </w:rPr>
              <w:t>elinjärjestelmäluokka</w:t>
            </w:r>
          </w:p>
        </w:tc>
        <w:tc>
          <w:tcPr>
            <w:tcW w:w="5261" w:type="dxa"/>
            <w:gridSpan w:val="3"/>
            <w:vAlign w:val="center"/>
          </w:tcPr>
          <w:p w14:paraId="0F9410FC" w14:textId="77777777" w:rsidR="003B7027" w:rsidRPr="00A14525" w:rsidRDefault="00296A74" w:rsidP="006E5F9A">
            <w:pPr>
              <w:pStyle w:val="TableParagraph"/>
              <w:jc w:val="center"/>
              <w:rPr>
                <w:b/>
                <w:sz w:val="20"/>
                <w:szCs w:val="20"/>
              </w:rPr>
            </w:pPr>
            <w:r w:rsidRPr="00A14525">
              <w:rPr>
                <w:b/>
                <w:sz w:val="20"/>
                <w:szCs w:val="20"/>
              </w:rPr>
              <w:t>Yleisyysluokat suositelluin termein</w:t>
            </w:r>
          </w:p>
        </w:tc>
        <w:tc>
          <w:tcPr>
            <w:tcW w:w="1435" w:type="dxa"/>
            <w:vAlign w:val="center"/>
          </w:tcPr>
          <w:p w14:paraId="3E5C424D" w14:textId="77777777" w:rsidR="003B7027" w:rsidRPr="00A14525" w:rsidRDefault="003B7027" w:rsidP="006E5F9A">
            <w:pPr>
              <w:pStyle w:val="TableParagraph"/>
              <w:jc w:val="center"/>
              <w:rPr>
                <w:sz w:val="20"/>
                <w:szCs w:val="20"/>
              </w:rPr>
            </w:pPr>
          </w:p>
        </w:tc>
      </w:tr>
      <w:tr w:rsidR="003B7027" w:rsidRPr="00777B93" w14:paraId="7ED5DB59" w14:textId="77777777" w:rsidTr="00EC0612">
        <w:trPr>
          <w:trHeight w:val="20"/>
          <w:tblHeader/>
        </w:trPr>
        <w:tc>
          <w:tcPr>
            <w:tcW w:w="2376" w:type="dxa"/>
            <w:vMerge/>
            <w:tcBorders>
              <w:top w:val="nil"/>
            </w:tcBorders>
            <w:vAlign w:val="center"/>
          </w:tcPr>
          <w:p w14:paraId="64DDAF79" w14:textId="77777777" w:rsidR="003B7027" w:rsidRPr="00777B93" w:rsidRDefault="003B7027" w:rsidP="006E5F9A">
            <w:pPr>
              <w:jc w:val="center"/>
              <w:rPr>
                <w:sz w:val="20"/>
                <w:szCs w:val="20"/>
              </w:rPr>
            </w:pPr>
          </w:p>
        </w:tc>
        <w:tc>
          <w:tcPr>
            <w:tcW w:w="1434" w:type="dxa"/>
          </w:tcPr>
          <w:p w14:paraId="27A19218" w14:textId="77777777" w:rsidR="003B7027" w:rsidRPr="00A14525" w:rsidRDefault="00296A74" w:rsidP="006E5F9A">
            <w:pPr>
              <w:pStyle w:val="TableParagraph"/>
              <w:jc w:val="center"/>
              <w:rPr>
                <w:b/>
                <w:sz w:val="20"/>
                <w:szCs w:val="20"/>
              </w:rPr>
            </w:pPr>
            <w:r w:rsidRPr="00A14525">
              <w:rPr>
                <w:b/>
                <w:sz w:val="20"/>
                <w:szCs w:val="20"/>
              </w:rPr>
              <w:t>Hyvin yleinen</w:t>
            </w:r>
          </w:p>
        </w:tc>
        <w:tc>
          <w:tcPr>
            <w:tcW w:w="1842" w:type="dxa"/>
          </w:tcPr>
          <w:p w14:paraId="7C6E7416" w14:textId="77777777" w:rsidR="003B7027" w:rsidRPr="00A14525" w:rsidRDefault="00296A74" w:rsidP="006E5F9A">
            <w:pPr>
              <w:pStyle w:val="TableParagraph"/>
              <w:jc w:val="center"/>
              <w:rPr>
                <w:b/>
                <w:sz w:val="20"/>
                <w:szCs w:val="20"/>
              </w:rPr>
            </w:pPr>
            <w:r w:rsidRPr="00A14525">
              <w:rPr>
                <w:b/>
                <w:sz w:val="20"/>
                <w:szCs w:val="20"/>
              </w:rPr>
              <w:t>Yleinen</w:t>
            </w:r>
          </w:p>
        </w:tc>
        <w:tc>
          <w:tcPr>
            <w:tcW w:w="1985" w:type="dxa"/>
          </w:tcPr>
          <w:p w14:paraId="34687A3C" w14:textId="77777777" w:rsidR="003B7027" w:rsidRPr="00A14525" w:rsidRDefault="00296A74" w:rsidP="006E5F9A">
            <w:pPr>
              <w:pStyle w:val="TableParagraph"/>
              <w:jc w:val="center"/>
              <w:rPr>
                <w:b/>
                <w:sz w:val="20"/>
                <w:szCs w:val="20"/>
              </w:rPr>
            </w:pPr>
            <w:r w:rsidRPr="00A14525">
              <w:rPr>
                <w:b/>
                <w:sz w:val="20"/>
                <w:szCs w:val="20"/>
              </w:rPr>
              <w:t>Melko harvinainen</w:t>
            </w:r>
          </w:p>
        </w:tc>
        <w:tc>
          <w:tcPr>
            <w:tcW w:w="1435" w:type="dxa"/>
          </w:tcPr>
          <w:p w14:paraId="27262E95" w14:textId="77777777" w:rsidR="003B7027" w:rsidRPr="00A14525" w:rsidRDefault="00296A74" w:rsidP="006E5F9A">
            <w:pPr>
              <w:pStyle w:val="TableParagraph"/>
              <w:jc w:val="center"/>
              <w:rPr>
                <w:b/>
                <w:sz w:val="20"/>
                <w:szCs w:val="20"/>
              </w:rPr>
            </w:pPr>
            <w:r w:rsidRPr="00A14525">
              <w:rPr>
                <w:b/>
                <w:sz w:val="20"/>
                <w:szCs w:val="20"/>
              </w:rPr>
              <w:t>Harvinainen</w:t>
            </w:r>
          </w:p>
        </w:tc>
      </w:tr>
      <w:tr w:rsidR="003B7027" w:rsidRPr="00777B93" w14:paraId="27686104" w14:textId="77777777" w:rsidTr="00EC0612">
        <w:trPr>
          <w:trHeight w:val="20"/>
        </w:trPr>
        <w:tc>
          <w:tcPr>
            <w:tcW w:w="2376" w:type="dxa"/>
          </w:tcPr>
          <w:p w14:paraId="6D4CE1A3" w14:textId="77777777" w:rsidR="003B7027" w:rsidRPr="00A14525" w:rsidRDefault="00296A74" w:rsidP="006E5F9A">
            <w:pPr>
              <w:pStyle w:val="TableParagraph"/>
              <w:rPr>
                <w:sz w:val="20"/>
                <w:szCs w:val="20"/>
              </w:rPr>
            </w:pPr>
            <w:r w:rsidRPr="00A14525">
              <w:rPr>
                <w:sz w:val="20"/>
                <w:szCs w:val="20"/>
              </w:rPr>
              <w:t>Infektiot</w:t>
            </w:r>
          </w:p>
        </w:tc>
        <w:tc>
          <w:tcPr>
            <w:tcW w:w="1434" w:type="dxa"/>
          </w:tcPr>
          <w:p w14:paraId="3979113E" w14:textId="77777777" w:rsidR="003B7027" w:rsidRPr="00A14525" w:rsidRDefault="00296A74" w:rsidP="006E5F9A">
            <w:pPr>
              <w:pStyle w:val="TableParagraph"/>
              <w:rPr>
                <w:sz w:val="20"/>
                <w:szCs w:val="20"/>
              </w:rPr>
            </w:pPr>
            <w:r w:rsidRPr="00A14525">
              <w:rPr>
                <w:sz w:val="20"/>
                <w:szCs w:val="20"/>
              </w:rPr>
              <w:t>Ylähengitystie</w:t>
            </w:r>
            <w:r w:rsidR="00962390" w:rsidRPr="00A14525">
              <w:rPr>
                <w:sz w:val="20"/>
                <w:szCs w:val="20"/>
              </w:rPr>
              <w:t xml:space="preserve"> </w:t>
            </w:r>
            <w:r w:rsidRPr="00A14525">
              <w:rPr>
                <w:sz w:val="20"/>
                <w:szCs w:val="20"/>
              </w:rPr>
              <w:t>-infektiot</w:t>
            </w:r>
          </w:p>
        </w:tc>
        <w:tc>
          <w:tcPr>
            <w:tcW w:w="1842" w:type="dxa"/>
          </w:tcPr>
          <w:p w14:paraId="74974812" w14:textId="77777777" w:rsidR="003B7027" w:rsidRPr="00A14525" w:rsidRDefault="00296A74" w:rsidP="006E5F9A">
            <w:pPr>
              <w:pStyle w:val="TableParagraph"/>
              <w:rPr>
                <w:sz w:val="20"/>
                <w:szCs w:val="20"/>
              </w:rPr>
            </w:pPr>
            <w:r w:rsidRPr="00A14525">
              <w:rPr>
                <w:sz w:val="20"/>
                <w:szCs w:val="20"/>
              </w:rPr>
              <w:t xml:space="preserve">Selluliitti, keuhkokuume, suun </w:t>
            </w:r>
            <w:r w:rsidRPr="00A14525">
              <w:rPr>
                <w:i/>
                <w:sz w:val="20"/>
                <w:szCs w:val="20"/>
              </w:rPr>
              <w:t xml:space="preserve">herpes simplex </w:t>
            </w:r>
            <w:r w:rsidRPr="00A14525">
              <w:rPr>
                <w:sz w:val="20"/>
                <w:szCs w:val="20"/>
              </w:rPr>
              <w:t>-infektio,</w:t>
            </w:r>
            <w:r w:rsidR="00962390" w:rsidRPr="00A14525">
              <w:rPr>
                <w:sz w:val="20"/>
                <w:szCs w:val="20"/>
              </w:rPr>
              <w:t xml:space="preserve"> </w:t>
            </w:r>
            <w:r w:rsidRPr="00A14525">
              <w:rPr>
                <w:sz w:val="20"/>
                <w:szCs w:val="20"/>
              </w:rPr>
              <w:t>vyöruusu</w:t>
            </w:r>
          </w:p>
        </w:tc>
        <w:tc>
          <w:tcPr>
            <w:tcW w:w="1985" w:type="dxa"/>
          </w:tcPr>
          <w:p w14:paraId="6AB4BE7E" w14:textId="77777777" w:rsidR="003B7027" w:rsidRPr="00A14525" w:rsidRDefault="00296A74" w:rsidP="006E5F9A">
            <w:pPr>
              <w:pStyle w:val="TableParagraph"/>
              <w:rPr>
                <w:sz w:val="20"/>
                <w:szCs w:val="20"/>
              </w:rPr>
            </w:pPr>
            <w:r w:rsidRPr="00A14525">
              <w:rPr>
                <w:sz w:val="20"/>
                <w:szCs w:val="20"/>
              </w:rPr>
              <w:t>Divertikuliitti</w:t>
            </w:r>
          </w:p>
        </w:tc>
        <w:tc>
          <w:tcPr>
            <w:tcW w:w="1435" w:type="dxa"/>
          </w:tcPr>
          <w:p w14:paraId="32FCCD9A" w14:textId="77777777" w:rsidR="003B7027" w:rsidRPr="00A14525" w:rsidRDefault="003B7027" w:rsidP="006E5F9A">
            <w:pPr>
              <w:pStyle w:val="TableParagraph"/>
              <w:rPr>
                <w:sz w:val="20"/>
                <w:szCs w:val="20"/>
              </w:rPr>
            </w:pPr>
          </w:p>
        </w:tc>
      </w:tr>
      <w:tr w:rsidR="003B7027" w:rsidRPr="00777B93" w14:paraId="65B795FB" w14:textId="77777777" w:rsidTr="00EC0612">
        <w:trPr>
          <w:trHeight w:val="20"/>
        </w:trPr>
        <w:tc>
          <w:tcPr>
            <w:tcW w:w="2376" w:type="dxa"/>
          </w:tcPr>
          <w:p w14:paraId="6A5EA8A6" w14:textId="77777777" w:rsidR="003B7027" w:rsidRPr="00A14525" w:rsidRDefault="00296A74" w:rsidP="006E5F9A">
            <w:pPr>
              <w:pStyle w:val="TableParagraph"/>
              <w:rPr>
                <w:sz w:val="20"/>
                <w:szCs w:val="20"/>
              </w:rPr>
            </w:pPr>
            <w:r w:rsidRPr="00A14525">
              <w:rPr>
                <w:sz w:val="20"/>
                <w:szCs w:val="20"/>
              </w:rPr>
              <w:t>Veri ja imukudos</w:t>
            </w:r>
          </w:p>
        </w:tc>
        <w:tc>
          <w:tcPr>
            <w:tcW w:w="1434" w:type="dxa"/>
          </w:tcPr>
          <w:p w14:paraId="4C78CC1C" w14:textId="77777777" w:rsidR="003B7027" w:rsidRPr="00A14525" w:rsidRDefault="003B7027" w:rsidP="006E5F9A">
            <w:pPr>
              <w:pStyle w:val="TableParagraph"/>
              <w:rPr>
                <w:sz w:val="20"/>
                <w:szCs w:val="20"/>
              </w:rPr>
            </w:pPr>
          </w:p>
        </w:tc>
        <w:tc>
          <w:tcPr>
            <w:tcW w:w="1842" w:type="dxa"/>
          </w:tcPr>
          <w:p w14:paraId="513B25EA" w14:textId="77777777" w:rsidR="003B7027" w:rsidRPr="00A14525" w:rsidRDefault="00296A74" w:rsidP="006E5F9A">
            <w:pPr>
              <w:pStyle w:val="TableParagraph"/>
              <w:rPr>
                <w:sz w:val="20"/>
                <w:szCs w:val="20"/>
              </w:rPr>
            </w:pPr>
            <w:r w:rsidRPr="00A14525">
              <w:rPr>
                <w:sz w:val="20"/>
                <w:szCs w:val="20"/>
              </w:rPr>
              <w:t>Leukopenia,</w:t>
            </w:r>
            <w:r w:rsidR="00962390" w:rsidRPr="00A14525">
              <w:rPr>
                <w:sz w:val="20"/>
                <w:szCs w:val="20"/>
              </w:rPr>
              <w:t xml:space="preserve"> </w:t>
            </w:r>
            <w:r w:rsidRPr="00A14525">
              <w:rPr>
                <w:sz w:val="20"/>
                <w:szCs w:val="20"/>
              </w:rPr>
              <w:t>neutropenia, hypofibrinogenemia</w:t>
            </w:r>
          </w:p>
        </w:tc>
        <w:tc>
          <w:tcPr>
            <w:tcW w:w="1985" w:type="dxa"/>
          </w:tcPr>
          <w:p w14:paraId="652A5062" w14:textId="77777777" w:rsidR="003B7027" w:rsidRPr="00A14525" w:rsidRDefault="003B7027" w:rsidP="006E5F9A">
            <w:pPr>
              <w:pStyle w:val="TableParagraph"/>
              <w:rPr>
                <w:sz w:val="20"/>
                <w:szCs w:val="20"/>
              </w:rPr>
            </w:pPr>
          </w:p>
        </w:tc>
        <w:tc>
          <w:tcPr>
            <w:tcW w:w="1435" w:type="dxa"/>
          </w:tcPr>
          <w:p w14:paraId="235A994B" w14:textId="77777777" w:rsidR="003B7027" w:rsidRPr="00A14525" w:rsidRDefault="003B7027" w:rsidP="006E5F9A">
            <w:pPr>
              <w:pStyle w:val="TableParagraph"/>
              <w:rPr>
                <w:sz w:val="20"/>
                <w:szCs w:val="20"/>
              </w:rPr>
            </w:pPr>
          </w:p>
        </w:tc>
      </w:tr>
      <w:tr w:rsidR="003B7027" w:rsidRPr="00777B93" w14:paraId="711948D4" w14:textId="77777777" w:rsidTr="00EC0612">
        <w:trPr>
          <w:trHeight w:val="20"/>
        </w:trPr>
        <w:tc>
          <w:tcPr>
            <w:tcW w:w="2376" w:type="dxa"/>
          </w:tcPr>
          <w:p w14:paraId="4F019FD1" w14:textId="77777777" w:rsidR="003B7027" w:rsidRPr="00A14525" w:rsidRDefault="00296A74" w:rsidP="006E5F9A">
            <w:pPr>
              <w:pStyle w:val="TableParagraph"/>
              <w:rPr>
                <w:sz w:val="20"/>
                <w:szCs w:val="20"/>
              </w:rPr>
            </w:pPr>
            <w:r w:rsidRPr="00A14525">
              <w:rPr>
                <w:sz w:val="20"/>
                <w:szCs w:val="20"/>
              </w:rPr>
              <w:t>Immuunijärjestelmä</w:t>
            </w:r>
          </w:p>
        </w:tc>
        <w:tc>
          <w:tcPr>
            <w:tcW w:w="1434" w:type="dxa"/>
          </w:tcPr>
          <w:p w14:paraId="0C5CE268" w14:textId="77777777" w:rsidR="003B7027" w:rsidRPr="00A14525" w:rsidRDefault="003B7027" w:rsidP="006E5F9A">
            <w:pPr>
              <w:pStyle w:val="TableParagraph"/>
              <w:rPr>
                <w:sz w:val="20"/>
                <w:szCs w:val="20"/>
              </w:rPr>
            </w:pPr>
          </w:p>
        </w:tc>
        <w:tc>
          <w:tcPr>
            <w:tcW w:w="1842" w:type="dxa"/>
          </w:tcPr>
          <w:p w14:paraId="62665C36" w14:textId="77777777" w:rsidR="003B7027" w:rsidRPr="00A14525" w:rsidRDefault="003B7027" w:rsidP="006E5F9A">
            <w:pPr>
              <w:pStyle w:val="TableParagraph"/>
              <w:rPr>
                <w:sz w:val="20"/>
                <w:szCs w:val="20"/>
              </w:rPr>
            </w:pPr>
          </w:p>
        </w:tc>
        <w:tc>
          <w:tcPr>
            <w:tcW w:w="1985" w:type="dxa"/>
          </w:tcPr>
          <w:p w14:paraId="0BEC78CF" w14:textId="77777777" w:rsidR="003B7027" w:rsidRPr="00A14525" w:rsidRDefault="003B7027" w:rsidP="006E5F9A">
            <w:pPr>
              <w:pStyle w:val="TableParagraph"/>
              <w:rPr>
                <w:sz w:val="20"/>
                <w:szCs w:val="20"/>
              </w:rPr>
            </w:pPr>
          </w:p>
        </w:tc>
        <w:tc>
          <w:tcPr>
            <w:tcW w:w="1435" w:type="dxa"/>
          </w:tcPr>
          <w:p w14:paraId="09E353FA" w14:textId="77777777" w:rsidR="003B7027" w:rsidRPr="00A14525" w:rsidRDefault="00296A74" w:rsidP="006E5F9A">
            <w:pPr>
              <w:pStyle w:val="TableParagraph"/>
              <w:rPr>
                <w:sz w:val="20"/>
                <w:szCs w:val="20"/>
              </w:rPr>
            </w:pPr>
            <w:r w:rsidRPr="00A14525">
              <w:rPr>
                <w:sz w:val="20"/>
                <w:szCs w:val="20"/>
              </w:rPr>
              <w:t>Anafylaksia</w:t>
            </w:r>
            <w:r w:rsidR="00962390" w:rsidRPr="00A14525">
              <w:rPr>
                <w:sz w:val="20"/>
                <w:szCs w:val="20"/>
              </w:rPr>
              <w:t xml:space="preserve"> </w:t>
            </w:r>
            <w:r w:rsidRPr="00A14525">
              <w:rPr>
                <w:sz w:val="20"/>
                <w:szCs w:val="20"/>
              </w:rPr>
              <w:t>(fataali)</w:t>
            </w:r>
            <w:r w:rsidRPr="00A14525">
              <w:rPr>
                <w:sz w:val="20"/>
                <w:szCs w:val="20"/>
                <w:vertAlign w:val="superscript"/>
              </w:rPr>
              <w:t>1,</w:t>
            </w:r>
            <w:r w:rsidRPr="00A14525">
              <w:rPr>
                <w:sz w:val="20"/>
                <w:szCs w:val="20"/>
              </w:rPr>
              <w:t xml:space="preserve"> </w:t>
            </w:r>
            <w:r w:rsidRPr="00A14525">
              <w:rPr>
                <w:sz w:val="20"/>
                <w:szCs w:val="20"/>
                <w:vertAlign w:val="superscript"/>
              </w:rPr>
              <w:t>2,</w:t>
            </w:r>
            <w:r w:rsidRPr="00A14525">
              <w:rPr>
                <w:sz w:val="20"/>
                <w:szCs w:val="20"/>
              </w:rPr>
              <w:t xml:space="preserve"> </w:t>
            </w:r>
            <w:r w:rsidRPr="00A14525">
              <w:rPr>
                <w:sz w:val="20"/>
                <w:szCs w:val="20"/>
                <w:vertAlign w:val="superscript"/>
              </w:rPr>
              <w:t>3</w:t>
            </w:r>
          </w:p>
        </w:tc>
      </w:tr>
      <w:tr w:rsidR="003B7027" w:rsidRPr="00777B93" w14:paraId="4B9A0EC9" w14:textId="77777777" w:rsidTr="00EC0612">
        <w:trPr>
          <w:trHeight w:val="20"/>
        </w:trPr>
        <w:tc>
          <w:tcPr>
            <w:tcW w:w="2376" w:type="dxa"/>
          </w:tcPr>
          <w:p w14:paraId="720BD0E4" w14:textId="77777777" w:rsidR="003B7027" w:rsidRPr="00A14525" w:rsidRDefault="00296A74" w:rsidP="006E5F9A">
            <w:pPr>
              <w:pStyle w:val="TableParagraph"/>
              <w:rPr>
                <w:sz w:val="20"/>
                <w:szCs w:val="20"/>
              </w:rPr>
            </w:pPr>
            <w:r w:rsidRPr="00A14525">
              <w:rPr>
                <w:sz w:val="20"/>
                <w:szCs w:val="20"/>
              </w:rPr>
              <w:t>Umpieritys</w:t>
            </w:r>
          </w:p>
        </w:tc>
        <w:tc>
          <w:tcPr>
            <w:tcW w:w="1434" w:type="dxa"/>
          </w:tcPr>
          <w:p w14:paraId="4A59BFFA" w14:textId="77777777" w:rsidR="003B7027" w:rsidRPr="00A14525" w:rsidRDefault="003B7027" w:rsidP="006E5F9A">
            <w:pPr>
              <w:pStyle w:val="TableParagraph"/>
              <w:rPr>
                <w:sz w:val="20"/>
                <w:szCs w:val="20"/>
              </w:rPr>
            </w:pPr>
          </w:p>
        </w:tc>
        <w:tc>
          <w:tcPr>
            <w:tcW w:w="1842" w:type="dxa"/>
          </w:tcPr>
          <w:p w14:paraId="7026AB1D" w14:textId="77777777" w:rsidR="003B7027" w:rsidRPr="00A14525" w:rsidRDefault="003B7027" w:rsidP="006E5F9A">
            <w:pPr>
              <w:pStyle w:val="TableParagraph"/>
              <w:rPr>
                <w:sz w:val="20"/>
                <w:szCs w:val="20"/>
              </w:rPr>
            </w:pPr>
          </w:p>
        </w:tc>
        <w:tc>
          <w:tcPr>
            <w:tcW w:w="1985" w:type="dxa"/>
          </w:tcPr>
          <w:p w14:paraId="167F7AD0" w14:textId="77777777" w:rsidR="003B7027" w:rsidRPr="00A14525" w:rsidRDefault="00296A74" w:rsidP="006E5F9A">
            <w:pPr>
              <w:pStyle w:val="TableParagraph"/>
              <w:rPr>
                <w:sz w:val="20"/>
                <w:szCs w:val="20"/>
              </w:rPr>
            </w:pPr>
            <w:r w:rsidRPr="00A14525">
              <w:rPr>
                <w:sz w:val="20"/>
                <w:szCs w:val="20"/>
              </w:rPr>
              <w:t>Kilpirauhasen</w:t>
            </w:r>
            <w:r w:rsidR="00962390" w:rsidRPr="00A14525">
              <w:rPr>
                <w:sz w:val="20"/>
                <w:szCs w:val="20"/>
              </w:rPr>
              <w:t xml:space="preserve"> </w:t>
            </w:r>
            <w:r w:rsidRPr="00A14525">
              <w:rPr>
                <w:sz w:val="20"/>
                <w:szCs w:val="20"/>
              </w:rPr>
              <w:t>vajaatoiminta</w:t>
            </w:r>
          </w:p>
        </w:tc>
        <w:tc>
          <w:tcPr>
            <w:tcW w:w="1435" w:type="dxa"/>
          </w:tcPr>
          <w:p w14:paraId="33973A08" w14:textId="77777777" w:rsidR="003B7027" w:rsidRPr="00A14525" w:rsidRDefault="003B7027" w:rsidP="006E5F9A">
            <w:pPr>
              <w:pStyle w:val="TableParagraph"/>
              <w:rPr>
                <w:sz w:val="20"/>
                <w:szCs w:val="20"/>
              </w:rPr>
            </w:pPr>
          </w:p>
        </w:tc>
      </w:tr>
      <w:tr w:rsidR="003B7027" w:rsidRPr="00777B93" w14:paraId="0BD25814" w14:textId="77777777" w:rsidTr="00EC0612">
        <w:trPr>
          <w:trHeight w:val="20"/>
        </w:trPr>
        <w:tc>
          <w:tcPr>
            <w:tcW w:w="2376" w:type="dxa"/>
          </w:tcPr>
          <w:p w14:paraId="7036129A" w14:textId="77777777" w:rsidR="003B7027" w:rsidRPr="00A14525" w:rsidRDefault="00296A74" w:rsidP="006E5F9A">
            <w:pPr>
              <w:pStyle w:val="TableParagraph"/>
              <w:rPr>
                <w:sz w:val="20"/>
                <w:szCs w:val="20"/>
              </w:rPr>
            </w:pPr>
            <w:r w:rsidRPr="00A14525">
              <w:rPr>
                <w:sz w:val="20"/>
                <w:szCs w:val="20"/>
              </w:rPr>
              <w:t>Aineenvaihdunta ja</w:t>
            </w:r>
            <w:r w:rsidR="00962390" w:rsidRPr="00A14525">
              <w:rPr>
                <w:sz w:val="20"/>
                <w:szCs w:val="20"/>
              </w:rPr>
              <w:t xml:space="preserve"> </w:t>
            </w:r>
            <w:r w:rsidRPr="00A14525">
              <w:rPr>
                <w:sz w:val="20"/>
                <w:szCs w:val="20"/>
              </w:rPr>
              <w:t>ravitsemus</w:t>
            </w:r>
          </w:p>
        </w:tc>
        <w:tc>
          <w:tcPr>
            <w:tcW w:w="1434" w:type="dxa"/>
          </w:tcPr>
          <w:p w14:paraId="65749920" w14:textId="77777777" w:rsidR="003B7027" w:rsidRPr="00A14525" w:rsidRDefault="00296A74" w:rsidP="006E5F9A">
            <w:pPr>
              <w:pStyle w:val="TableParagraph"/>
              <w:rPr>
                <w:sz w:val="20"/>
                <w:szCs w:val="20"/>
              </w:rPr>
            </w:pPr>
            <w:r w:rsidRPr="00A14525">
              <w:rPr>
                <w:sz w:val="20"/>
                <w:szCs w:val="20"/>
              </w:rPr>
              <w:t>Hyperkoleste-rolemia*</w:t>
            </w:r>
          </w:p>
        </w:tc>
        <w:tc>
          <w:tcPr>
            <w:tcW w:w="1842" w:type="dxa"/>
          </w:tcPr>
          <w:p w14:paraId="45235224" w14:textId="77777777" w:rsidR="003B7027" w:rsidRPr="00A14525" w:rsidRDefault="003B7027" w:rsidP="006E5F9A">
            <w:pPr>
              <w:pStyle w:val="TableParagraph"/>
              <w:rPr>
                <w:sz w:val="20"/>
                <w:szCs w:val="20"/>
              </w:rPr>
            </w:pPr>
          </w:p>
        </w:tc>
        <w:tc>
          <w:tcPr>
            <w:tcW w:w="1985" w:type="dxa"/>
          </w:tcPr>
          <w:p w14:paraId="77131008" w14:textId="77777777" w:rsidR="003B7027" w:rsidRPr="00A14525" w:rsidRDefault="00296A74" w:rsidP="006E5F9A">
            <w:pPr>
              <w:pStyle w:val="TableParagraph"/>
              <w:rPr>
                <w:sz w:val="20"/>
                <w:szCs w:val="20"/>
              </w:rPr>
            </w:pPr>
            <w:r w:rsidRPr="00A14525">
              <w:rPr>
                <w:sz w:val="20"/>
                <w:szCs w:val="20"/>
              </w:rPr>
              <w:t>Hypertriglyseridemia</w:t>
            </w:r>
          </w:p>
        </w:tc>
        <w:tc>
          <w:tcPr>
            <w:tcW w:w="1435" w:type="dxa"/>
          </w:tcPr>
          <w:p w14:paraId="315B04C2" w14:textId="77777777" w:rsidR="003B7027" w:rsidRPr="00A14525" w:rsidRDefault="003B7027" w:rsidP="006E5F9A">
            <w:pPr>
              <w:pStyle w:val="TableParagraph"/>
              <w:rPr>
                <w:sz w:val="20"/>
                <w:szCs w:val="20"/>
              </w:rPr>
            </w:pPr>
          </w:p>
        </w:tc>
      </w:tr>
      <w:tr w:rsidR="003B7027" w:rsidRPr="00777B93" w14:paraId="515782F2" w14:textId="77777777" w:rsidTr="00EC0612">
        <w:trPr>
          <w:trHeight w:val="20"/>
        </w:trPr>
        <w:tc>
          <w:tcPr>
            <w:tcW w:w="2376" w:type="dxa"/>
          </w:tcPr>
          <w:p w14:paraId="1F89A353" w14:textId="77777777" w:rsidR="003B7027" w:rsidRPr="00A14525" w:rsidRDefault="00296A74" w:rsidP="006E5F9A">
            <w:pPr>
              <w:pStyle w:val="TableParagraph"/>
              <w:rPr>
                <w:sz w:val="20"/>
                <w:szCs w:val="20"/>
              </w:rPr>
            </w:pPr>
            <w:r w:rsidRPr="00A14525">
              <w:rPr>
                <w:sz w:val="20"/>
                <w:szCs w:val="20"/>
              </w:rPr>
              <w:t>Hermosto</w:t>
            </w:r>
          </w:p>
        </w:tc>
        <w:tc>
          <w:tcPr>
            <w:tcW w:w="1434" w:type="dxa"/>
          </w:tcPr>
          <w:p w14:paraId="7E4B797F" w14:textId="77777777" w:rsidR="003B7027" w:rsidRPr="00A14525" w:rsidRDefault="003B7027" w:rsidP="006E5F9A">
            <w:pPr>
              <w:pStyle w:val="TableParagraph"/>
              <w:rPr>
                <w:sz w:val="20"/>
                <w:szCs w:val="20"/>
              </w:rPr>
            </w:pPr>
          </w:p>
        </w:tc>
        <w:tc>
          <w:tcPr>
            <w:tcW w:w="1842" w:type="dxa"/>
          </w:tcPr>
          <w:p w14:paraId="3080EEE1" w14:textId="77777777" w:rsidR="003B7027" w:rsidRPr="00A14525" w:rsidRDefault="00296A74" w:rsidP="006E5F9A">
            <w:pPr>
              <w:pStyle w:val="TableParagraph"/>
              <w:rPr>
                <w:sz w:val="20"/>
                <w:szCs w:val="20"/>
              </w:rPr>
            </w:pPr>
            <w:r w:rsidRPr="00A14525">
              <w:rPr>
                <w:sz w:val="20"/>
                <w:szCs w:val="20"/>
              </w:rPr>
              <w:t>Päänsärky, huimaus</w:t>
            </w:r>
          </w:p>
        </w:tc>
        <w:tc>
          <w:tcPr>
            <w:tcW w:w="1985" w:type="dxa"/>
          </w:tcPr>
          <w:p w14:paraId="5D58FD63" w14:textId="77777777" w:rsidR="003B7027" w:rsidRPr="00A14525" w:rsidRDefault="003B7027" w:rsidP="006E5F9A">
            <w:pPr>
              <w:pStyle w:val="TableParagraph"/>
              <w:rPr>
                <w:sz w:val="20"/>
                <w:szCs w:val="20"/>
              </w:rPr>
            </w:pPr>
          </w:p>
        </w:tc>
        <w:tc>
          <w:tcPr>
            <w:tcW w:w="1435" w:type="dxa"/>
          </w:tcPr>
          <w:p w14:paraId="39FD9C07" w14:textId="77777777" w:rsidR="003B7027" w:rsidRPr="00A14525" w:rsidRDefault="003B7027" w:rsidP="006E5F9A">
            <w:pPr>
              <w:pStyle w:val="TableParagraph"/>
              <w:rPr>
                <w:sz w:val="20"/>
                <w:szCs w:val="20"/>
              </w:rPr>
            </w:pPr>
          </w:p>
        </w:tc>
      </w:tr>
      <w:tr w:rsidR="003B7027" w:rsidRPr="00777B93" w14:paraId="5E8A33DE" w14:textId="77777777" w:rsidTr="00EC0612">
        <w:trPr>
          <w:trHeight w:val="20"/>
        </w:trPr>
        <w:tc>
          <w:tcPr>
            <w:tcW w:w="2376" w:type="dxa"/>
          </w:tcPr>
          <w:p w14:paraId="254765EB" w14:textId="77777777" w:rsidR="003B7027" w:rsidRPr="00A14525" w:rsidRDefault="00296A74" w:rsidP="006E5F9A">
            <w:pPr>
              <w:pStyle w:val="TableParagraph"/>
              <w:rPr>
                <w:sz w:val="20"/>
                <w:szCs w:val="20"/>
              </w:rPr>
            </w:pPr>
            <w:r w:rsidRPr="00A14525">
              <w:rPr>
                <w:sz w:val="20"/>
                <w:szCs w:val="20"/>
              </w:rPr>
              <w:t>Silmät</w:t>
            </w:r>
          </w:p>
        </w:tc>
        <w:tc>
          <w:tcPr>
            <w:tcW w:w="1434" w:type="dxa"/>
          </w:tcPr>
          <w:p w14:paraId="3F1DA058" w14:textId="77777777" w:rsidR="003B7027" w:rsidRPr="00A14525" w:rsidRDefault="003B7027" w:rsidP="006E5F9A">
            <w:pPr>
              <w:pStyle w:val="TableParagraph"/>
              <w:rPr>
                <w:sz w:val="20"/>
                <w:szCs w:val="20"/>
              </w:rPr>
            </w:pPr>
          </w:p>
        </w:tc>
        <w:tc>
          <w:tcPr>
            <w:tcW w:w="1842" w:type="dxa"/>
          </w:tcPr>
          <w:p w14:paraId="6E9D1DBE" w14:textId="77777777" w:rsidR="003B7027" w:rsidRPr="00A14525" w:rsidRDefault="00296A74" w:rsidP="006E5F9A">
            <w:pPr>
              <w:pStyle w:val="TableParagraph"/>
              <w:rPr>
                <w:sz w:val="20"/>
                <w:szCs w:val="20"/>
              </w:rPr>
            </w:pPr>
            <w:r w:rsidRPr="00A14525">
              <w:rPr>
                <w:sz w:val="20"/>
                <w:szCs w:val="20"/>
              </w:rPr>
              <w:t>Sidekalvotulehdus</w:t>
            </w:r>
          </w:p>
        </w:tc>
        <w:tc>
          <w:tcPr>
            <w:tcW w:w="1985" w:type="dxa"/>
          </w:tcPr>
          <w:p w14:paraId="1C8AF0B2" w14:textId="77777777" w:rsidR="003B7027" w:rsidRPr="00A14525" w:rsidRDefault="003B7027" w:rsidP="006E5F9A">
            <w:pPr>
              <w:pStyle w:val="TableParagraph"/>
              <w:rPr>
                <w:sz w:val="20"/>
                <w:szCs w:val="20"/>
              </w:rPr>
            </w:pPr>
          </w:p>
        </w:tc>
        <w:tc>
          <w:tcPr>
            <w:tcW w:w="1435" w:type="dxa"/>
          </w:tcPr>
          <w:p w14:paraId="19409B15" w14:textId="77777777" w:rsidR="003B7027" w:rsidRPr="00A14525" w:rsidRDefault="003B7027" w:rsidP="006E5F9A">
            <w:pPr>
              <w:pStyle w:val="TableParagraph"/>
              <w:rPr>
                <w:sz w:val="20"/>
                <w:szCs w:val="20"/>
              </w:rPr>
            </w:pPr>
          </w:p>
        </w:tc>
      </w:tr>
      <w:tr w:rsidR="003B7027" w:rsidRPr="00777B93" w14:paraId="04461B48" w14:textId="77777777" w:rsidTr="00EC0612">
        <w:trPr>
          <w:trHeight w:val="20"/>
        </w:trPr>
        <w:tc>
          <w:tcPr>
            <w:tcW w:w="2376" w:type="dxa"/>
          </w:tcPr>
          <w:p w14:paraId="76F4B12C" w14:textId="77777777" w:rsidR="003B7027" w:rsidRPr="00A14525" w:rsidRDefault="00296A74" w:rsidP="006E5F9A">
            <w:pPr>
              <w:pStyle w:val="TableParagraph"/>
              <w:rPr>
                <w:sz w:val="20"/>
                <w:szCs w:val="20"/>
              </w:rPr>
            </w:pPr>
            <w:r w:rsidRPr="00A14525">
              <w:rPr>
                <w:sz w:val="20"/>
                <w:szCs w:val="20"/>
              </w:rPr>
              <w:t>Verisuonisto</w:t>
            </w:r>
          </w:p>
        </w:tc>
        <w:tc>
          <w:tcPr>
            <w:tcW w:w="1434" w:type="dxa"/>
          </w:tcPr>
          <w:p w14:paraId="243DE9E9" w14:textId="77777777" w:rsidR="003B7027" w:rsidRPr="00A14525" w:rsidRDefault="003B7027" w:rsidP="006E5F9A">
            <w:pPr>
              <w:pStyle w:val="TableParagraph"/>
              <w:rPr>
                <w:sz w:val="20"/>
                <w:szCs w:val="20"/>
              </w:rPr>
            </w:pPr>
          </w:p>
        </w:tc>
        <w:tc>
          <w:tcPr>
            <w:tcW w:w="1842" w:type="dxa"/>
          </w:tcPr>
          <w:p w14:paraId="76434C1C" w14:textId="77777777" w:rsidR="003B7027" w:rsidRPr="00A14525" w:rsidRDefault="00296A74" w:rsidP="006E5F9A">
            <w:pPr>
              <w:pStyle w:val="TableParagraph"/>
              <w:rPr>
                <w:sz w:val="20"/>
                <w:szCs w:val="20"/>
              </w:rPr>
            </w:pPr>
            <w:r w:rsidRPr="00A14525">
              <w:rPr>
                <w:sz w:val="20"/>
                <w:szCs w:val="20"/>
              </w:rPr>
              <w:t>Hypertensio</w:t>
            </w:r>
          </w:p>
        </w:tc>
        <w:tc>
          <w:tcPr>
            <w:tcW w:w="1985" w:type="dxa"/>
          </w:tcPr>
          <w:p w14:paraId="0ECBBE6B" w14:textId="77777777" w:rsidR="003B7027" w:rsidRPr="00A14525" w:rsidRDefault="003B7027" w:rsidP="006E5F9A">
            <w:pPr>
              <w:pStyle w:val="TableParagraph"/>
              <w:rPr>
                <w:sz w:val="20"/>
                <w:szCs w:val="20"/>
              </w:rPr>
            </w:pPr>
          </w:p>
        </w:tc>
        <w:tc>
          <w:tcPr>
            <w:tcW w:w="1435" w:type="dxa"/>
          </w:tcPr>
          <w:p w14:paraId="3954C63E" w14:textId="77777777" w:rsidR="003B7027" w:rsidRPr="00A14525" w:rsidRDefault="003B7027" w:rsidP="006E5F9A">
            <w:pPr>
              <w:pStyle w:val="TableParagraph"/>
              <w:rPr>
                <w:sz w:val="20"/>
                <w:szCs w:val="20"/>
              </w:rPr>
            </w:pPr>
          </w:p>
        </w:tc>
      </w:tr>
      <w:tr w:rsidR="003B7027" w:rsidRPr="00777B93" w14:paraId="628CB5B5" w14:textId="77777777" w:rsidTr="00EC0612">
        <w:trPr>
          <w:trHeight w:val="20"/>
        </w:trPr>
        <w:tc>
          <w:tcPr>
            <w:tcW w:w="2376" w:type="dxa"/>
          </w:tcPr>
          <w:p w14:paraId="10915C12" w14:textId="77777777" w:rsidR="003B7027" w:rsidRPr="00A14525" w:rsidRDefault="00296A74" w:rsidP="006E5F9A">
            <w:pPr>
              <w:pStyle w:val="TableParagraph"/>
              <w:rPr>
                <w:sz w:val="20"/>
                <w:szCs w:val="20"/>
              </w:rPr>
            </w:pPr>
            <w:r w:rsidRPr="00A14525">
              <w:rPr>
                <w:sz w:val="20"/>
                <w:szCs w:val="20"/>
              </w:rPr>
              <w:t>Hengityselimet,</w:t>
            </w:r>
            <w:r w:rsidR="00962390" w:rsidRPr="00A14525">
              <w:rPr>
                <w:sz w:val="20"/>
                <w:szCs w:val="20"/>
              </w:rPr>
              <w:t xml:space="preserve"> </w:t>
            </w:r>
            <w:r w:rsidRPr="00A14525">
              <w:rPr>
                <w:sz w:val="20"/>
                <w:szCs w:val="20"/>
              </w:rPr>
              <w:t>rintakehä ja välikarsina</w:t>
            </w:r>
          </w:p>
        </w:tc>
        <w:tc>
          <w:tcPr>
            <w:tcW w:w="1434" w:type="dxa"/>
          </w:tcPr>
          <w:p w14:paraId="3385D9E2" w14:textId="77777777" w:rsidR="003B7027" w:rsidRPr="00A14525" w:rsidRDefault="003B7027" w:rsidP="006E5F9A">
            <w:pPr>
              <w:pStyle w:val="TableParagraph"/>
              <w:rPr>
                <w:sz w:val="20"/>
                <w:szCs w:val="20"/>
              </w:rPr>
            </w:pPr>
          </w:p>
        </w:tc>
        <w:tc>
          <w:tcPr>
            <w:tcW w:w="1842" w:type="dxa"/>
          </w:tcPr>
          <w:p w14:paraId="3104878C" w14:textId="77777777" w:rsidR="003B7027" w:rsidRPr="00A14525" w:rsidRDefault="00296A74" w:rsidP="006E5F9A">
            <w:pPr>
              <w:pStyle w:val="TableParagraph"/>
              <w:rPr>
                <w:sz w:val="20"/>
                <w:szCs w:val="20"/>
              </w:rPr>
            </w:pPr>
            <w:r w:rsidRPr="00A14525">
              <w:rPr>
                <w:sz w:val="20"/>
                <w:szCs w:val="20"/>
              </w:rPr>
              <w:t>Yskä, hengenahdistus</w:t>
            </w:r>
          </w:p>
        </w:tc>
        <w:tc>
          <w:tcPr>
            <w:tcW w:w="1985" w:type="dxa"/>
          </w:tcPr>
          <w:p w14:paraId="15D0D489" w14:textId="77777777" w:rsidR="003B7027" w:rsidRPr="00A14525" w:rsidRDefault="003B7027" w:rsidP="006E5F9A">
            <w:pPr>
              <w:pStyle w:val="TableParagraph"/>
              <w:rPr>
                <w:sz w:val="20"/>
                <w:szCs w:val="20"/>
              </w:rPr>
            </w:pPr>
          </w:p>
        </w:tc>
        <w:tc>
          <w:tcPr>
            <w:tcW w:w="1435" w:type="dxa"/>
          </w:tcPr>
          <w:p w14:paraId="07765AF9" w14:textId="77777777" w:rsidR="003B7027" w:rsidRPr="00A14525" w:rsidRDefault="003B7027" w:rsidP="006E5F9A">
            <w:pPr>
              <w:pStyle w:val="TableParagraph"/>
              <w:rPr>
                <w:sz w:val="20"/>
                <w:szCs w:val="20"/>
              </w:rPr>
            </w:pPr>
          </w:p>
        </w:tc>
      </w:tr>
      <w:tr w:rsidR="003B7027" w:rsidRPr="00777B93" w14:paraId="274FBC20" w14:textId="77777777" w:rsidTr="00EC0612">
        <w:trPr>
          <w:trHeight w:val="20"/>
        </w:trPr>
        <w:tc>
          <w:tcPr>
            <w:tcW w:w="2376" w:type="dxa"/>
          </w:tcPr>
          <w:p w14:paraId="4B23C3E2" w14:textId="77777777" w:rsidR="003B7027" w:rsidRPr="00A14525" w:rsidRDefault="00296A74" w:rsidP="006E5F9A">
            <w:pPr>
              <w:pStyle w:val="TableParagraph"/>
              <w:rPr>
                <w:sz w:val="20"/>
                <w:szCs w:val="20"/>
              </w:rPr>
            </w:pPr>
            <w:r w:rsidRPr="00A14525">
              <w:rPr>
                <w:sz w:val="20"/>
                <w:szCs w:val="20"/>
              </w:rPr>
              <w:t>Ruoansulatuselimistö</w:t>
            </w:r>
          </w:p>
        </w:tc>
        <w:tc>
          <w:tcPr>
            <w:tcW w:w="1434" w:type="dxa"/>
          </w:tcPr>
          <w:p w14:paraId="361E9ADB" w14:textId="77777777" w:rsidR="003B7027" w:rsidRPr="00A14525" w:rsidRDefault="003B7027" w:rsidP="006E5F9A">
            <w:pPr>
              <w:pStyle w:val="TableParagraph"/>
              <w:rPr>
                <w:sz w:val="20"/>
                <w:szCs w:val="20"/>
              </w:rPr>
            </w:pPr>
          </w:p>
        </w:tc>
        <w:tc>
          <w:tcPr>
            <w:tcW w:w="1842" w:type="dxa"/>
          </w:tcPr>
          <w:p w14:paraId="4F2790A9" w14:textId="77777777" w:rsidR="003B7027" w:rsidRPr="00A14525" w:rsidRDefault="00296A74" w:rsidP="006E5F9A">
            <w:pPr>
              <w:pStyle w:val="TableParagraph"/>
              <w:rPr>
                <w:sz w:val="20"/>
                <w:szCs w:val="20"/>
              </w:rPr>
            </w:pPr>
            <w:r w:rsidRPr="00A14525">
              <w:rPr>
                <w:sz w:val="20"/>
                <w:szCs w:val="20"/>
              </w:rPr>
              <w:t>Vatsakipu, suun</w:t>
            </w:r>
            <w:r w:rsidR="00962390" w:rsidRPr="00A14525">
              <w:rPr>
                <w:sz w:val="20"/>
                <w:szCs w:val="20"/>
              </w:rPr>
              <w:t xml:space="preserve"> </w:t>
            </w:r>
            <w:r w:rsidRPr="00A14525">
              <w:rPr>
                <w:sz w:val="20"/>
                <w:szCs w:val="20"/>
              </w:rPr>
              <w:t>haavaumat, gastriitti</w:t>
            </w:r>
          </w:p>
        </w:tc>
        <w:tc>
          <w:tcPr>
            <w:tcW w:w="1985" w:type="dxa"/>
          </w:tcPr>
          <w:p w14:paraId="3BE579B6" w14:textId="77777777" w:rsidR="003B7027" w:rsidRPr="00A14525" w:rsidRDefault="00296A74" w:rsidP="006E5F9A">
            <w:pPr>
              <w:pStyle w:val="TableParagraph"/>
              <w:rPr>
                <w:sz w:val="20"/>
                <w:szCs w:val="20"/>
              </w:rPr>
            </w:pPr>
            <w:r w:rsidRPr="00A14525">
              <w:rPr>
                <w:sz w:val="20"/>
                <w:szCs w:val="20"/>
              </w:rPr>
              <w:t>Suutulehdus,</w:t>
            </w:r>
            <w:r w:rsidR="00962390" w:rsidRPr="00A14525">
              <w:rPr>
                <w:sz w:val="20"/>
                <w:szCs w:val="20"/>
              </w:rPr>
              <w:t xml:space="preserve"> </w:t>
            </w:r>
            <w:r w:rsidRPr="00A14525">
              <w:rPr>
                <w:sz w:val="20"/>
                <w:szCs w:val="20"/>
              </w:rPr>
              <w:t>mahahaava</w:t>
            </w:r>
          </w:p>
        </w:tc>
        <w:tc>
          <w:tcPr>
            <w:tcW w:w="1435" w:type="dxa"/>
          </w:tcPr>
          <w:p w14:paraId="6D7B1E8B" w14:textId="77777777" w:rsidR="003B7027" w:rsidRPr="00A14525" w:rsidRDefault="003B7027" w:rsidP="006E5F9A">
            <w:pPr>
              <w:pStyle w:val="TableParagraph"/>
              <w:rPr>
                <w:sz w:val="20"/>
                <w:szCs w:val="20"/>
              </w:rPr>
            </w:pPr>
          </w:p>
        </w:tc>
      </w:tr>
      <w:tr w:rsidR="003B7027" w:rsidRPr="00777B93" w14:paraId="20A37C7A" w14:textId="77777777" w:rsidTr="00EC0612">
        <w:trPr>
          <w:trHeight w:val="20"/>
        </w:trPr>
        <w:tc>
          <w:tcPr>
            <w:tcW w:w="2376" w:type="dxa"/>
          </w:tcPr>
          <w:p w14:paraId="38F0D465" w14:textId="77777777" w:rsidR="003B7027" w:rsidRPr="00A14525" w:rsidRDefault="00296A74" w:rsidP="006E5F9A">
            <w:pPr>
              <w:pStyle w:val="TableParagraph"/>
              <w:rPr>
                <w:sz w:val="20"/>
                <w:szCs w:val="20"/>
              </w:rPr>
            </w:pPr>
            <w:r w:rsidRPr="00A14525">
              <w:rPr>
                <w:sz w:val="20"/>
                <w:szCs w:val="20"/>
              </w:rPr>
              <w:t>Maksa ja sappi</w:t>
            </w:r>
          </w:p>
        </w:tc>
        <w:tc>
          <w:tcPr>
            <w:tcW w:w="1434" w:type="dxa"/>
          </w:tcPr>
          <w:p w14:paraId="0A10E616" w14:textId="77777777" w:rsidR="003B7027" w:rsidRPr="00A14525" w:rsidRDefault="003B7027" w:rsidP="006E5F9A">
            <w:pPr>
              <w:pStyle w:val="TableParagraph"/>
              <w:rPr>
                <w:sz w:val="20"/>
                <w:szCs w:val="20"/>
              </w:rPr>
            </w:pPr>
          </w:p>
        </w:tc>
        <w:tc>
          <w:tcPr>
            <w:tcW w:w="1842" w:type="dxa"/>
          </w:tcPr>
          <w:p w14:paraId="455780BB" w14:textId="77777777" w:rsidR="003B7027" w:rsidRPr="00A14525" w:rsidRDefault="003B7027" w:rsidP="006E5F9A">
            <w:pPr>
              <w:pStyle w:val="TableParagraph"/>
              <w:rPr>
                <w:sz w:val="20"/>
                <w:szCs w:val="20"/>
              </w:rPr>
            </w:pPr>
          </w:p>
        </w:tc>
        <w:tc>
          <w:tcPr>
            <w:tcW w:w="1985" w:type="dxa"/>
          </w:tcPr>
          <w:p w14:paraId="48F25C40" w14:textId="77777777" w:rsidR="003B7027" w:rsidRPr="00A14525" w:rsidRDefault="003B7027" w:rsidP="006E5F9A">
            <w:pPr>
              <w:pStyle w:val="TableParagraph"/>
              <w:rPr>
                <w:sz w:val="20"/>
                <w:szCs w:val="20"/>
              </w:rPr>
            </w:pPr>
          </w:p>
        </w:tc>
        <w:tc>
          <w:tcPr>
            <w:tcW w:w="1435" w:type="dxa"/>
          </w:tcPr>
          <w:p w14:paraId="14C9E6AF" w14:textId="77777777" w:rsidR="003B7027" w:rsidRPr="00A14525" w:rsidRDefault="00296A74" w:rsidP="006E5F9A">
            <w:pPr>
              <w:pStyle w:val="TableParagraph"/>
              <w:rPr>
                <w:sz w:val="20"/>
                <w:szCs w:val="20"/>
              </w:rPr>
            </w:pPr>
            <w:r w:rsidRPr="00A14525">
              <w:rPr>
                <w:sz w:val="20"/>
                <w:szCs w:val="20"/>
              </w:rPr>
              <w:t>Lääkkeestä aiheutunut maksavaurio, hepatiitti ja ikterus. Hyvin harvinainen:</w:t>
            </w:r>
            <w:r w:rsidR="00962390" w:rsidRPr="00A14525">
              <w:rPr>
                <w:sz w:val="20"/>
                <w:szCs w:val="20"/>
              </w:rPr>
              <w:t xml:space="preserve"> </w:t>
            </w:r>
            <w:r w:rsidRPr="00A14525">
              <w:rPr>
                <w:sz w:val="20"/>
                <w:szCs w:val="20"/>
              </w:rPr>
              <w:t>maksan vajaatoiminta</w:t>
            </w:r>
          </w:p>
        </w:tc>
      </w:tr>
      <w:tr w:rsidR="003B7027" w:rsidRPr="00777B93" w14:paraId="1C159F32" w14:textId="77777777" w:rsidTr="00EC0612">
        <w:trPr>
          <w:trHeight w:val="20"/>
        </w:trPr>
        <w:tc>
          <w:tcPr>
            <w:tcW w:w="2376" w:type="dxa"/>
          </w:tcPr>
          <w:p w14:paraId="3AEB10F0" w14:textId="77777777" w:rsidR="003B7027" w:rsidRPr="00A14525" w:rsidRDefault="00296A74" w:rsidP="006E5F9A">
            <w:pPr>
              <w:pStyle w:val="TableParagraph"/>
              <w:rPr>
                <w:sz w:val="20"/>
                <w:szCs w:val="20"/>
              </w:rPr>
            </w:pPr>
            <w:r w:rsidRPr="00A14525">
              <w:rPr>
                <w:sz w:val="20"/>
                <w:szCs w:val="20"/>
              </w:rPr>
              <w:t>Iho ja ihonalainen kudos</w:t>
            </w:r>
          </w:p>
        </w:tc>
        <w:tc>
          <w:tcPr>
            <w:tcW w:w="1434" w:type="dxa"/>
          </w:tcPr>
          <w:p w14:paraId="66F59F00" w14:textId="77777777" w:rsidR="003B7027" w:rsidRPr="00A14525" w:rsidRDefault="003B7027" w:rsidP="006E5F9A">
            <w:pPr>
              <w:pStyle w:val="TableParagraph"/>
              <w:rPr>
                <w:sz w:val="20"/>
                <w:szCs w:val="20"/>
              </w:rPr>
            </w:pPr>
          </w:p>
        </w:tc>
        <w:tc>
          <w:tcPr>
            <w:tcW w:w="1842" w:type="dxa"/>
          </w:tcPr>
          <w:p w14:paraId="77E1BEB4" w14:textId="77777777" w:rsidR="003B7027" w:rsidRPr="00A14525" w:rsidRDefault="00296A74" w:rsidP="006E5F9A">
            <w:pPr>
              <w:pStyle w:val="TableParagraph"/>
              <w:rPr>
                <w:sz w:val="20"/>
                <w:szCs w:val="20"/>
              </w:rPr>
            </w:pPr>
            <w:r w:rsidRPr="00A14525">
              <w:rPr>
                <w:sz w:val="20"/>
                <w:szCs w:val="20"/>
              </w:rPr>
              <w:t>Ihottuma, kutina, nokkosihottuma</w:t>
            </w:r>
          </w:p>
        </w:tc>
        <w:tc>
          <w:tcPr>
            <w:tcW w:w="1985" w:type="dxa"/>
          </w:tcPr>
          <w:p w14:paraId="2A5DFB53" w14:textId="77777777" w:rsidR="003B7027" w:rsidRPr="00A14525" w:rsidRDefault="003B7027" w:rsidP="006E5F9A">
            <w:pPr>
              <w:pStyle w:val="TableParagraph"/>
              <w:rPr>
                <w:sz w:val="20"/>
                <w:szCs w:val="20"/>
              </w:rPr>
            </w:pPr>
          </w:p>
        </w:tc>
        <w:tc>
          <w:tcPr>
            <w:tcW w:w="1435" w:type="dxa"/>
          </w:tcPr>
          <w:p w14:paraId="727F6369" w14:textId="77777777" w:rsidR="003B7027" w:rsidRPr="00A14525" w:rsidRDefault="00296A74" w:rsidP="006E5F9A">
            <w:pPr>
              <w:pStyle w:val="TableParagraph"/>
              <w:rPr>
                <w:sz w:val="20"/>
                <w:szCs w:val="20"/>
              </w:rPr>
            </w:pPr>
            <w:r w:rsidRPr="00A14525">
              <w:rPr>
                <w:color w:val="1C1C1C"/>
                <w:sz w:val="20"/>
                <w:szCs w:val="20"/>
              </w:rPr>
              <w:t>Stevens- Johnsonin</w:t>
            </w:r>
            <w:r w:rsidR="00962390" w:rsidRPr="00A14525">
              <w:rPr>
                <w:color w:val="1C1C1C"/>
                <w:sz w:val="20"/>
                <w:szCs w:val="20"/>
              </w:rPr>
              <w:t xml:space="preserve"> </w:t>
            </w:r>
            <w:r w:rsidRPr="00A14525">
              <w:rPr>
                <w:color w:val="1C1C1C"/>
                <w:sz w:val="20"/>
                <w:szCs w:val="20"/>
              </w:rPr>
              <w:t>oireyhtymä</w:t>
            </w:r>
            <w:r w:rsidRPr="00A14525">
              <w:rPr>
                <w:color w:val="1C1C1C"/>
                <w:sz w:val="20"/>
                <w:szCs w:val="20"/>
                <w:vertAlign w:val="superscript"/>
              </w:rPr>
              <w:t>3</w:t>
            </w:r>
          </w:p>
        </w:tc>
      </w:tr>
      <w:tr w:rsidR="003B7027" w:rsidRPr="00777B93" w14:paraId="60E57833" w14:textId="77777777" w:rsidTr="00EC0612">
        <w:trPr>
          <w:trHeight w:val="20"/>
        </w:trPr>
        <w:tc>
          <w:tcPr>
            <w:tcW w:w="2376" w:type="dxa"/>
          </w:tcPr>
          <w:p w14:paraId="0488F1F2" w14:textId="77777777" w:rsidR="003B7027" w:rsidRPr="00A14525" w:rsidRDefault="00296A74" w:rsidP="006E5F9A">
            <w:pPr>
              <w:pStyle w:val="TableParagraph"/>
              <w:rPr>
                <w:sz w:val="20"/>
                <w:szCs w:val="20"/>
              </w:rPr>
            </w:pPr>
            <w:r w:rsidRPr="00A14525">
              <w:rPr>
                <w:sz w:val="20"/>
                <w:szCs w:val="20"/>
              </w:rPr>
              <w:t>Munuaiset ja virtsatiet</w:t>
            </w:r>
          </w:p>
        </w:tc>
        <w:tc>
          <w:tcPr>
            <w:tcW w:w="1434" w:type="dxa"/>
          </w:tcPr>
          <w:p w14:paraId="14B68DE9" w14:textId="77777777" w:rsidR="003B7027" w:rsidRPr="00A14525" w:rsidRDefault="003B7027" w:rsidP="006E5F9A">
            <w:pPr>
              <w:pStyle w:val="TableParagraph"/>
              <w:rPr>
                <w:sz w:val="20"/>
                <w:szCs w:val="20"/>
              </w:rPr>
            </w:pPr>
          </w:p>
        </w:tc>
        <w:tc>
          <w:tcPr>
            <w:tcW w:w="1842" w:type="dxa"/>
          </w:tcPr>
          <w:p w14:paraId="3A6ED194" w14:textId="77777777" w:rsidR="003B7027" w:rsidRPr="00A14525" w:rsidRDefault="003B7027" w:rsidP="006E5F9A">
            <w:pPr>
              <w:pStyle w:val="TableParagraph"/>
              <w:rPr>
                <w:sz w:val="20"/>
                <w:szCs w:val="20"/>
              </w:rPr>
            </w:pPr>
          </w:p>
        </w:tc>
        <w:tc>
          <w:tcPr>
            <w:tcW w:w="1985" w:type="dxa"/>
          </w:tcPr>
          <w:p w14:paraId="486ADB81" w14:textId="77777777" w:rsidR="003B7027" w:rsidRPr="00A14525" w:rsidRDefault="00296A74" w:rsidP="006E5F9A">
            <w:pPr>
              <w:pStyle w:val="TableParagraph"/>
              <w:rPr>
                <w:sz w:val="20"/>
                <w:szCs w:val="20"/>
              </w:rPr>
            </w:pPr>
            <w:r w:rsidRPr="00A14525">
              <w:rPr>
                <w:sz w:val="20"/>
                <w:szCs w:val="20"/>
              </w:rPr>
              <w:t>Munuaiskivitauti</w:t>
            </w:r>
          </w:p>
        </w:tc>
        <w:tc>
          <w:tcPr>
            <w:tcW w:w="1435" w:type="dxa"/>
          </w:tcPr>
          <w:p w14:paraId="4673BB4E" w14:textId="77777777" w:rsidR="003B7027" w:rsidRPr="00A14525" w:rsidRDefault="003B7027" w:rsidP="006E5F9A">
            <w:pPr>
              <w:pStyle w:val="TableParagraph"/>
              <w:rPr>
                <w:sz w:val="20"/>
                <w:szCs w:val="20"/>
              </w:rPr>
            </w:pPr>
          </w:p>
        </w:tc>
      </w:tr>
      <w:tr w:rsidR="003B7027" w:rsidRPr="00777B93" w14:paraId="2503ABA2" w14:textId="77777777" w:rsidTr="00EC0612">
        <w:trPr>
          <w:trHeight w:val="20"/>
        </w:trPr>
        <w:tc>
          <w:tcPr>
            <w:tcW w:w="2376" w:type="dxa"/>
          </w:tcPr>
          <w:p w14:paraId="5E4126B3" w14:textId="77777777" w:rsidR="003B7027" w:rsidRPr="00A14525" w:rsidRDefault="00296A74" w:rsidP="006E5F9A">
            <w:pPr>
              <w:pStyle w:val="TableParagraph"/>
              <w:rPr>
                <w:sz w:val="20"/>
                <w:szCs w:val="20"/>
              </w:rPr>
            </w:pPr>
            <w:r w:rsidRPr="00A14525">
              <w:rPr>
                <w:sz w:val="20"/>
                <w:szCs w:val="20"/>
              </w:rPr>
              <w:t>Yleisoireet ja antopaikassa todettavat</w:t>
            </w:r>
            <w:r w:rsidR="00962390" w:rsidRPr="00A14525">
              <w:rPr>
                <w:sz w:val="20"/>
                <w:szCs w:val="20"/>
              </w:rPr>
              <w:t xml:space="preserve"> </w:t>
            </w:r>
            <w:r w:rsidRPr="00A14525">
              <w:rPr>
                <w:sz w:val="20"/>
                <w:szCs w:val="20"/>
              </w:rPr>
              <w:t>haitat</w:t>
            </w:r>
          </w:p>
        </w:tc>
        <w:tc>
          <w:tcPr>
            <w:tcW w:w="1434" w:type="dxa"/>
          </w:tcPr>
          <w:p w14:paraId="047689A2" w14:textId="77777777" w:rsidR="003B7027" w:rsidRPr="00A14525" w:rsidRDefault="00296A74" w:rsidP="006E5F9A">
            <w:pPr>
              <w:pStyle w:val="TableParagraph"/>
              <w:rPr>
                <w:sz w:val="20"/>
                <w:szCs w:val="20"/>
              </w:rPr>
            </w:pPr>
            <w:r w:rsidRPr="00A14525">
              <w:rPr>
                <w:sz w:val="20"/>
                <w:szCs w:val="20"/>
              </w:rPr>
              <w:t>Injektiokohdan reaktiot</w:t>
            </w:r>
          </w:p>
        </w:tc>
        <w:tc>
          <w:tcPr>
            <w:tcW w:w="1842" w:type="dxa"/>
          </w:tcPr>
          <w:p w14:paraId="528AAED8" w14:textId="77777777" w:rsidR="003B7027" w:rsidRPr="00A14525" w:rsidRDefault="00296A74" w:rsidP="006E5F9A">
            <w:pPr>
              <w:pStyle w:val="TableParagraph"/>
              <w:rPr>
                <w:sz w:val="20"/>
                <w:szCs w:val="20"/>
              </w:rPr>
            </w:pPr>
            <w:r w:rsidRPr="00A14525">
              <w:rPr>
                <w:sz w:val="20"/>
                <w:szCs w:val="20"/>
              </w:rPr>
              <w:t>Perifeerinen ödeema, yliherkkyysreaktiot</w:t>
            </w:r>
          </w:p>
        </w:tc>
        <w:tc>
          <w:tcPr>
            <w:tcW w:w="1985" w:type="dxa"/>
          </w:tcPr>
          <w:p w14:paraId="2D6267A4" w14:textId="77777777" w:rsidR="003B7027" w:rsidRPr="00A14525" w:rsidRDefault="003B7027" w:rsidP="006E5F9A">
            <w:pPr>
              <w:pStyle w:val="TableParagraph"/>
              <w:rPr>
                <w:sz w:val="20"/>
                <w:szCs w:val="20"/>
              </w:rPr>
            </w:pPr>
          </w:p>
        </w:tc>
        <w:tc>
          <w:tcPr>
            <w:tcW w:w="1435" w:type="dxa"/>
          </w:tcPr>
          <w:p w14:paraId="332EC9E2" w14:textId="77777777" w:rsidR="003B7027" w:rsidRPr="00A14525" w:rsidRDefault="003B7027" w:rsidP="006E5F9A">
            <w:pPr>
              <w:pStyle w:val="TableParagraph"/>
              <w:rPr>
                <w:sz w:val="20"/>
                <w:szCs w:val="20"/>
              </w:rPr>
            </w:pPr>
          </w:p>
        </w:tc>
      </w:tr>
      <w:tr w:rsidR="003B7027" w:rsidRPr="00ED6BAC" w14:paraId="782FE819" w14:textId="77777777" w:rsidTr="00EC0612">
        <w:trPr>
          <w:trHeight w:val="20"/>
        </w:trPr>
        <w:tc>
          <w:tcPr>
            <w:tcW w:w="2376" w:type="dxa"/>
          </w:tcPr>
          <w:p w14:paraId="18DC391A" w14:textId="77777777" w:rsidR="003B7027" w:rsidRPr="00A14525" w:rsidRDefault="00296A74" w:rsidP="006E5F9A">
            <w:pPr>
              <w:pStyle w:val="TableParagraph"/>
              <w:rPr>
                <w:sz w:val="20"/>
                <w:szCs w:val="20"/>
              </w:rPr>
            </w:pPr>
            <w:r w:rsidRPr="00A14525">
              <w:rPr>
                <w:sz w:val="20"/>
                <w:szCs w:val="20"/>
              </w:rPr>
              <w:t>Tutkimukset</w:t>
            </w:r>
          </w:p>
        </w:tc>
        <w:tc>
          <w:tcPr>
            <w:tcW w:w="1434" w:type="dxa"/>
          </w:tcPr>
          <w:p w14:paraId="5387465A" w14:textId="77777777" w:rsidR="003B7027" w:rsidRPr="00A14525" w:rsidRDefault="003B7027" w:rsidP="006E5F9A">
            <w:pPr>
              <w:pStyle w:val="TableParagraph"/>
              <w:rPr>
                <w:sz w:val="20"/>
                <w:szCs w:val="20"/>
              </w:rPr>
            </w:pPr>
          </w:p>
        </w:tc>
        <w:tc>
          <w:tcPr>
            <w:tcW w:w="1842" w:type="dxa"/>
          </w:tcPr>
          <w:p w14:paraId="07A2D579" w14:textId="77777777" w:rsidR="003B7027" w:rsidRPr="00A14525" w:rsidRDefault="00296A74" w:rsidP="006E5F9A">
            <w:pPr>
              <w:pStyle w:val="TableParagraph"/>
              <w:rPr>
                <w:sz w:val="20"/>
                <w:szCs w:val="20"/>
              </w:rPr>
            </w:pPr>
            <w:r w:rsidRPr="00A14525">
              <w:rPr>
                <w:sz w:val="20"/>
                <w:szCs w:val="20"/>
              </w:rPr>
              <w:t>Maksan aminotransferaasiarvoje n nousu, painon nousu, kokonaisbilirubiiniarvon</w:t>
            </w:r>
            <w:r w:rsidR="00962390" w:rsidRPr="00A14525">
              <w:rPr>
                <w:sz w:val="20"/>
                <w:szCs w:val="20"/>
              </w:rPr>
              <w:t xml:space="preserve"> </w:t>
            </w:r>
            <w:r w:rsidRPr="00A14525">
              <w:rPr>
                <w:sz w:val="20"/>
                <w:szCs w:val="20"/>
              </w:rPr>
              <w:t>nousu*</w:t>
            </w:r>
          </w:p>
        </w:tc>
        <w:tc>
          <w:tcPr>
            <w:tcW w:w="1985" w:type="dxa"/>
          </w:tcPr>
          <w:p w14:paraId="0CE43038" w14:textId="77777777" w:rsidR="003B7027" w:rsidRPr="00A14525" w:rsidRDefault="003B7027" w:rsidP="006E5F9A">
            <w:pPr>
              <w:pStyle w:val="TableParagraph"/>
              <w:rPr>
                <w:sz w:val="20"/>
                <w:szCs w:val="20"/>
              </w:rPr>
            </w:pPr>
          </w:p>
        </w:tc>
        <w:tc>
          <w:tcPr>
            <w:tcW w:w="1435" w:type="dxa"/>
          </w:tcPr>
          <w:p w14:paraId="291A7CBB" w14:textId="77777777" w:rsidR="003B7027" w:rsidRPr="00A14525" w:rsidRDefault="003B7027" w:rsidP="006E5F9A">
            <w:pPr>
              <w:pStyle w:val="TableParagraph"/>
              <w:rPr>
                <w:sz w:val="20"/>
                <w:szCs w:val="20"/>
              </w:rPr>
            </w:pPr>
          </w:p>
        </w:tc>
      </w:tr>
    </w:tbl>
    <w:p w14:paraId="60E802F0" w14:textId="77777777" w:rsidR="003B7027" w:rsidRPr="00CA43F5" w:rsidRDefault="00296A74" w:rsidP="006E5F9A">
      <w:pPr>
        <w:rPr>
          <w:sz w:val="18"/>
          <w:szCs w:val="18"/>
          <w:lang w:val="fi-FI"/>
        </w:rPr>
      </w:pPr>
      <w:r w:rsidRPr="00CA43F5">
        <w:rPr>
          <w:sz w:val="18"/>
          <w:szCs w:val="18"/>
          <w:lang w:val="fi-FI"/>
        </w:rPr>
        <w:t>*Sisältää tavanomaisessa laboratorioseurannassa kerätyt kohonneet arvot (ks. alempana oleva teksti)</w:t>
      </w:r>
    </w:p>
    <w:p w14:paraId="3FC594C4" w14:textId="77777777" w:rsidR="003B7027" w:rsidRPr="00CA43F5" w:rsidRDefault="00296A74" w:rsidP="00A14525">
      <w:pPr>
        <w:ind w:left="284" w:hanging="284"/>
        <w:rPr>
          <w:sz w:val="18"/>
          <w:szCs w:val="18"/>
          <w:lang w:val="fi-FI"/>
        </w:rPr>
      </w:pPr>
      <w:r w:rsidRPr="00CA43F5">
        <w:rPr>
          <w:sz w:val="18"/>
          <w:szCs w:val="18"/>
          <w:vertAlign w:val="superscript"/>
          <w:lang w:val="fi-FI"/>
        </w:rPr>
        <w:t>1</w:t>
      </w:r>
      <w:r w:rsidR="00F5649D" w:rsidRPr="00CA43F5">
        <w:rPr>
          <w:sz w:val="18"/>
          <w:szCs w:val="18"/>
          <w:lang w:val="fi-FI"/>
        </w:rPr>
        <w:tab/>
      </w:r>
      <w:r w:rsidRPr="00CA43F5">
        <w:rPr>
          <w:sz w:val="18"/>
          <w:szCs w:val="18"/>
          <w:lang w:val="fi-FI"/>
        </w:rPr>
        <w:t>Katso kohta 4.3</w:t>
      </w:r>
    </w:p>
    <w:p w14:paraId="19E90C68" w14:textId="77777777" w:rsidR="003B7027" w:rsidRPr="00CA43F5" w:rsidRDefault="00296A74" w:rsidP="00A14525">
      <w:pPr>
        <w:ind w:left="284" w:hanging="284"/>
        <w:rPr>
          <w:sz w:val="18"/>
          <w:szCs w:val="18"/>
          <w:lang w:val="fi-FI"/>
        </w:rPr>
      </w:pPr>
      <w:r w:rsidRPr="00CA43F5">
        <w:rPr>
          <w:sz w:val="18"/>
          <w:szCs w:val="18"/>
          <w:vertAlign w:val="superscript"/>
          <w:lang w:val="fi-FI"/>
        </w:rPr>
        <w:lastRenderedPageBreak/>
        <w:t>2</w:t>
      </w:r>
      <w:r w:rsidR="00F5649D" w:rsidRPr="00CA43F5">
        <w:rPr>
          <w:sz w:val="18"/>
          <w:szCs w:val="18"/>
          <w:lang w:val="fi-FI"/>
        </w:rPr>
        <w:tab/>
      </w:r>
      <w:r w:rsidRPr="00CA43F5">
        <w:rPr>
          <w:sz w:val="18"/>
          <w:szCs w:val="18"/>
          <w:lang w:val="fi-FI"/>
        </w:rPr>
        <w:t>Katso kohta 4.4</w:t>
      </w:r>
    </w:p>
    <w:p w14:paraId="1C8DA629" w14:textId="77777777" w:rsidR="003B7027" w:rsidRPr="00CA43F5" w:rsidRDefault="00296A74" w:rsidP="00A14525">
      <w:pPr>
        <w:ind w:left="284" w:hanging="284"/>
        <w:rPr>
          <w:sz w:val="18"/>
          <w:szCs w:val="18"/>
          <w:lang w:val="fi-FI"/>
        </w:rPr>
      </w:pPr>
      <w:r w:rsidRPr="00CA43F5">
        <w:rPr>
          <w:sz w:val="18"/>
          <w:szCs w:val="18"/>
          <w:vertAlign w:val="superscript"/>
          <w:lang w:val="fi-FI"/>
        </w:rPr>
        <w:t>3</w:t>
      </w:r>
      <w:r w:rsidR="00F5649D" w:rsidRPr="00CA43F5">
        <w:rPr>
          <w:sz w:val="18"/>
          <w:szCs w:val="18"/>
          <w:lang w:val="fi-FI"/>
        </w:rPr>
        <w:tab/>
      </w:r>
      <w:r w:rsidRPr="00CA43F5">
        <w:rPr>
          <w:sz w:val="18"/>
          <w:szCs w:val="18"/>
          <w:lang w:val="fi-FI"/>
        </w:rPr>
        <w:t>Tämä haittavaikutus havaittiin markkinoille tulon jälkeen, mutta sitä ei ole raportoitu kontrolloiduissa kliinisissä tutkimuksissa. Yleisyysluokka arvioitiin käyttämällä 95 prosentin luottamusvälin ylärajaa ja se perustuu kliinisissä tutkimuksissa tosilitsumabille altistuneiden potilaiden kokonaismäärään.</w:t>
      </w:r>
    </w:p>
    <w:p w14:paraId="012C251A" w14:textId="77777777" w:rsidR="003B7027" w:rsidRPr="0028514E" w:rsidRDefault="003B7027" w:rsidP="006E5F9A">
      <w:pPr>
        <w:pStyle w:val="a4"/>
        <w:ind w:left="0"/>
        <w:rPr>
          <w:sz w:val="19"/>
        </w:rPr>
      </w:pPr>
    </w:p>
    <w:p w14:paraId="1597FE63" w14:textId="77777777" w:rsidR="003B7027" w:rsidRPr="0028514E" w:rsidRDefault="00296A74" w:rsidP="00AD50F1">
      <w:pPr>
        <w:pStyle w:val="a4"/>
        <w:keepNext/>
        <w:keepLines/>
        <w:ind w:left="0"/>
      </w:pPr>
      <w:r w:rsidRPr="0028514E">
        <w:rPr>
          <w:u w:val="single"/>
        </w:rPr>
        <w:t>Ihonalainen annostelu</w:t>
      </w:r>
    </w:p>
    <w:p w14:paraId="0306C854" w14:textId="77777777" w:rsidR="003B7027" w:rsidRPr="00CA43F5" w:rsidRDefault="00296A74" w:rsidP="00AD50F1">
      <w:pPr>
        <w:keepNext/>
        <w:keepLines/>
        <w:rPr>
          <w:b/>
          <w:lang w:val="fi-FI"/>
        </w:rPr>
      </w:pPr>
      <w:r w:rsidRPr="00CA43F5">
        <w:rPr>
          <w:b/>
          <w:u w:val="single"/>
          <w:lang w:val="fi-FI"/>
        </w:rPr>
        <w:t>Nivelreuma</w:t>
      </w:r>
    </w:p>
    <w:p w14:paraId="636962BA" w14:textId="0999EBBD" w:rsidR="003B7027" w:rsidRPr="0028514E" w:rsidRDefault="00296A74" w:rsidP="006E5F9A">
      <w:pPr>
        <w:pStyle w:val="a4"/>
        <w:ind w:left="0"/>
      </w:pPr>
      <w:r w:rsidRPr="0028514E">
        <w:t xml:space="preserve">Ihon alle annosteltavan </w:t>
      </w:r>
      <w:r w:rsidR="00BA3A23">
        <w:t xml:space="preserve">tosilitsumabin </w:t>
      </w:r>
      <w:r w:rsidRPr="0028514E">
        <w:t xml:space="preserve">turvallisuutta nivelreumapotilaille on tutkittu kaksoissokkoutetussa, kontrolloidussa monikeskustutkimuksessa, SC-I:ssä. Tutkimus tehtiin vertailukelpoisuuden (non-inferiority) osoittamiseksi, ja siinä verrattiin ihon alle annosteltavan (162 mg kerran viikossa) ja laskimoon annosteltavan (8 mg/kg) </w:t>
      </w:r>
      <w:r w:rsidR="00BA3A23">
        <w:t xml:space="preserve">tosilitsumabin </w:t>
      </w:r>
      <w:r w:rsidRPr="0028514E">
        <w:t>tehoa ja turvallisuutta.</w:t>
      </w:r>
      <w:r w:rsidR="00BA3A23">
        <w:t xml:space="preserve"> </w:t>
      </w:r>
      <w:r w:rsidRPr="0028514E">
        <w:t xml:space="preserve">Tutkimukseen osallistui 1262 potilasta. Kaikki potilaat saivat peruslääkityksenä ei-biologisia tautiprosessia hidastavia reumalääkkeitä (DMARD). Ihon alle annosteltavan </w:t>
      </w:r>
      <w:r w:rsidR="00BA3A23">
        <w:t xml:space="preserve">tosilitsumabin </w:t>
      </w:r>
      <w:r w:rsidRPr="0028514E">
        <w:t xml:space="preserve">turvallisuus ja immunogeenisuus oli yhtenevä laskimoon annosteltavan </w:t>
      </w:r>
      <w:r w:rsidR="00BA3A23">
        <w:t xml:space="preserve">tosilitsumabin </w:t>
      </w:r>
      <w:r w:rsidRPr="0028514E">
        <w:t xml:space="preserve">turvallisuusprofiilin kanssa eikä uusia tai odottamattomia haittavaikutuksia havaittu (ks. taulukko 1). Pistoskohdan reaktioita havaittiin yleisemmin ihon alle annosteltua </w:t>
      </w:r>
      <w:r w:rsidR="00BA3A23">
        <w:t xml:space="preserve">tosilitsumabia </w:t>
      </w:r>
      <w:r w:rsidRPr="0028514E">
        <w:t xml:space="preserve">saaneilla potilailla verrattuna kontrolliryhmään (laskimoon </w:t>
      </w:r>
      <w:r w:rsidR="00BA3A23">
        <w:t xml:space="preserve">tosilitsumabia </w:t>
      </w:r>
      <w:r w:rsidRPr="0028514E">
        <w:t>saaneiden ryhmä), jossa lumelääkettä annosteltiin ihon alle.</w:t>
      </w:r>
    </w:p>
    <w:p w14:paraId="5CFD5462" w14:textId="77777777" w:rsidR="00F5649D" w:rsidRPr="0028514E" w:rsidRDefault="00F5649D" w:rsidP="006E5F9A">
      <w:pPr>
        <w:pStyle w:val="a4"/>
        <w:ind w:left="0"/>
      </w:pPr>
    </w:p>
    <w:p w14:paraId="7D9B1322" w14:textId="77777777" w:rsidR="003B7027" w:rsidRPr="00CA43F5" w:rsidRDefault="00296A74" w:rsidP="006E5F9A">
      <w:pPr>
        <w:rPr>
          <w:i/>
          <w:lang w:val="fi-FI"/>
        </w:rPr>
      </w:pPr>
      <w:r w:rsidRPr="00CA43F5">
        <w:rPr>
          <w:i/>
          <w:lang w:val="fi-FI"/>
        </w:rPr>
        <w:t>Pistoskohdan reaktiot</w:t>
      </w:r>
    </w:p>
    <w:p w14:paraId="4139EFE5" w14:textId="70F5546D" w:rsidR="003B7027" w:rsidRPr="0028514E" w:rsidRDefault="00296A74" w:rsidP="006E5F9A">
      <w:pPr>
        <w:pStyle w:val="a4"/>
        <w:ind w:left="0"/>
      </w:pPr>
      <w:r w:rsidRPr="0028514E">
        <w:t xml:space="preserve">Tutkimuksessa SC-I kuusi kuukautta kestäneen kontrolloidun jakson aikana pistoskohdan reaktioita ilmaantui 10,1 %:lle (64/631) ihon alle annosteltua </w:t>
      </w:r>
      <w:r w:rsidR="00BA3A23">
        <w:t xml:space="preserve">tosilitsumabia </w:t>
      </w:r>
      <w:r w:rsidRPr="0028514E">
        <w:t>saaneista potilaista ja vastaavasti</w:t>
      </w:r>
      <w:r w:rsidR="00F5649D" w:rsidRPr="0028514E">
        <w:t xml:space="preserve"> </w:t>
      </w:r>
      <w:r w:rsidRPr="0028514E">
        <w:t>2,4 %:lle (15/631) ihon alle kerran viikossa annosteltua lumelääkettä saaneista potilaista. Pistoskohdan reaktiot (ihon punoitus, kutina, kipu ja hematooma) olivat vaikeusasteeltaan lieviä tai kohtalaisia.</w:t>
      </w:r>
      <w:r w:rsidR="00F5649D" w:rsidRPr="0028514E">
        <w:t xml:space="preserve"> </w:t>
      </w:r>
      <w:r w:rsidRPr="0028514E">
        <w:t>Suurin osa reaktioista hävisi ilman hoitoa eikä lääkehoitoa jouduttu keskeytettämään pistoskohdan reaktioiden vuoksi.</w:t>
      </w:r>
    </w:p>
    <w:p w14:paraId="66B4F76F" w14:textId="77777777" w:rsidR="00F5649D" w:rsidRPr="0028514E" w:rsidRDefault="00F5649D" w:rsidP="00A14525">
      <w:pPr>
        <w:pStyle w:val="a4"/>
        <w:ind w:left="0"/>
      </w:pPr>
    </w:p>
    <w:p w14:paraId="250E4940" w14:textId="77777777" w:rsidR="003B7027" w:rsidRPr="00CA43F5" w:rsidRDefault="00296A74" w:rsidP="00A14525">
      <w:pPr>
        <w:rPr>
          <w:i/>
          <w:lang w:val="fi-FI"/>
        </w:rPr>
      </w:pPr>
      <w:r w:rsidRPr="00CA43F5">
        <w:rPr>
          <w:i/>
          <w:lang w:val="fi-FI"/>
        </w:rPr>
        <w:t>Hematologiset poikkeavuudet:</w:t>
      </w:r>
    </w:p>
    <w:p w14:paraId="301CD4BF" w14:textId="77777777" w:rsidR="003B7027" w:rsidRPr="00CA43F5" w:rsidRDefault="00296A74" w:rsidP="00A14525">
      <w:pPr>
        <w:rPr>
          <w:i/>
          <w:lang w:val="fi-FI"/>
        </w:rPr>
      </w:pPr>
      <w:r w:rsidRPr="00CA43F5">
        <w:rPr>
          <w:i/>
          <w:lang w:val="fi-FI"/>
        </w:rPr>
        <w:t>Neutrofiilit</w:t>
      </w:r>
    </w:p>
    <w:p w14:paraId="5D1A7B93" w14:textId="2E087AAD" w:rsidR="003B7027" w:rsidRPr="0028514E" w:rsidRDefault="00296A74" w:rsidP="00A14525">
      <w:pPr>
        <w:pStyle w:val="a4"/>
        <w:ind w:left="0"/>
      </w:pPr>
      <w:r w:rsidRPr="0028514E">
        <w:t xml:space="preserve">Kuusi kuukautta kestäneen kontrolloidun kliinisen </w:t>
      </w:r>
      <w:r w:rsidR="00BA3A23">
        <w:t>tosilitsumabi</w:t>
      </w:r>
      <w:r w:rsidRPr="0028514E">
        <w:t>tutkimuksen SC-I tavanomaisessa laboratorioseurannassa neutrofiiliarvojen laskua tason 1 x 10</w:t>
      </w:r>
      <w:r w:rsidRPr="0028514E">
        <w:rPr>
          <w:vertAlign w:val="superscript"/>
        </w:rPr>
        <w:t>9</w:t>
      </w:r>
      <w:r w:rsidRPr="0028514E">
        <w:t>/l alapuolelle ilmaantui 2,9 %:lle potilaista, joille annosteltiin tosilitsumabia viikoittain ihon alle.</w:t>
      </w:r>
    </w:p>
    <w:p w14:paraId="5C03AE96" w14:textId="77777777" w:rsidR="003B7027" w:rsidRPr="0028514E" w:rsidRDefault="003B7027" w:rsidP="00A14525">
      <w:pPr>
        <w:pStyle w:val="a4"/>
        <w:ind w:left="0"/>
      </w:pPr>
    </w:p>
    <w:p w14:paraId="144D97D2" w14:textId="77777777" w:rsidR="003B7027" w:rsidRPr="0028514E" w:rsidRDefault="00296A74" w:rsidP="00A14525">
      <w:pPr>
        <w:pStyle w:val="a4"/>
        <w:ind w:left="0"/>
      </w:pPr>
      <w:r w:rsidRPr="0028514E">
        <w:t>Neutrofiiliarvojen laskun tason 1 x 10</w:t>
      </w:r>
      <w:r w:rsidRPr="0028514E">
        <w:rPr>
          <w:vertAlign w:val="superscript"/>
        </w:rPr>
        <w:t>9</w:t>
      </w:r>
      <w:r w:rsidRPr="0028514E">
        <w:t>/l alapuolelle ja vakavien infektioiden ilmaantumisen välillä ei ollut selkeää yhteyttä.</w:t>
      </w:r>
    </w:p>
    <w:p w14:paraId="7FC61945" w14:textId="77777777" w:rsidR="00F5649D" w:rsidRPr="0028514E" w:rsidRDefault="00F5649D" w:rsidP="00A14525">
      <w:pPr>
        <w:pStyle w:val="a4"/>
        <w:ind w:left="0"/>
      </w:pPr>
    </w:p>
    <w:p w14:paraId="6DC45EEE" w14:textId="77777777" w:rsidR="003B7027" w:rsidRPr="00CA43F5" w:rsidRDefault="00296A74" w:rsidP="00A14525">
      <w:pPr>
        <w:rPr>
          <w:i/>
          <w:lang w:val="fi-FI"/>
        </w:rPr>
      </w:pPr>
      <w:r w:rsidRPr="00CA43F5">
        <w:rPr>
          <w:i/>
          <w:lang w:val="fi-FI"/>
        </w:rPr>
        <w:t>Trombosyytit</w:t>
      </w:r>
    </w:p>
    <w:p w14:paraId="217ABBD6" w14:textId="16570DAD" w:rsidR="003B7027" w:rsidRPr="0028514E" w:rsidRDefault="00296A74" w:rsidP="00A14525">
      <w:pPr>
        <w:pStyle w:val="a4"/>
        <w:ind w:left="0"/>
      </w:pPr>
      <w:r w:rsidRPr="0028514E">
        <w:t xml:space="preserve">Kuusi kuukautta kestäneen kliinisen </w:t>
      </w:r>
      <w:r w:rsidR="00BA3A23">
        <w:t>tosilitsumabi</w:t>
      </w:r>
      <w:r w:rsidRPr="0028514E">
        <w:t>tutkimuksen SC-I tavanomaisessa laboratorioseurannassa yhdelläkään ihon alle annoksen viikoittain saaneista potilaista ei esiintynyt trombosyyttiarvon laskua tasoon ≤ 50 x 10</w:t>
      </w:r>
      <w:r w:rsidRPr="0028514E">
        <w:rPr>
          <w:vertAlign w:val="superscript"/>
        </w:rPr>
        <w:t>3</w:t>
      </w:r>
      <w:r w:rsidRPr="0028514E">
        <w:t>/μl.</w:t>
      </w:r>
    </w:p>
    <w:p w14:paraId="7C84BF74" w14:textId="77777777" w:rsidR="00F5649D" w:rsidRPr="0028514E" w:rsidRDefault="00F5649D" w:rsidP="00A14525">
      <w:pPr>
        <w:pStyle w:val="a4"/>
        <w:ind w:left="0"/>
      </w:pPr>
    </w:p>
    <w:p w14:paraId="0BB1C69F" w14:textId="77777777" w:rsidR="003B7027" w:rsidRPr="00CA43F5" w:rsidRDefault="00296A74" w:rsidP="00A14525">
      <w:pPr>
        <w:rPr>
          <w:i/>
          <w:lang w:val="fi-FI"/>
        </w:rPr>
      </w:pPr>
      <w:r w:rsidRPr="00CA43F5">
        <w:rPr>
          <w:i/>
          <w:lang w:val="fi-FI"/>
        </w:rPr>
        <w:t>Maksan aminotransferaasiarvojen nousu</w:t>
      </w:r>
    </w:p>
    <w:p w14:paraId="3E1D7071" w14:textId="24B45C9F" w:rsidR="003B7027" w:rsidRPr="0028514E" w:rsidRDefault="00296A74" w:rsidP="00A14525">
      <w:pPr>
        <w:pStyle w:val="a4"/>
        <w:ind w:left="0"/>
      </w:pPr>
      <w:r w:rsidRPr="0028514E">
        <w:t xml:space="preserve">Kuusi kuukautta kestäneen kontrolloidun kliinisen </w:t>
      </w:r>
      <w:r w:rsidR="00BA3A23">
        <w:t>tosilitsumabi</w:t>
      </w:r>
      <w:r w:rsidRPr="0028514E">
        <w:t>tutkimuksen SC-I tavanomaisessa laboratorioseurannassa todettiin maksan aminotransferaasiarvojen nousua tasolle ≥ 3 x viitevälin yläraja 6,5 %:lla (ALAT) ja 1,4 %:lla (ASAT) annoksen ihon alle viikoittain saaneista potilaista.</w:t>
      </w:r>
    </w:p>
    <w:p w14:paraId="0A6F7F1D" w14:textId="77777777" w:rsidR="00F5649D" w:rsidRPr="0028514E" w:rsidRDefault="00F5649D" w:rsidP="00A14525">
      <w:pPr>
        <w:pStyle w:val="a4"/>
        <w:ind w:left="0"/>
      </w:pPr>
    </w:p>
    <w:p w14:paraId="726C29C3" w14:textId="77777777" w:rsidR="003B7027" w:rsidRPr="00CA43F5" w:rsidRDefault="00296A74" w:rsidP="00A14525">
      <w:pPr>
        <w:rPr>
          <w:i/>
          <w:lang w:val="fi-FI"/>
        </w:rPr>
      </w:pPr>
      <w:r w:rsidRPr="00CA43F5">
        <w:rPr>
          <w:i/>
          <w:lang w:val="fi-FI"/>
        </w:rPr>
        <w:t>Veren rasva-arvot</w:t>
      </w:r>
    </w:p>
    <w:p w14:paraId="3A8B20D1" w14:textId="36521122" w:rsidR="003B7027" w:rsidRPr="0028514E" w:rsidRDefault="00296A74" w:rsidP="00A14525">
      <w:pPr>
        <w:pStyle w:val="a4"/>
        <w:ind w:left="0"/>
      </w:pPr>
      <w:r w:rsidRPr="0028514E">
        <w:t xml:space="preserve">Kuusi kuukautta kestäneen kontrolloidun kliinisen </w:t>
      </w:r>
      <w:r w:rsidR="00BA3A23">
        <w:t>tosilitsumabi</w:t>
      </w:r>
      <w:r w:rsidRPr="0028514E">
        <w:t>tutkimuksen SC-I tavanomaisessa laboratorioseurannassa tosilitsumabia viikoittain ihon alle saaneista potilaista 19 %:lla veren kokonaiskolesteroliarvo nousi pitkäkestoisesti arvoon &gt; 6,2 mmol/l (240 mg/dl) ja 9 %:lla potilaista LDL-kolesteroliarvo nousi pitkäkestoisesti arvoon ≥ 4,1 mmol/l (160 mg/dl).</w:t>
      </w:r>
    </w:p>
    <w:p w14:paraId="0676B8E3" w14:textId="77777777" w:rsidR="003B7027" w:rsidRPr="0028514E" w:rsidRDefault="003B7027" w:rsidP="006E5F9A">
      <w:pPr>
        <w:pStyle w:val="a4"/>
        <w:ind w:left="0"/>
      </w:pPr>
    </w:p>
    <w:p w14:paraId="139F9078" w14:textId="77777777" w:rsidR="003B7027" w:rsidRPr="0028514E" w:rsidRDefault="00296A74" w:rsidP="006E5F9A">
      <w:pPr>
        <w:pStyle w:val="a4"/>
        <w:ind w:left="0"/>
      </w:pPr>
      <w:r w:rsidRPr="0028514E">
        <w:rPr>
          <w:u w:val="single"/>
        </w:rPr>
        <w:t>Ihonalainen annostelu</w:t>
      </w:r>
    </w:p>
    <w:p w14:paraId="6B760151" w14:textId="77777777" w:rsidR="003B7027" w:rsidRPr="00CA43F5" w:rsidRDefault="00296A74" w:rsidP="006E5F9A">
      <w:pPr>
        <w:rPr>
          <w:b/>
          <w:lang w:val="fi-FI"/>
        </w:rPr>
      </w:pPr>
      <w:r w:rsidRPr="00CA43F5">
        <w:rPr>
          <w:b/>
          <w:u w:val="single"/>
          <w:lang w:val="fi-FI"/>
        </w:rPr>
        <w:t>Yleisoireinen lastenreuma (sJIA)</w:t>
      </w:r>
    </w:p>
    <w:p w14:paraId="291D6355" w14:textId="0568293C" w:rsidR="003B7027" w:rsidRPr="0028514E" w:rsidRDefault="00296A74" w:rsidP="006E5F9A">
      <w:pPr>
        <w:pStyle w:val="a4"/>
        <w:ind w:left="0"/>
      </w:pPr>
      <w:r w:rsidRPr="0028514E">
        <w:t xml:space="preserve">Ihon alle annosteltavan </w:t>
      </w:r>
      <w:r w:rsidR="00BA3A23">
        <w:t>tosilitsumabin</w:t>
      </w:r>
      <w:r w:rsidRPr="0028514E">
        <w:t xml:space="preserve"> turvallisuusprofiilia arvioitiin 51 yleisoireista lastenreumaa sairastavalla (1–17-vuotiaalla) lapsipotilaalla. Yleisoireista lastenreumaa sairastavilla potilailla havaitut haittavaikutukset olivat yleensä luonteeltaan samankaltaisia kuin nivelreumapotilailla on todettu (ks. edellä kohdassa Haittavaikutukset).</w:t>
      </w:r>
    </w:p>
    <w:p w14:paraId="677884B9" w14:textId="77777777" w:rsidR="00F5649D" w:rsidRPr="0028514E" w:rsidRDefault="00F5649D" w:rsidP="006E5F9A">
      <w:pPr>
        <w:pStyle w:val="a4"/>
        <w:ind w:left="0"/>
      </w:pPr>
    </w:p>
    <w:p w14:paraId="1588AD0A" w14:textId="77777777" w:rsidR="003B7027" w:rsidRPr="00CA43F5" w:rsidRDefault="00296A74" w:rsidP="006E5F9A">
      <w:pPr>
        <w:rPr>
          <w:i/>
          <w:lang w:val="fi-FI"/>
        </w:rPr>
      </w:pPr>
      <w:r w:rsidRPr="00CA43F5">
        <w:rPr>
          <w:i/>
          <w:lang w:val="fi-FI"/>
        </w:rPr>
        <w:t>Infektiot</w:t>
      </w:r>
    </w:p>
    <w:p w14:paraId="37630777" w14:textId="08029B26" w:rsidR="003B7027" w:rsidRPr="0028514E" w:rsidRDefault="00296A74" w:rsidP="006E5F9A">
      <w:pPr>
        <w:pStyle w:val="a4"/>
        <w:ind w:left="0"/>
      </w:pPr>
      <w:r w:rsidRPr="0028514E">
        <w:t xml:space="preserve">Infektioiden esiintyvyys oli verrannollinen </w:t>
      </w:r>
      <w:r w:rsidR="00BA3A23">
        <w:t>tosilitsumabia</w:t>
      </w:r>
      <w:r w:rsidRPr="0028514E">
        <w:t xml:space="preserve"> ihon alle ja laskimoon saaneilla yleisoireista lastenreumaa sairastavilla lapsipotilailla.</w:t>
      </w:r>
    </w:p>
    <w:p w14:paraId="6D2227DC" w14:textId="77777777" w:rsidR="00F5649D" w:rsidRPr="0028514E" w:rsidRDefault="00F5649D" w:rsidP="006E5F9A">
      <w:pPr>
        <w:pStyle w:val="a4"/>
        <w:ind w:left="0"/>
      </w:pPr>
    </w:p>
    <w:p w14:paraId="526015A3" w14:textId="77777777" w:rsidR="003B7027" w:rsidRPr="00CA43F5" w:rsidRDefault="00296A74" w:rsidP="006E5F9A">
      <w:pPr>
        <w:rPr>
          <w:i/>
          <w:lang w:val="fi-FI"/>
        </w:rPr>
      </w:pPr>
      <w:r w:rsidRPr="00CA43F5">
        <w:rPr>
          <w:i/>
          <w:lang w:val="fi-FI"/>
        </w:rPr>
        <w:t>Injektiokohdan reaktiot</w:t>
      </w:r>
    </w:p>
    <w:p w14:paraId="4B2AEBA6" w14:textId="6706A4B1" w:rsidR="003B7027" w:rsidRPr="0028514E" w:rsidRDefault="00296A74" w:rsidP="006E5F9A">
      <w:pPr>
        <w:pStyle w:val="a4"/>
        <w:ind w:left="0"/>
      </w:pPr>
      <w:r w:rsidRPr="0028514E">
        <w:t xml:space="preserve">Ihon alle tapahtuvaa antoa koskeneessa tutkimuksessa (WA28118) yhteensä 41,2 %:lla (21/51) yleisoireista lastenreumaa sairastavista potilaista oli injektiokohdan reaktioita, kun </w:t>
      </w:r>
      <w:r w:rsidR="00BA3A23">
        <w:t xml:space="preserve">tosilitsumabi </w:t>
      </w:r>
      <w:r w:rsidRPr="0028514E">
        <w:t>annettiin ihon alle. Yleisimpiä injektiokohdan reaktioita olivat punoitus, kutina, kipu ja injektiokohdan turvotus. Valtaosa raportoiduista injektiokohdan reaktioista oli graduksen 1 tapahtumia, yksikään raportoiduista injektiokohdan reaktioista ei ollut vakava eivätkä ne vaatineet yhdenkään potilaan hoidon lopettamista tai keskeyttämistä.</w:t>
      </w:r>
    </w:p>
    <w:p w14:paraId="489F2C8D" w14:textId="77777777" w:rsidR="00F5649D" w:rsidRPr="0028514E" w:rsidRDefault="00F5649D" w:rsidP="006E5F9A">
      <w:pPr>
        <w:pStyle w:val="a4"/>
        <w:ind w:left="0"/>
      </w:pPr>
    </w:p>
    <w:p w14:paraId="512F9D79" w14:textId="77777777" w:rsidR="003B7027" w:rsidRPr="00CA43F5" w:rsidRDefault="00296A74" w:rsidP="006E5F9A">
      <w:pPr>
        <w:rPr>
          <w:i/>
          <w:lang w:val="fi-FI"/>
        </w:rPr>
      </w:pPr>
      <w:r w:rsidRPr="00CA43F5">
        <w:rPr>
          <w:i/>
          <w:lang w:val="fi-FI"/>
        </w:rPr>
        <w:t>Laboratorioarvojen poikkeavuudet</w:t>
      </w:r>
    </w:p>
    <w:p w14:paraId="2AB91907" w14:textId="3681034D" w:rsidR="003B7027" w:rsidRPr="0028514E" w:rsidRDefault="00296A74" w:rsidP="006E5F9A">
      <w:pPr>
        <w:pStyle w:val="a4"/>
        <w:ind w:left="0"/>
      </w:pPr>
      <w:r w:rsidRPr="0028514E">
        <w:t>52 viikkoa kestäneessä avoimessa ihon alle tapahtuvaa antoa koskeneessa tutkimuksessa (WA28118) neutrofiiliarvojen laskua arvon 1 × 10</w:t>
      </w:r>
      <w:r w:rsidRPr="0028514E">
        <w:rPr>
          <w:vertAlign w:val="superscript"/>
        </w:rPr>
        <w:t>9</w:t>
      </w:r>
      <w:r w:rsidRPr="0028514E">
        <w:t xml:space="preserve">/l alapuolelle ilmaantui 23,5 %:lle ihon alle annosteltavaa </w:t>
      </w:r>
      <w:r w:rsidR="00673EEC">
        <w:t xml:space="preserve">tosilitsumabia </w:t>
      </w:r>
      <w:r w:rsidRPr="0028514E">
        <w:t>saaneista potilaista. Trombosyyttiarvon laskua arvon 100 × 10</w:t>
      </w:r>
      <w:r w:rsidRPr="0028514E">
        <w:rPr>
          <w:vertAlign w:val="superscript"/>
        </w:rPr>
        <w:t>3</w:t>
      </w:r>
      <w:r w:rsidRPr="0028514E">
        <w:t xml:space="preserve">/μl alapuolelle ilmaantui 2 %:lle ihon alle annosteltavaa </w:t>
      </w:r>
      <w:r w:rsidR="00673EEC">
        <w:t xml:space="preserve">tosilitsumabia </w:t>
      </w:r>
      <w:r w:rsidRPr="0028514E">
        <w:t xml:space="preserve">saaneista potilaista. Ihon alle annosteltavaa </w:t>
      </w:r>
      <w:r w:rsidR="00673EEC">
        <w:t>tosilitsumabia</w:t>
      </w:r>
      <w:r w:rsidR="00673EEC" w:rsidRPr="0028514E">
        <w:t xml:space="preserve"> </w:t>
      </w:r>
      <w:r w:rsidRPr="0028514E">
        <w:t>saaneiden potilaiden ALAT-arvo suureni ≥ 3x viitearvojen ylärajan 9,8 %:lla potilaista ja ASAT-arvo suureni ≥ 3x viitearvojen ylärajan 4,0 %:lla potilaista.</w:t>
      </w:r>
    </w:p>
    <w:p w14:paraId="1A01F4DE" w14:textId="77777777" w:rsidR="00F5649D" w:rsidRPr="0028514E" w:rsidRDefault="00F5649D" w:rsidP="006E5F9A">
      <w:pPr>
        <w:pStyle w:val="a4"/>
        <w:ind w:left="0"/>
      </w:pPr>
    </w:p>
    <w:p w14:paraId="581B9B86" w14:textId="77777777" w:rsidR="003B7027" w:rsidRPr="00CA43F5" w:rsidRDefault="00296A74" w:rsidP="006E5F9A">
      <w:pPr>
        <w:rPr>
          <w:i/>
          <w:lang w:val="fi-FI"/>
        </w:rPr>
      </w:pPr>
      <w:r w:rsidRPr="00CA43F5">
        <w:rPr>
          <w:i/>
          <w:lang w:val="fi-FI"/>
        </w:rPr>
        <w:t>Veren rasva-arvot</w:t>
      </w:r>
    </w:p>
    <w:p w14:paraId="362A4A55" w14:textId="77777777" w:rsidR="003B7027" w:rsidRPr="0028514E" w:rsidRDefault="00296A74" w:rsidP="006E5F9A">
      <w:pPr>
        <w:pStyle w:val="a4"/>
        <w:ind w:left="0"/>
      </w:pPr>
      <w:r w:rsidRPr="0028514E">
        <w:t>52 viikkoa kestäneessä avoimessa ihon alle tapahtuvaa antoa koskeneessa tutkimuksessa (WA28118) LDL-kolesterolipitoisuus suureni jossakin vaiheessa tutkimushoidon aikana arvoon ≥ 130 mg/dl</w:t>
      </w:r>
      <w:r w:rsidR="00F5649D" w:rsidRPr="0028514E">
        <w:t xml:space="preserve"> </w:t>
      </w:r>
      <w:r w:rsidRPr="0028514E">
        <w:t>23,4 %:lla potilaista ja kokonaiskolesterolipitoisuus suureni arvoon ≥ 200 mg/dl 35,4 %:lla potilaista.</w:t>
      </w:r>
    </w:p>
    <w:p w14:paraId="0F7272E0" w14:textId="77777777" w:rsidR="00F5649D" w:rsidRPr="0028514E" w:rsidRDefault="00F5649D" w:rsidP="006E5F9A">
      <w:pPr>
        <w:pStyle w:val="a4"/>
        <w:ind w:left="0"/>
      </w:pPr>
    </w:p>
    <w:p w14:paraId="34ADC69B" w14:textId="77777777" w:rsidR="003B7027" w:rsidRPr="0028514E" w:rsidRDefault="00296A74" w:rsidP="006E5F9A">
      <w:pPr>
        <w:pStyle w:val="a4"/>
        <w:ind w:left="0"/>
      </w:pPr>
      <w:r w:rsidRPr="0028514E">
        <w:rPr>
          <w:u w:val="single"/>
        </w:rPr>
        <w:t>Ihonalainen annostelu</w:t>
      </w:r>
    </w:p>
    <w:p w14:paraId="09A8E9E0" w14:textId="77777777" w:rsidR="003B7027" w:rsidRPr="00CA43F5" w:rsidRDefault="00296A74" w:rsidP="006E5F9A">
      <w:pPr>
        <w:rPr>
          <w:b/>
          <w:lang w:val="fi-FI"/>
        </w:rPr>
      </w:pPr>
      <w:r w:rsidRPr="00CA43F5">
        <w:rPr>
          <w:b/>
          <w:u w:val="single"/>
          <w:lang w:val="fi-FI"/>
        </w:rPr>
        <w:t>Polyartriitti (pJIA)</w:t>
      </w:r>
    </w:p>
    <w:p w14:paraId="3020E761" w14:textId="31CCF1D4" w:rsidR="003B7027" w:rsidRPr="0028514E" w:rsidRDefault="00296A74" w:rsidP="006E5F9A">
      <w:pPr>
        <w:pStyle w:val="a4"/>
        <w:ind w:left="0"/>
      </w:pPr>
      <w:r w:rsidRPr="0028514E">
        <w:t xml:space="preserve">Ihon alle annosteltavan </w:t>
      </w:r>
      <w:r w:rsidR="00673EEC">
        <w:t xml:space="preserve">tosilitsumabin </w:t>
      </w:r>
      <w:r w:rsidRPr="0028514E">
        <w:t xml:space="preserve">turvallisuusprofiilia arvioitiin myös 52 polyartriittia sairastavalla lapsipotilaalla. Polyartriittia sairastavassa potilasjoukossa kokonaisaltistus </w:t>
      </w:r>
      <w:r w:rsidR="00673EEC">
        <w:t xml:space="preserve">tosilitsumabille </w:t>
      </w:r>
      <w:r w:rsidRPr="0028514E">
        <w:t xml:space="preserve">jakautui seuraavasti: 184,4 potilasvuotta laskimoon annetulle tosilitsumabille ja 50,4 potilasvuotta ihon alle annetulle tosilitsumabille. Polyartriittia sairastavilla potilailla havaittu turvallisuusprofiili oli yleisesti yhdenmukainen </w:t>
      </w:r>
      <w:r w:rsidR="00673EEC">
        <w:t xml:space="preserve">tosilitsumabin </w:t>
      </w:r>
      <w:r w:rsidRPr="0028514E">
        <w:t xml:space="preserve">tunnetun turvallisuusprofiilin kanssa injektiokohdan reaktioita lukuun ottamatta (ks. taulukko 1). Injektiokohdan reaktioita esiintyi ihon alle annettuja </w:t>
      </w:r>
      <w:r w:rsidR="00673EEC">
        <w:t>tosilitsumabi</w:t>
      </w:r>
      <w:r w:rsidRPr="0028514E">
        <w:t>injektioita saaneilla polyartiittia sairastavilla lapsipotilailla yleisemmin kuin aikuisilla nivelreumapotilailla.</w:t>
      </w:r>
    </w:p>
    <w:p w14:paraId="79594622" w14:textId="77777777" w:rsidR="00F5649D" w:rsidRPr="0028514E" w:rsidRDefault="00F5649D" w:rsidP="006E5F9A">
      <w:pPr>
        <w:pStyle w:val="a4"/>
        <w:ind w:left="0"/>
      </w:pPr>
    </w:p>
    <w:p w14:paraId="70E474A5" w14:textId="77777777" w:rsidR="003B7027" w:rsidRPr="00CA43F5" w:rsidRDefault="00296A74" w:rsidP="006E5F9A">
      <w:pPr>
        <w:rPr>
          <w:i/>
          <w:lang w:val="fi-FI"/>
        </w:rPr>
      </w:pPr>
      <w:r w:rsidRPr="00CA43F5">
        <w:rPr>
          <w:i/>
          <w:lang w:val="fi-FI"/>
        </w:rPr>
        <w:t>Infektiot</w:t>
      </w:r>
    </w:p>
    <w:p w14:paraId="075BC62C" w14:textId="50EF5F41" w:rsidR="003B7027" w:rsidRPr="0028514E" w:rsidRDefault="00296A74" w:rsidP="006E5F9A">
      <w:pPr>
        <w:pStyle w:val="a4"/>
        <w:ind w:left="0"/>
      </w:pPr>
      <w:r w:rsidRPr="0028514E">
        <w:t xml:space="preserve">Ihon alle tapahtuvaa antoa koskeneessa </w:t>
      </w:r>
      <w:r w:rsidR="00673EEC">
        <w:t>tosilitsumabi</w:t>
      </w:r>
      <w:r w:rsidRPr="0028514E">
        <w:t xml:space="preserve">tutkimuksessa infektioiden esiintyvyys oli verrannollinen </w:t>
      </w:r>
      <w:r w:rsidR="00673EEC">
        <w:t>tosilitsumabia</w:t>
      </w:r>
      <w:r w:rsidRPr="0028514E">
        <w:t>ihon alle ja laskimoon saaneilla polyartriittia sairastavilla lapsipotilailla.</w:t>
      </w:r>
    </w:p>
    <w:p w14:paraId="66CE2C92" w14:textId="77777777" w:rsidR="00F5649D" w:rsidRPr="0028514E" w:rsidRDefault="00F5649D" w:rsidP="006E5F9A">
      <w:pPr>
        <w:pStyle w:val="a4"/>
        <w:ind w:left="0"/>
      </w:pPr>
    </w:p>
    <w:p w14:paraId="0E90CBC9" w14:textId="77777777" w:rsidR="003B7027" w:rsidRPr="00CA43F5" w:rsidRDefault="00296A74" w:rsidP="006E5F9A">
      <w:pPr>
        <w:rPr>
          <w:i/>
          <w:lang w:val="fi-FI"/>
        </w:rPr>
      </w:pPr>
      <w:r w:rsidRPr="00CA43F5">
        <w:rPr>
          <w:i/>
          <w:lang w:val="fi-FI"/>
        </w:rPr>
        <w:t>Injektiokohdan reaktiot</w:t>
      </w:r>
    </w:p>
    <w:p w14:paraId="63E6A354" w14:textId="0A262E50" w:rsidR="003B7027" w:rsidRPr="0028514E" w:rsidRDefault="00296A74" w:rsidP="006E5F9A">
      <w:pPr>
        <w:pStyle w:val="a4"/>
        <w:ind w:left="0"/>
      </w:pPr>
      <w:r w:rsidRPr="0028514E">
        <w:t xml:space="preserve">Polyartriittia sairastavista lapsipotilaista yhteensä 28,8 %:lla (15/52) oli injektiokohdan reaktioita, kun </w:t>
      </w:r>
      <w:r w:rsidR="00673EEC">
        <w:t xml:space="preserve">tosilitsumabi </w:t>
      </w:r>
      <w:r w:rsidRPr="0028514E">
        <w:t>annettiin ihon alle. Injektiokohdan reaktioita esiintyi 44 %:lla ≥ 30 kg:n painoisista potilaista verrattuna 14,8 %:iin alle 30 kg:n painoisista potilaista. Yleisimpiä injektiokohdan reaktioita olivat injektiokohdan punoitus, turvotus, hematooma, kipu ja kutina. Raportoidut injektiokohdan reaktiot eivät olleet vakavia (gradus 1) eikä yhdenkään potilaan injektiokohdan reaktio vaatinut hoidon lopettamista tai keskeyttämistä.</w:t>
      </w:r>
    </w:p>
    <w:p w14:paraId="2214A808" w14:textId="77777777" w:rsidR="00F5649D" w:rsidRPr="0028514E" w:rsidRDefault="00F5649D" w:rsidP="006E5F9A">
      <w:pPr>
        <w:pStyle w:val="a4"/>
        <w:ind w:left="0"/>
      </w:pPr>
    </w:p>
    <w:p w14:paraId="1F0E1F50" w14:textId="77777777" w:rsidR="003B7027" w:rsidRPr="00CA43F5" w:rsidRDefault="00296A74" w:rsidP="006E5F9A">
      <w:pPr>
        <w:rPr>
          <w:i/>
          <w:lang w:val="fi-FI"/>
        </w:rPr>
      </w:pPr>
      <w:r w:rsidRPr="00CA43F5">
        <w:rPr>
          <w:i/>
          <w:lang w:val="fi-FI"/>
        </w:rPr>
        <w:t>Laboratorioarvojen poikkeavuudet</w:t>
      </w:r>
    </w:p>
    <w:p w14:paraId="7BD41268" w14:textId="3C6726A8" w:rsidR="003B7027" w:rsidRPr="0028514E" w:rsidRDefault="00296A74" w:rsidP="006E5F9A">
      <w:pPr>
        <w:pStyle w:val="a4"/>
        <w:ind w:left="0"/>
      </w:pPr>
      <w:r w:rsidRPr="0028514E">
        <w:t xml:space="preserve">Koko </w:t>
      </w:r>
      <w:r w:rsidR="00790453">
        <w:t xml:space="preserve">tosilitsumabille </w:t>
      </w:r>
      <w:r w:rsidRPr="0028514E">
        <w:t xml:space="preserve">altistuneen potilasjoukon tavanomaisessa laboratorioseurannassa neutrofiilien määrä väheni 15,4 %:lla </w:t>
      </w:r>
      <w:r w:rsidR="00790453">
        <w:t xml:space="preserve">tosilitsumabia </w:t>
      </w:r>
      <w:r w:rsidRPr="0028514E">
        <w:t>ihon alle saaneista potilaista alle arvon 1 × 10</w:t>
      </w:r>
      <w:r w:rsidRPr="0028514E">
        <w:rPr>
          <w:vertAlign w:val="superscript"/>
        </w:rPr>
        <w:t>9</w:t>
      </w:r>
      <w:r w:rsidRPr="0028514E">
        <w:t xml:space="preserve">/l. </w:t>
      </w:r>
      <w:r w:rsidR="00790453">
        <w:t xml:space="preserve">Tosilitsumabia </w:t>
      </w:r>
      <w:r w:rsidRPr="0028514E">
        <w:t xml:space="preserve">ihon alle saaneiden potilaiden ALAT-arvo suureni ≥ 3x viitearvojen ylärajan 9,6 %:lla potilaista ja ASAT-arvo suureni ≥ 3x viitearvojen ylärajan 3,8 %:lla potilaista. Yhdenkään </w:t>
      </w:r>
      <w:r w:rsidR="00790453">
        <w:t xml:space="preserve">tosilitsumabia </w:t>
      </w:r>
      <w:r w:rsidRPr="0028514E">
        <w:t>ihon alle saaneen potilaan trombosyyttimäärä ei laskenut arvoon ≤ 50 × 10</w:t>
      </w:r>
      <w:r w:rsidRPr="0028514E">
        <w:rPr>
          <w:vertAlign w:val="superscript"/>
        </w:rPr>
        <w:t>3</w:t>
      </w:r>
      <w:r w:rsidRPr="0028514E">
        <w:t>/μl.</w:t>
      </w:r>
    </w:p>
    <w:p w14:paraId="11D31187" w14:textId="77777777" w:rsidR="00F5649D" w:rsidRPr="0028514E" w:rsidRDefault="00F5649D" w:rsidP="006E5F9A">
      <w:pPr>
        <w:pStyle w:val="a4"/>
        <w:ind w:left="0"/>
      </w:pPr>
    </w:p>
    <w:p w14:paraId="69541154" w14:textId="77777777" w:rsidR="003B7027" w:rsidRPr="00CA43F5" w:rsidRDefault="00296A74" w:rsidP="006E5F9A">
      <w:pPr>
        <w:rPr>
          <w:i/>
          <w:lang w:val="fi-FI"/>
        </w:rPr>
      </w:pPr>
      <w:r w:rsidRPr="00CA43F5">
        <w:rPr>
          <w:i/>
          <w:lang w:val="fi-FI"/>
        </w:rPr>
        <w:t>Veren rasva-arvot</w:t>
      </w:r>
    </w:p>
    <w:p w14:paraId="5929A093" w14:textId="77777777" w:rsidR="003B7027" w:rsidRPr="0028514E" w:rsidRDefault="00296A74" w:rsidP="006E5F9A">
      <w:pPr>
        <w:pStyle w:val="a4"/>
        <w:ind w:left="0"/>
      </w:pPr>
      <w:r w:rsidRPr="0028514E">
        <w:lastRenderedPageBreak/>
        <w:t>Ihon alle tapahtuvaa antoa koskeneessa tutkimuksessa LDL-kolesterolipitoisuus suureni jossakin vaiheessa tutkimushoidon aikana 14,3 %:lla potilaista arvoon ≥ 130 mg/dl ja kokonaiskolesterolipitoisuus suureni 12,8 %:lla potilaista arvoon ≥ 200 mg/dl.</w:t>
      </w:r>
    </w:p>
    <w:p w14:paraId="2D02182C" w14:textId="77777777" w:rsidR="003B7027" w:rsidRPr="0028514E" w:rsidRDefault="003B7027" w:rsidP="006E5F9A">
      <w:pPr>
        <w:pStyle w:val="a4"/>
        <w:ind w:left="0"/>
      </w:pPr>
    </w:p>
    <w:p w14:paraId="4466119F" w14:textId="77777777" w:rsidR="003B7027" w:rsidRPr="0028514E" w:rsidRDefault="00296A74" w:rsidP="006E5F9A">
      <w:pPr>
        <w:pStyle w:val="a4"/>
        <w:ind w:left="0"/>
      </w:pPr>
      <w:r w:rsidRPr="0028514E">
        <w:rPr>
          <w:u w:val="single"/>
        </w:rPr>
        <w:t>Ihonalainen annostelu</w:t>
      </w:r>
    </w:p>
    <w:p w14:paraId="1ABEDF19" w14:textId="77777777" w:rsidR="003B7027" w:rsidRPr="00CA43F5" w:rsidRDefault="00296A74" w:rsidP="006E5F9A">
      <w:pPr>
        <w:rPr>
          <w:b/>
          <w:u w:val="single"/>
          <w:lang w:val="fi-FI"/>
        </w:rPr>
      </w:pPr>
      <w:r w:rsidRPr="00CA43F5">
        <w:rPr>
          <w:b/>
          <w:u w:val="single"/>
          <w:lang w:val="fi-FI"/>
        </w:rPr>
        <w:t>Jättisoluarteriitti</w:t>
      </w:r>
    </w:p>
    <w:p w14:paraId="27818FDC" w14:textId="0523C128" w:rsidR="003B7027" w:rsidRPr="0028514E" w:rsidRDefault="00296A74" w:rsidP="006E5F9A">
      <w:pPr>
        <w:pStyle w:val="a4"/>
        <w:ind w:left="0"/>
      </w:pPr>
      <w:r w:rsidRPr="0028514E">
        <w:t xml:space="preserve">Ihon alle annosteltavan </w:t>
      </w:r>
      <w:r w:rsidR="00790453">
        <w:t xml:space="preserve">tosilitsumabin </w:t>
      </w:r>
      <w:r w:rsidRPr="0028514E">
        <w:t xml:space="preserve">turvallisuutta on tutkittu yhdessä vaiheen III tutkimuksessa (WA28119), jossa oli mukana 251 jättisoluarteriittia sairastavaa potilasta. Altistuksen kesto (potilasvuosina) tutkimuksen 12 kuukauden kaksoissokkoutetun, lumekontrolloidun vaiheen aikana </w:t>
      </w:r>
      <w:r w:rsidR="00790453">
        <w:t xml:space="preserve">tosilitsumabille </w:t>
      </w:r>
      <w:r w:rsidRPr="0028514E">
        <w:t xml:space="preserve">altistuneissa kaikissa potilasryhmissä oli yhteensä 138,5 potilasvuotta. </w:t>
      </w:r>
      <w:r w:rsidR="00790453">
        <w:t>Tosilitsumabi</w:t>
      </w:r>
      <w:r w:rsidRPr="0028514E">
        <w:t xml:space="preserve">hoitoryhmissä havaittu kokonaisturvallisuusprofiili oli yhdenmukainen </w:t>
      </w:r>
      <w:r w:rsidR="00790453">
        <w:t xml:space="preserve">tosilitsumabin </w:t>
      </w:r>
      <w:r w:rsidRPr="0028514E">
        <w:t>tunnetun turvallisuusprofiilin kanssa (ks. taulukko 1).</w:t>
      </w:r>
    </w:p>
    <w:p w14:paraId="3078B33B" w14:textId="77777777" w:rsidR="00F5649D" w:rsidRPr="0028514E" w:rsidRDefault="00F5649D" w:rsidP="006E5F9A">
      <w:pPr>
        <w:pStyle w:val="a4"/>
        <w:ind w:left="0"/>
      </w:pPr>
    </w:p>
    <w:p w14:paraId="21809CC7" w14:textId="77777777" w:rsidR="003B7027" w:rsidRPr="00CA43F5" w:rsidRDefault="00296A74" w:rsidP="006E5F9A">
      <w:pPr>
        <w:rPr>
          <w:i/>
          <w:lang w:val="fi-FI"/>
        </w:rPr>
      </w:pPr>
      <w:r w:rsidRPr="00CA43F5">
        <w:rPr>
          <w:i/>
          <w:lang w:val="fi-FI"/>
        </w:rPr>
        <w:t>Infektiot</w:t>
      </w:r>
    </w:p>
    <w:p w14:paraId="5E0B3690" w14:textId="47B5D8BF" w:rsidR="003B7027" w:rsidRPr="0028514E" w:rsidRDefault="00296A74" w:rsidP="006E5F9A">
      <w:pPr>
        <w:pStyle w:val="a4"/>
        <w:ind w:left="0"/>
      </w:pPr>
      <w:r w:rsidRPr="0028514E">
        <w:t xml:space="preserve">Infektioiden tai vakavien infektiotapahtumien esiintyvyys oli tasapainossa </w:t>
      </w:r>
      <w:r w:rsidR="00790453">
        <w:t xml:space="preserve">tosilitsumabia </w:t>
      </w:r>
      <w:r w:rsidRPr="0028514E">
        <w:t>viikoittain saaneen ryhmän (200,2/9,7 tapahtumaa 100 potilasvuotta kohden) sekä lumevalmisteen ja 26 viikon aikana asteittain lopetetun prednisonihoidon yhdistelmää (156,0/4,2 tapahtumaa 100 potilasvuotta kohden) ja lumevalmisteen ja 52 viikon aikana asteittain lopetetun hoidon yhdistelmää</w:t>
      </w:r>
      <w:r w:rsidR="00F5649D" w:rsidRPr="0028514E">
        <w:t xml:space="preserve"> </w:t>
      </w:r>
      <w:r w:rsidRPr="0028514E">
        <w:t>(210,2/12,5 tapahtumaa 100 potilasvuotta kohden) saaneen ryhmän välillä.</w:t>
      </w:r>
    </w:p>
    <w:p w14:paraId="6F391BF5" w14:textId="77777777" w:rsidR="003B7027" w:rsidRPr="0028514E" w:rsidRDefault="003B7027" w:rsidP="006E5F9A">
      <w:pPr>
        <w:pStyle w:val="a4"/>
        <w:ind w:left="0"/>
      </w:pPr>
    </w:p>
    <w:p w14:paraId="7CF28A8C" w14:textId="77777777" w:rsidR="003B7027" w:rsidRPr="00CA43F5" w:rsidRDefault="00296A74" w:rsidP="006E5F9A">
      <w:pPr>
        <w:rPr>
          <w:i/>
          <w:lang w:val="fi-FI"/>
        </w:rPr>
      </w:pPr>
      <w:r w:rsidRPr="00CA43F5">
        <w:rPr>
          <w:i/>
          <w:lang w:val="fi-FI"/>
        </w:rPr>
        <w:t>Pistoskohdan reaktiot</w:t>
      </w:r>
    </w:p>
    <w:p w14:paraId="7FBA297F" w14:textId="26490097" w:rsidR="003B7027" w:rsidRPr="0028514E" w:rsidRDefault="00296A74" w:rsidP="006E5F9A">
      <w:pPr>
        <w:pStyle w:val="a4"/>
        <w:ind w:left="0"/>
      </w:pPr>
      <w:r w:rsidRPr="0028514E">
        <w:t xml:space="preserve">Ihon alle annosteltua </w:t>
      </w:r>
      <w:r w:rsidR="00790453">
        <w:t>tosilitsumabia</w:t>
      </w:r>
      <w:r w:rsidR="00790453" w:rsidRPr="0028514E">
        <w:t xml:space="preserve"> </w:t>
      </w:r>
      <w:r w:rsidRPr="0028514E">
        <w:t>viikoittain saaneessa ryhmässä yhteensä 6 % (6/100) potilaista raportoi ihon alle annetun pistoksen antokohdassa jonkin haittavaikutuksen. Yhtään injektiokohdan reaktiota ei raportoitu vakavana haittatapahtumana eivätkä ne vaatineet hoidon lopettamista.</w:t>
      </w:r>
    </w:p>
    <w:p w14:paraId="23D6EB18" w14:textId="77777777" w:rsidR="003B7027" w:rsidRPr="0028514E" w:rsidRDefault="003B7027" w:rsidP="006E5F9A">
      <w:pPr>
        <w:pStyle w:val="a4"/>
        <w:ind w:left="0"/>
      </w:pPr>
    </w:p>
    <w:p w14:paraId="171D26DD" w14:textId="77777777" w:rsidR="003B7027" w:rsidRPr="00CA43F5" w:rsidRDefault="00296A74" w:rsidP="006E5F9A">
      <w:pPr>
        <w:rPr>
          <w:i/>
          <w:lang w:val="fi-FI"/>
        </w:rPr>
      </w:pPr>
      <w:r w:rsidRPr="00CA43F5">
        <w:rPr>
          <w:i/>
          <w:lang w:val="fi-FI"/>
        </w:rPr>
        <w:t>Hematologiset poikkeavuudet:</w:t>
      </w:r>
    </w:p>
    <w:p w14:paraId="54689E39" w14:textId="77777777" w:rsidR="003B7027" w:rsidRPr="00CA43F5" w:rsidRDefault="00296A74" w:rsidP="006E5F9A">
      <w:pPr>
        <w:rPr>
          <w:i/>
          <w:lang w:val="fi-FI"/>
        </w:rPr>
      </w:pPr>
      <w:r w:rsidRPr="00CA43F5">
        <w:rPr>
          <w:i/>
          <w:lang w:val="fi-FI"/>
        </w:rPr>
        <w:t>Neutrofiilit</w:t>
      </w:r>
    </w:p>
    <w:p w14:paraId="4C8AE02A" w14:textId="09597386" w:rsidR="003B7027" w:rsidRPr="0028514E" w:rsidRDefault="00296A74" w:rsidP="006E5F9A">
      <w:pPr>
        <w:pStyle w:val="a4"/>
        <w:ind w:left="0"/>
      </w:pPr>
      <w:r w:rsidRPr="0028514E">
        <w:t xml:space="preserve">Kaksitoista kuukautta kestäneen kontrolloidun kliinisen </w:t>
      </w:r>
      <w:r w:rsidR="00F80E4E">
        <w:t>tosilitsumabi</w:t>
      </w:r>
      <w:r w:rsidRPr="0028514E">
        <w:t>tutkimuksen tavanomaisessa laboratorioseurannassa neutrofiiliarvojen laskua tason 1 × 10</w:t>
      </w:r>
      <w:r w:rsidRPr="0028514E">
        <w:rPr>
          <w:vertAlign w:val="superscript"/>
        </w:rPr>
        <w:t>9</w:t>
      </w:r>
      <w:r w:rsidRPr="0028514E">
        <w:t xml:space="preserve">/l alapuolelle ilmaantui 4 %:lle potilaista, joille annosteltiin </w:t>
      </w:r>
      <w:r w:rsidR="00F80E4E">
        <w:t xml:space="preserve">tosilitsumabia </w:t>
      </w:r>
      <w:r w:rsidRPr="0028514E">
        <w:t>viikoittain ihon alle. Tällaista ei havaittu kummassakaan lumevalmisteen ja asteittain lopetettavan prednisonihoidon yhdistelmää saaneessa ryhmässä.</w:t>
      </w:r>
    </w:p>
    <w:p w14:paraId="06C67930" w14:textId="77777777" w:rsidR="00F5649D" w:rsidRPr="0028514E" w:rsidRDefault="00F5649D" w:rsidP="006E5F9A">
      <w:pPr>
        <w:pStyle w:val="a4"/>
        <w:ind w:left="0"/>
      </w:pPr>
    </w:p>
    <w:p w14:paraId="0723D652" w14:textId="77777777" w:rsidR="003B7027" w:rsidRPr="00CA43F5" w:rsidRDefault="00296A74" w:rsidP="006E5F9A">
      <w:pPr>
        <w:keepNext/>
        <w:rPr>
          <w:i/>
          <w:lang w:val="fi-FI"/>
        </w:rPr>
      </w:pPr>
      <w:r w:rsidRPr="00CA43F5">
        <w:rPr>
          <w:i/>
          <w:lang w:val="fi-FI"/>
        </w:rPr>
        <w:t>Trombosyytit</w:t>
      </w:r>
    </w:p>
    <w:p w14:paraId="04E1BDE4" w14:textId="02EA5667" w:rsidR="003B7027" w:rsidRPr="0028514E" w:rsidRDefault="00296A74" w:rsidP="006E5F9A">
      <w:pPr>
        <w:pStyle w:val="a4"/>
        <w:ind w:left="0"/>
      </w:pPr>
      <w:r w:rsidRPr="0028514E">
        <w:t xml:space="preserve">Kaksitoista kuukautta kestäneen kontrolloidun kliinisen </w:t>
      </w:r>
      <w:r w:rsidR="00F80E4E">
        <w:t>tosilitsumabi</w:t>
      </w:r>
      <w:r w:rsidRPr="0028514E">
        <w:t xml:space="preserve">tutkimuksen tavanomaisessa laboratorioseurannassa </w:t>
      </w:r>
      <w:r w:rsidR="00F80E4E">
        <w:t xml:space="preserve">tosilitsumabia </w:t>
      </w:r>
      <w:r w:rsidRPr="0028514E">
        <w:t>viikoittain ihon alle saaneen ryhmän yhden potilaan (1 %, 1/100) trombosyyttiarvo laski kerran tilapäisesti tason 100 × 10</w:t>
      </w:r>
      <w:r w:rsidRPr="0028514E">
        <w:rPr>
          <w:vertAlign w:val="superscript"/>
        </w:rPr>
        <w:t>3</w:t>
      </w:r>
      <w:r w:rsidRPr="0028514E">
        <w:t>/μl alapuolelle eikä siihen liittynyt verenvuototapahtumia. Trombosyyttimäärän laskua alle tason 100 × 10</w:t>
      </w:r>
      <w:r w:rsidRPr="0028514E">
        <w:rPr>
          <w:vertAlign w:val="superscript"/>
        </w:rPr>
        <w:t>3</w:t>
      </w:r>
      <w:r w:rsidRPr="0028514E">
        <w:t>/μl ei havaittu kummassakaan lumevalmisteen ja asteittain lopetettavan prednisonihoidon yhdistelmää saaneessa ryhmässä.</w:t>
      </w:r>
    </w:p>
    <w:p w14:paraId="633E8CD9" w14:textId="77777777" w:rsidR="00F5649D" w:rsidRPr="0028514E" w:rsidRDefault="00F5649D" w:rsidP="006E5F9A">
      <w:pPr>
        <w:pStyle w:val="a4"/>
        <w:ind w:left="0"/>
      </w:pPr>
    </w:p>
    <w:p w14:paraId="71AE436F" w14:textId="77777777" w:rsidR="003B7027" w:rsidRPr="00CA43F5" w:rsidRDefault="00296A74" w:rsidP="006E5F9A">
      <w:pPr>
        <w:rPr>
          <w:i/>
          <w:lang w:val="fi-FI"/>
        </w:rPr>
      </w:pPr>
      <w:r w:rsidRPr="00CA43F5">
        <w:rPr>
          <w:i/>
          <w:lang w:val="fi-FI"/>
        </w:rPr>
        <w:t>Maksan aminotransferaasiarvojen nousu</w:t>
      </w:r>
    </w:p>
    <w:p w14:paraId="455DFB06" w14:textId="6216A6E3" w:rsidR="003B7027" w:rsidRPr="0028514E" w:rsidRDefault="00296A74" w:rsidP="006E5F9A">
      <w:pPr>
        <w:pStyle w:val="a4"/>
        <w:ind w:left="0"/>
      </w:pPr>
      <w:r w:rsidRPr="0028514E">
        <w:t xml:space="preserve">Kaksitoista kuukautta kestäneen kontrolloidun kliinisen </w:t>
      </w:r>
      <w:r w:rsidR="00F80E4E">
        <w:t>tosilitsumabi</w:t>
      </w:r>
      <w:r w:rsidRPr="0028514E">
        <w:t xml:space="preserve">tutkimuksen tavanomaisessa laboratorioseurannassa ALAT-arvon kohoamista ≥ 3 x viitevälin yläraja esiintyi 3 %:lla </w:t>
      </w:r>
      <w:r w:rsidR="00F80E4E">
        <w:t xml:space="preserve">tosilitsumabia </w:t>
      </w:r>
      <w:r w:rsidRPr="0028514E">
        <w:t xml:space="preserve">ihon alle viikoittain saaneen ryhmän potilaista verrattuna 2 %:iin lumevalmisteen ja 52 viikon aikana asteittain lopetettavan prednisonihoidon yhdistelmää saaneessa ryhmässä, mutta ei yhdelläkään lumevalmisteen ja 26 viikon aikana asteittain lopetettavan prednisonihoidon yhdistelmää saaneen ryhmän potilaista. ASAT-arvon kohoamista &gt; 3 x viitevälin yläraja esiintyi 1 %:lla </w:t>
      </w:r>
      <w:r w:rsidR="00F80E4E">
        <w:t xml:space="preserve">tosilitsumabia </w:t>
      </w:r>
      <w:r w:rsidRPr="0028514E">
        <w:t>ihon alle viikoittain saaneen ryhmän potilaista, mutta ei yhdelläkään kummankaan lumevalmisteen ja asteittain lopetettavan prednisonihoidon yhdistelmää saaneen ryhmän potilaista.</w:t>
      </w:r>
    </w:p>
    <w:p w14:paraId="4173FF34" w14:textId="77777777" w:rsidR="00F5649D" w:rsidRPr="0028514E" w:rsidRDefault="00F5649D" w:rsidP="006E5F9A">
      <w:pPr>
        <w:pStyle w:val="a4"/>
        <w:ind w:left="0"/>
      </w:pPr>
    </w:p>
    <w:p w14:paraId="1A12488E" w14:textId="77777777" w:rsidR="003B7027" w:rsidRPr="00CA43F5" w:rsidRDefault="00296A74" w:rsidP="006E5F9A">
      <w:pPr>
        <w:rPr>
          <w:i/>
          <w:lang w:val="fi-FI"/>
        </w:rPr>
      </w:pPr>
      <w:r w:rsidRPr="00CA43F5">
        <w:rPr>
          <w:i/>
          <w:lang w:val="fi-FI"/>
        </w:rPr>
        <w:t>Veren rasva-arvot</w:t>
      </w:r>
    </w:p>
    <w:p w14:paraId="4A76412F" w14:textId="07B9CEE1" w:rsidR="003B7027" w:rsidRPr="0028514E" w:rsidRDefault="00296A74" w:rsidP="006E5F9A">
      <w:pPr>
        <w:pStyle w:val="a4"/>
        <w:ind w:left="0"/>
      </w:pPr>
      <w:r w:rsidRPr="0028514E">
        <w:t xml:space="preserve">Kaksitoista kuukautta kestäneen kontrolloidun kliinisen </w:t>
      </w:r>
      <w:r w:rsidR="00F80E4E">
        <w:t>tosilitsumabi</w:t>
      </w:r>
      <w:r w:rsidRPr="0028514E">
        <w:t>tutkimuksen tavanomaisessa laboratorioseurannassa 34 %:lla potilaista kokonaiskolesteroliarvo nousi pitkäkestoisesti arvoon</w:t>
      </w:r>
      <w:r w:rsidR="00F5649D" w:rsidRPr="0028514E">
        <w:t xml:space="preserve"> </w:t>
      </w:r>
      <w:r w:rsidRPr="0028514E">
        <w:t xml:space="preserve">&gt; 6,2 mmol/l (240 mg/dl), ja 15 %:lla </w:t>
      </w:r>
      <w:r w:rsidR="00F80E4E">
        <w:t xml:space="preserve">tosilitsumabia </w:t>
      </w:r>
      <w:r w:rsidRPr="0028514E">
        <w:t xml:space="preserve">ihon alle viikoittain saaneen ryhmän potilaista LDL-kolesteroliarvo nousi pitkäkestoisesti arvoon </w:t>
      </w:r>
      <w:r w:rsidR="00A14525">
        <w:t>≥</w:t>
      </w:r>
      <w:r w:rsidRPr="0028514E">
        <w:t xml:space="preserve"> 4,1 mmol/l (160 mg/dl).</w:t>
      </w:r>
    </w:p>
    <w:p w14:paraId="35AF7A7F" w14:textId="77777777" w:rsidR="003B7027" w:rsidRPr="0028514E" w:rsidRDefault="003B7027" w:rsidP="006E5F9A">
      <w:pPr>
        <w:pStyle w:val="a4"/>
        <w:ind w:left="0"/>
      </w:pPr>
    </w:p>
    <w:p w14:paraId="27FB2C7C" w14:textId="77777777" w:rsidR="003B7027" w:rsidRPr="0028514E" w:rsidRDefault="00296A74" w:rsidP="006E5F9A">
      <w:pPr>
        <w:pStyle w:val="a4"/>
        <w:ind w:left="0"/>
      </w:pPr>
      <w:r w:rsidRPr="0028514E">
        <w:rPr>
          <w:u w:val="single"/>
        </w:rPr>
        <w:t>Laskimonsisäinen annostelu</w:t>
      </w:r>
    </w:p>
    <w:p w14:paraId="69E65C6C" w14:textId="77777777" w:rsidR="003B7027" w:rsidRPr="009A3CB5" w:rsidRDefault="00296A74" w:rsidP="001C1F69">
      <w:pPr>
        <w:rPr>
          <w:b/>
          <w:bCs/>
          <w:lang w:val="fi-FI"/>
        </w:rPr>
      </w:pPr>
      <w:r w:rsidRPr="009A3CB5">
        <w:rPr>
          <w:b/>
          <w:bCs/>
          <w:lang w:val="fi-FI"/>
        </w:rPr>
        <w:t>Nivelreuma</w:t>
      </w:r>
    </w:p>
    <w:p w14:paraId="45749119" w14:textId="7E425152" w:rsidR="003B7027" w:rsidRPr="0028514E" w:rsidRDefault="00F80E4E" w:rsidP="006E5F9A">
      <w:pPr>
        <w:pStyle w:val="a4"/>
        <w:ind w:left="0"/>
      </w:pPr>
      <w:r>
        <w:lastRenderedPageBreak/>
        <w:t xml:space="preserve">Tosilitsumabin </w:t>
      </w:r>
      <w:r w:rsidR="00296A74" w:rsidRPr="0028514E">
        <w:t>turvallisuutta on tutkittu neljässä lumevertailututkimuksessa (tutkimukset II, III, IV ja V) ja yhdessä tutkimuksessa, jossa vaikuttavana vertailuaineena oli MTX (tutkimus I), sekä näiden tutkimusten jatkotutkimuksissa (ks. kohta 5.1).</w:t>
      </w:r>
    </w:p>
    <w:p w14:paraId="23EF3B35" w14:textId="77777777" w:rsidR="00F5649D" w:rsidRPr="0028514E" w:rsidRDefault="00F5649D" w:rsidP="006E5F9A">
      <w:pPr>
        <w:pStyle w:val="a4"/>
        <w:ind w:left="0"/>
      </w:pPr>
    </w:p>
    <w:p w14:paraId="2BBF32E7" w14:textId="29DAB524" w:rsidR="003B7027" w:rsidRPr="0028514E" w:rsidRDefault="00296A74" w:rsidP="006E5F9A">
      <w:pPr>
        <w:pStyle w:val="a4"/>
        <w:ind w:left="0"/>
      </w:pPr>
      <w:r w:rsidRPr="0028514E">
        <w:t xml:space="preserve">Neljässä tutkimuksessa kaksoissokkoutetun kontrollivaiheen pituus oli kuusi kuukautta (tutkimukset I, III, IV ja V) ja yhdessä tutkimuksessa (II) se oli enimmillään kaksi vuotta. Näissä kaksoissokkotekniikalla kontrolloiduissa tutkimuksissa 774 potilasta sai 4 mg/kg </w:t>
      </w:r>
      <w:r w:rsidR="00F80E4E">
        <w:t xml:space="preserve">tosilitsumabia </w:t>
      </w:r>
      <w:r w:rsidRPr="0028514E">
        <w:t xml:space="preserve">yhdessä MTX:n kanssa, 1870 potilasta sai 8 mg/kg </w:t>
      </w:r>
      <w:r w:rsidR="00F80E4E">
        <w:t xml:space="preserve">tosilitsumabia </w:t>
      </w:r>
      <w:r w:rsidRPr="0028514E">
        <w:t xml:space="preserve">yhdessä MTX:n tai muun DMARDin kanssa ja 288 potilasta sai 8 mg/kg </w:t>
      </w:r>
      <w:r w:rsidR="00F80E4E">
        <w:t xml:space="preserve">tosilitsumabia </w:t>
      </w:r>
      <w:r w:rsidRPr="0028514E">
        <w:t>monoterapiana.</w:t>
      </w:r>
    </w:p>
    <w:p w14:paraId="611088CE" w14:textId="77777777" w:rsidR="003B7027" w:rsidRPr="0028514E" w:rsidRDefault="003B7027" w:rsidP="006E5F9A">
      <w:pPr>
        <w:pStyle w:val="a4"/>
        <w:ind w:left="0"/>
      </w:pPr>
    </w:p>
    <w:p w14:paraId="525D2C37" w14:textId="4663F7D3" w:rsidR="003B7027" w:rsidRPr="0028514E" w:rsidRDefault="00296A74" w:rsidP="006E5F9A">
      <w:pPr>
        <w:pStyle w:val="a4"/>
        <w:ind w:left="0"/>
      </w:pPr>
      <w:r w:rsidRPr="0028514E">
        <w:t xml:space="preserve">Pitkäaikaisen altistumisen populaatioon kuuluvat kaikki potilaat, jotka saivat vähintään yhden </w:t>
      </w:r>
      <w:r w:rsidR="00F80E4E">
        <w:t>tosilitsumabi</w:t>
      </w:r>
      <w:r w:rsidRPr="0028514E">
        <w:t>annoksen joko tutkimusten kaksoissokkoutetun seurantavaiheen aikana tai avoimissa jatkotutkimuksissa. Tähän populaatioon kuuluu 4009 potilasta, joista 3577:ää hoidettiin vähintään kuuden kuukauden ajan, 3296:ta vähintään vuoden ajan, 2806:ta vähintään kahden vuoden ajan ja 1222:ta vähintään kolmen vuoden ajan.</w:t>
      </w:r>
    </w:p>
    <w:p w14:paraId="5B760A9A" w14:textId="77777777" w:rsidR="00F5649D" w:rsidRPr="0028514E" w:rsidRDefault="00F5649D" w:rsidP="006E5F9A">
      <w:pPr>
        <w:pStyle w:val="a4"/>
        <w:ind w:left="0"/>
      </w:pPr>
    </w:p>
    <w:p w14:paraId="5A81A0DE" w14:textId="77777777" w:rsidR="003B7027" w:rsidRPr="0028514E" w:rsidRDefault="00296A74" w:rsidP="006E5F9A">
      <w:pPr>
        <w:pStyle w:val="a4"/>
        <w:ind w:left="0"/>
      </w:pPr>
      <w:r w:rsidRPr="0028514E">
        <w:rPr>
          <w:u w:val="single"/>
        </w:rPr>
        <w:t>Valikoitujen haittavaikutusten kuvaus</w:t>
      </w:r>
    </w:p>
    <w:p w14:paraId="3A054635" w14:textId="77777777" w:rsidR="003B7027" w:rsidRPr="0028514E" w:rsidRDefault="003B7027" w:rsidP="006E5F9A">
      <w:pPr>
        <w:pStyle w:val="a4"/>
        <w:ind w:left="0"/>
      </w:pPr>
    </w:p>
    <w:p w14:paraId="776325C2" w14:textId="77777777" w:rsidR="003B7027" w:rsidRPr="00CA43F5" w:rsidRDefault="00296A74" w:rsidP="006E5F9A">
      <w:pPr>
        <w:rPr>
          <w:i/>
          <w:lang w:val="fi-FI"/>
        </w:rPr>
      </w:pPr>
      <w:r w:rsidRPr="00CA43F5">
        <w:rPr>
          <w:i/>
          <w:lang w:val="fi-FI"/>
        </w:rPr>
        <w:t>Infektiot</w:t>
      </w:r>
    </w:p>
    <w:p w14:paraId="31AC80C2" w14:textId="6FE94F31" w:rsidR="003B7027" w:rsidRPr="0028514E" w:rsidRDefault="00296A74" w:rsidP="006E5F9A">
      <w:pPr>
        <w:pStyle w:val="a4"/>
        <w:ind w:left="0"/>
      </w:pPr>
      <w:r w:rsidRPr="0028514E">
        <w:t>Kuusi kuukautta kestäneissä vertailututkimuksissa infektioiden esiintyvyys oli 127 tapahtumaa</w:t>
      </w:r>
      <w:r w:rsidR="00F5649D" w:rsidRPr="0028514E">
        <w:t xml:space="preserve"> </w:t>
      </w:r>
      <w:r w:rsidRPr="0028514E">
        <w:t xml:space="preserve">100 potilasvuotta kohti potilailla, jotka saivat 8 mg/kg </w:t>
      </w:r>
      <w:r w:rsidR="00F80E4E">
        <w:t xml:space="preserve">tosilitsumabia </w:t>
      </w:r>
      <w:r w:rsidRPr="0028514E">
        <w:t>yhdessä DMARDien kanssa, ja 112 tapahtumaa 100 potilasvuotta kohti potilailla, jotka saivat lumevalmistetta ja DMARDeja.</w:t>
      </w:r>
      <w:r w:rsidR="00F5649D" w:rsidRPr="0028514E">
        <w:t xml:space="preserve"> </w:t>
      </w:r>
      <w:r w:rsidRPr="0028514E">
        <w:t xml:space="preserve">Populaatiossa, jossa altistuminen </w:t>
      </w:r>
      <w:r w:rsidR="00F80E4E">
        <w:t xml:space="preserve">tosilitsumabille </w:t>
      </w:r>
      <w:r w:rsidRPr="0028514E">
        <w:t>oli pitkäaikaista, infektioiden kokonaisesiintyvyys oli 108 tapahtumaa 100 potilasvuotta kohti.</w:t>
      </w:r>
    </w:p>
    <w:p w14:paraId="41D460ED" w14:textId="77777777" w:rsidR="00F5649D" w:rsidRPr="0028514E" w:rsidRDefault="00F5649D" w:rsidP="006E5F9A">
      <w:pPr>
        <w:pStyle w:val="a4"/>
        <w:ind w:left="0"/>
      </w:pPr>
    </w:p>
    <w:p w14:paraId="0B9744C2" w14:textId="02F4EEB5" w:rsidR="003B7027" w:rsidRPr="0028514E" w:rsidRDefault="00296A74" w:rsidP="006E5F9A">
      <w:pPr>
        <w:pStyle w:val="a4"/>
        <w:ind w:left="0"/>
      </w:pPr>
      <w:r w:rsidRPr="0028514E">
        <w:t xml:space="preserve">Kuusi kuukautta kestäneissä kliinisissä vertailututkimuksissa vakavien infektioiden esiintyvyys oli 5,3 tapahtumaa 100 potilasvuotta kohti potilailla, jotka saivat 8 mg/kg </w:t>
      </w:r>
      <w:r w:rsidR="00F80E4E">
        <w:t xml:space="preserve">tosilitsumabia </w:t>
      </w:r>
      <w:r w:rsidRPr="0028514E">
        <w:t>yhdessä</w:t>
      </w:r>
      <w:r w:rsidR="00F5649D" w:rsidRPr="0028514E">
        <w:t xml:space="preserve"> </w:t>
      </w:r>
      <w:r w:rsidRPr="0028514E">
        <w:t>DMARDien kanssa ja 3,9 tapahtumaa 100 potilasvuotta kohti potilailla, jotka saivat lumevalmistetta ja DMARDeja. Monoterapiatutkimuksessa vakavien infektioiden esiintyvyys oli 3,6 tapahtumaa</w:t>
      </w:r>
      <w:r w:rsidR="00F5649D" w:rsidRPr="0028514E">
        <w:t xml:space="preserve"> </w:t>
      </w:r>
      <w:r w:rsidRPr="0028514E">
        <w:t xml:space="preserve">100 potilasvuotta kohti </w:t>
      </w:r>
      <w:r w:rsidR="00F80E4E">
        <w:t>tosilitsumabi</w:t>
      </w:r>
      <w:r w:rsidRPr="0028514E">
        <w:t>ryhmässä ja 1,5 tapahtumaa 100 potilasvuotta kohti MTX- ryhmässä.</w:t>
      </w:r>
    </w:p>
    <w:p w14:paraId="45358617" w14:textId="77777777" w:rsidR="00F5649D" w:rsidRPr="0028514E" w:rsidRDefault="00F5649D" w:rsidP="006E5F9A">
      <w:pPr>
        <w:pStyle w:val="a4"/>
        <w:ind w:left="0"/>
      </w:pPr>
    </w:p>
    <w:p w14:paraId="79B82980" w14:textId="77777777" w:rsidR="00734958" w:rsidRDefault="00296A74" w:rsidP="00A14525">
      <w:pPr>
        <w:pStyle w:val="a4"/>
        <w:ind w:left="0"/>
      </w:pPr>
      <w:r w:rsidRPr="0028514E">
        <w:t xml:space="preserve">Populaatiossa, jossa altistuminen oli pitkäaikaista, vakavien infektioiden (bakteeri-, virus- tai sieni- infektio) kokonaisesiintyvyys oli 4,7 tapahtumaa 100 potilasvuotta kohti. Raportoituja vakavia infektioita, joista jotkut johtivat kuolemaan, olivat aktiivinen tuberkuloosi (intra- tai ekstrapulmonaarinen), invasiiviset keuhkoinfektiot, joihin kuuluvat kandidiaasi, aspergilloosi, koksidioidomykoosi ja </w:t>
      </w:r>
      <w:r w:rsidRPr="0028514E">
        <w:rPr>
          <w:i/>
        </w:rPr>
        <w:t xml:space="preserve">pneumocystis jirovecii </w:t>
      </w:r>
      <w:r w:rsidRPr="0028514E">
        <w:t xml:space="preserve">-infektio, keuhkokuume, selluliitti, vyöruusu, gastroenteriitti, divertikuliitti, sepsis ja bakteeriartriitti. </w:t>
      </w:r>
    </w:p>
    <w:p w14:paraId="32D551F5" w14:textId="77777777" w:rsidR="00734958" w:rsidRDefault="00734958" w:rsidP="00A14525">
      <w:pPr>
        <w:pStyle w:val="a4"/>
        <w:ind w:left="0"/>
      </w:pPr>
    </w:p>
    <w:p w14:paraId="3166025D" w14:textId="3F76277A" w:rsidR="003B7027" w:rsidRPr="0028514E" w:rsidRDefault="00296A74" w:rsidP="00A14525">
      <w:pPr>
        <w:pStyle w:val="a4"/>
        <w:ind w:left="0"/>
      </w:pPr>
      <w:r w:rsidRPr="0028514E">
        <w:t>Opportunistisia infektioita on raportoitu.</w:t>
      </w:r>
    </w:p>
    <w:p w14:paraId="317573BE" w14:textId="77777777" w:rsidR="003B7027" w:rsidRPr="0028514E" w:rsidRDefault="003B7027" w:rsidP="00A14525">
      <w:pPr>
        <w:pStyle w:val="a4"/>
        <w:ind w:left="0"/>
      </w:pPr>
    </w:p>
    <w:p w14:paraId="01E5FE38" w14:textId="77777777" w:rsidR="003B7027" w:rsidRPr="00CA43F5" w:rsidRDefault="00296A74" w:rsidP="00A14525">
      <w:pPr>
        <w:rPr>
          <w:i/>
          <w:lang w:val="fi-FI"/>
        </w:rPr>
      </w:pPr>
      <w:r w:rsidRPr="00CA43F5">
        <w:rPr>
          <w:i/>
          <w:lang w:val="fi-FI"/>
        </w:rPr>
        <w:t>Interstitiaalinen keuhkosairaus</w:t>
      </w:r>
    </w:p>
    <w:p w14:paraId="6F5654AD" w14:textId="77777777" w:rsidR="003B7027" w:rsidRPr="0028514E" w:rsidRDefault="00296A74" w:rsidP="00A14525">
      <w:pPr>
        <w:pStyle w:val="a4"/>
        <w:ind w:left="0"/>
      </w:pPr>
      <w:r w:rsidRPr="0028514E">
        <w:t>Keuhkojen heikentynyt toimintakyky voi lisätä infektioriskiä. Interstitiaalista keuhkosairautta on raportoitu markkinoille tulon jälkeen (mukaan lukien keuhkotulehdus ja keuhkofibroosi). Näistä tapauksista muutama on ollut kuolemaan johtava.</w:t>
      </w:r>
    </w:p>
    <w:p w14:paraId="5DFB62BD" w14:textId="77777777" w:rsidR="00F5649D" w:rsidRPr="0028514E" w:rsidRDefault="00F5649D" w:rsidP="00A14525">
      <w:pPr>
        <w:pStyle w:val="a4"/>
        <w:ind w:left="0"/>
      </w:pPr>
    </w:p>
    <w:p w14:paraId="1007E12D" w14:textId="77777777" w:rsidR="003B7027" w:rsidRPr="00CA43F5" w:rsidRDefault="00296A74" w:rsidP="00A14525">
      <w:pPr>
        <w:rPr>
          <w:i/>
          <w:lang w:val="fi-FI"/>
        </w:rPr>
      </w:pPr>
      <w:r w:rsidRPr="00CA43F5">
        <w:rPr>
          <w:i/>
          <w:lang w:val="fi-FI"/>
        </w:rPr>
        <w:t>Ruoansulatuskanavan perforaatiot</w:t>
      </w:r>
    </w:p>
    <w:p w14:paraId="19564022" w14:textId="17DBE585" w:rsidR="003B7027" w:rsidRPr="0028514E" w:rsidRDefault="00296A74" w:rsidP="00A14525">
      <w:pPr>
        <w:pStyle w:val="a4"/>
        <w:ind w:left="0"/>
      </w:pPr>
      <w:r w:rsidRPr="0028514E">
        <w:t xml:space="preserve">Kuusi kuukautta kestäneissä kontrolloiduissa kliinisissä tutkimuksissa ruoansulatuskanavan perforaatioiden kokonaisesiintyvyys </w:t>
      </w:r>
      <w:r w:rsidR="00F80E4E">
        <w:t>tosilitsumabi</w:t>
      </w:r>
      <w:r w:rsidRPr="0028514E">
        <w:t xml:space="preserve">hoidon aikana oli 0,26 tapahtumaa 100 potilasvuotta kohti. Populaatiossa, jossa altistuminen oli pitkäaikaista, kokonaisesiintyvyys oli 0,28 tapahtumaa 100 potilasvuotta kohti. Ruoansulatuskanavan perforaatioita </w:t>
      </w:r>
      <w:r w:rsidR="00F80E4E">
        <w:t>tosilitsumabi</w:t>
      </w:r>
      <w:r w:rsidRPr="0028514E">
        <w:t>hoidon yhteydessä raportoitiin ensisijaisesti divertikuliitin komplikaatioina mukaan lukien yleistynyt märkäinen peritoniitti, ruoansulatuskanavan alaosan perforaatio, fistelit ja absessi.</w:t>
      </w:r>
    </w:p>
    <w:p w14:paraId="1CE72874" w14:textId="77777777" w:rsidR="003B7027" w:rsidRPr="0028514E" w:rsidRDefault="003B7027" w:rsidP="00A14525">
      <w:pPr>
        <w:pStyle w:val="a4"/>
        <w:ind w:left="0"/>
      </w:pPr>
    </w:p>
    <w:p w14:paraId="6B07A448" w14:textId="77777777" w:rsidR="003B7027" w:rsidRPr="00CA43F5" w:rsidRDefault="00296A74" w:rsidP="00A14525">
      <w:pPr>
        <w:rPr>
          <w:i/>
          <w:lang w:val="fi-FI"/>
        </w:rPr>
      </w:pPr>
      <w:r w:rsidRPr="00CA43F5">
        <w:rPr>
          <w:i/>
          <w:lang w:val="fi-FI"/>
        </w:rPr>
        <w:t>Infuusion liittyvät reaktiot</w:t>
      </w:r>
    </w:p>
    <w:p w14:paraId="0389C447" w14:textId="6A00D3FB" w:rsidR="003B7027" w:rsidRPr="0028514E" w:rsidRDefault="00296A74" w:rsidP="005D5C7C">
      <w:pPr>
        <w:pStyle w:val="a4"/>
        <w:ind w:left="0"/>
      </w:pPr>
      <w:r w:rsidRPr="0028514E">
        <w:t xml:space="preserve">Kuusi kuukautta kestäneissä tutkimuksissa infuusioon liittyviä haittatapahtumia (valikoidut tapahtumat, jotka ilmaantuivat infuusion aikana tai 24 tunnin kuluessa sen päättymisestä) esiintyi 6,9 %:lla potilaista, jotka saivat </w:t>
      </w:r>
      <w:r w:rsidR="00F80E4E">
        <w:t xml:space="preserve">tosilitsumabia </w:t>
      </w:r>
      <w:r w:rsidRPr="0028514E">
        <w:t>8 mg/kg yhdessä DMARDien kanssa, ja 5,1 %:lla</w:t>
      </w:r>
      <w:r w:rsidR="005D5C7C">
        <w:t xml:space="preserve"> </w:t>
      </w:r>
      <w:r w:rsidRPr="0028514E">
        <w:lastRenderedPageBreak/>
        <w:t>potilaista, jotka saivat lumevalmistetta ja DMARDeja. Infuusion aikana raportoidut tapahtumat olivat pääasiassa hypertensioepisodeja. Tapahtumia, joita raportoitiin 24 tunnin aikana infuusion päättymisen jälkeen, olivat päänsärky ja ihoreaktiot (ihottuma, nokkosihottuma). Nämä tapahtumat eivät olleet hoitoa rajoittavia.</w:t>
      </w:r>
    </w:p>
    <w:p w14:paraId="573B819A" w14:textId="77777777" w:rsidR="00F5649D" w:rsidRPr="0028514E" w:rsidRDefault="00F5649D" w:rsidP="00A14525">
      <w:pPr>
        <w:pStyle w:val="a4"/>
        <w:ind w:left="0"/>
      </w:pPr>
    </w:p>
    <w:p w14:paraId="20E7D86C" w14:textId="57762D61" w:rsidR="003B7027" w:rsidRPr="0028514E" w:rsidRDefault="00296A74" w:rsidP="006E5F9A">
      <w:pPr>
        <w:pStyle w:val="a4"/>
        <w:ind w:left="0"/>
      </w:pPr>
      <w:r w:rsidRPr="0028514E">
        <w:t xml:space="preserve">Anafylaktisten reaktioiden esiintyvyys (yhteensä 8 tapausta / 4009 potilasta, 0,2 %) oli moninkertainen annoksen ollessa 4 mg/kg verrattuna annokseen 8 mg/kg. Hoidon keskeyttämistä vaatineita kliinisesti merkitseviä </w:t>
      </w:r>
      <w:r w:rsidR="00F80E4E">
        <w:t>tosilitsumabi</w:t>
      </w:r>
      <w:r w:rsidRPr="0028514E">
        <w:t xml:space="preserve">hoitoon liittyneitä yliherkkyysreaktioita todettiin yhteensä 56:lla (1,4 %) niistä 4009 potilaasta, jotka saivat </w:t>
      </w:r>
      <w:r w:rsidR="00F80E4E">
        <w:t>tosilitsumabia</w:t>
      </w:r>
      <w:r w:rsidRPr="0028514E">
        <w:t xml:space="preserve"> vertailututkimuksissa ja avoimissa kliinisissä tutkimuksissa. Nämä reaktiot ilmaantuivat yleensä 2.–5. </w:t>
      </w:r>
      <w:r w:rsidR="00F80E4E">
        <w:t>tosilitsumabi</w:t>
      </w:r>
      <w:r w:rsidRPr="0028514E">
        <w:t xml:space="preserve">infuusion aikana (ks. kohta 4.4). Myyntiluvan myöntämisen jälkeen on raportoitu yksi fataali anafylaksiatapaus </w:t>
      </w:r>
      <w:r w:rsidR="00F80E4E">
        <w:t>tosilitsumabi</w:t>
      </w:r>
      <w:r w:rsidRPr="0028514E">
        <w:t>hoidon aikana (ks. kohta 4.4).</w:t>
      </w:r>
    </w:p>
    <w:p w14:paraId="79667B27" w14:textId="77777777" w:rsidR="00F5649D" w:rsidRPr="0028514E" w:rsidRDefault="00F5649D" w:rsidP="006E5F9A">
      <w:pPr>
        <w:pStyle w:val="a4"/>
        <w:ind w:left="0"/>
      </w:pPr>
    </w:p>
    <w:p w14:paraId="517927E5" w14:textId="77777777" w:rsidR="003B7027" w:rsidRPr="00CA43F5" w:rsidRDefault="00296A74" w:rsidP="006E5F9A">
      <w:pPr>
        <w:rPr>
          <w:i/>
          <w:lang w:val="fi-FI"/>
        </w:rPr>
      </w:pPr>
      <w:r w:rsidRPr="00CA43F5">
        <w:rPr>
          <w:i/>
          <w:lang w:val="fi-FI"/>
        </w:rPr>
        <w:t>Hematologiset muutokset:</w:t>
      </w:r>
    </w:p>
    <w:p w14:paraId="2FFC5BF3" w14:textId="77777777" w:rsidR="003B7027" w:rsidRPr="00CA43F5" w:rsidRDefault="00296A74" w:rsidP="006E5F9A">
      <w:pPr>
        <w:rPr>
          <w:i/>
          <w:lang w:val="fi-FI"/>
        </w:rPr>
      </w:pPr>
      <w:r w:rsidRPr="00CA43F5">
        <w:rPr>
          <w:i/>
          <w:lang w:val="fi-FI"/>
        </w:rPr>
        <w:t>Neutrofiilit</w:t>
      </w:r>
    </w:p>
    <w:p w14:paraId="7F60585C" w14:textId="41ACB3D3" w:rsidR="003B7027" w:rsidRPr="0028514E" w:rsidRDefault="00296A74" w:rsidP="006E5F9A">
      <w:pPr>
        <w:pStyle w:val="a4"/>
        <w:ind w:left="0"/>
      </w:pPr>
      <w:r w:rsidRPr="0028514E">
        <w:t>Kuusi kuukautta kestäneissä kontrolloiduissa tutkimuksissa neutrofiiliarvo laski tason 1 x 10</w:t>
      </w:r>
      <w:r w:rsidRPr="0028514E">
        <w:rPr>
          <w:vertAlign w:val="superscript"/>
        </w:rPr>
        <w:t>9</w:t>
      </w:r>
      <w:r w:rsidRPr="0028514E">
        <w:t xml:space="preserve">/l alapuolelle 3,4 %:lla potilaista, jotka saivat </w:t>
      </w:r>
      <w:r w:rsidR="00F80E4E">
        <w:t>tosilitsumabia</w:t>
      </w:r>
      <w:r w:rsidRPr="0028514E">
        <w:t xml:space="preserve"> 8 mg/kg ja DMARDeja verrattuna</w:t>
      </w:r>
      <w:r w:rsidR="00F5649D" w:rsidRPr="0028514E">
        <w:t xml:space="preserve"> </w:t>
      </w:r>
      <w:r w:rsidRPr="0028514E">
        <w:t>&lt; 0,1 %:iin potilaista, jotka saivat lumevalmistetta ja DMARDeja. Potilaista, joiden absoluuttinen neutrofiiliarvo laski tasolle &lt; 1 x 10</w:t>
      </w:r>
      <w:r w:rsidRPr="0028514E">
        <w:rPr>
          <w:vertAlign w:val="superscript"/>
        </w:rPr>
        <w:t>9</w:t>
      </w:r>
      <w:r w:rsidRPr="0028514E">
        <w:t>/l, noin puolella lasku todettiin kahdeksan viikon kuluessa hoidon</w:t>
      </w:r>
      <w:r w:rsidR="00F5649D" w:rsidRPr="0028514E">
        <w:t xml:space="preserve"> </w:t>
      </w:r>
      <w:r w:rsidRPr="0028514E">
        <w:t>alkamisesta. Tason 0,5 x 10</w:t>
      </w:r>
      <w:r w:rsidRPr="0028514E">
        <w:rPr>
          <w:vertAlign w:val="superscript"/>
        </w:rPr>
        <w:t>9</w:t>
      </w:r>
      <w:r w:rsidRPr="0028514E">
        <w:t xml:space="preserve">/l alapuolelle laskeneita arvoja todettiin 0,3 %:lla potilaista, jotka saivat </w:t>
      </w:r>
      <w:r w:rsidR="00F80E4E">
        <w:t xml:space="preserve">tosilitsumabia </w:t>
      </w:r>
      <w:r w:rsidRPr="0028514E">
        <w:t>8 mg/kg yhdessä DMARDien kanssa. Infektioita, joihin liittyi neutropenia, on raportoitu.</w:t>
      </w:r>
    </w:p>
    <w:p w14:paraId="2E2AAE85" w14:textId="77777777" w:rsidR="003B7027" w:rsidRPr="0028514E" w:rsidRDefault="003B7027" w:rsidP="006E5F9A">
      <w:pPr>
        <w:pStyle w:val="a4"/>
        <w:ind w:left="0"/>
      </w:pPr>
    </w:p>
    <w:p w14:paraId="3675E9C7" w14:textId="77777777" w:rsidR="003B7027" w:rsidRPr="0028514E" w:rsidRDefault="00296A74" w:rsidP="006E5F9A">
      <w:pPr>
        <w:pStyle w:val="a4"/>
        <w:ind w:left="0"/>
      </w:pPr>
      <w:r w:rsidRPr="0028514E">
        <w:t>Kaksoissokkoutetussa kontrollivaiheessa ja pitkäaikaisessa altistumisessa havaittiin neutrofiiliarvojen laskeneen vastaavalla tavalla ja ilmaantuvuudella kuin kuusi kuukautta kestäneissä kontrolloiduissa tutkimuksissa.</w:t>
      </w:r>
    </w:p>
    <w:p w14:paraId="64963961" w14:textId="77777777" w:rsidR="00F5649D" w:rsidRPr="0028514E" w:rsidRDefault="00F5649D" w:rsidP="006E5F9A">
      <w:pPr>
        <w:pStyle w:val="a4"/>
        <w:ind w:left="0"/>
      </w:pPr>
    </w:p>
    <w:p w14:paraId="72242004" w14:textId="77777777" w:rsidR="003B7027" w:rsidRPr="00CA43F5" w:rsidRDefault="00296A74" w:rsidP="006E5F9A">
      <w:pPr>
        <w:keepNext/>
        <w:rPr>
          <w:i/>
          <w:lang w:val="fi-FI"/>
        </w:rPr>
      </w:pPr>
      <w:r w:rsidRPr="00CA43F5">
        <w:rPr>
          <w:i/>
          <w:lang w:val="fi-FI"/>
        </w:rPr>
        <w:t>Trombosyytit</w:t>
      </w:r>
    </w:p>
    <w:p w14:paraId="6EED3B3A" w14:textId="197B8B08" w:rsidR="003B7027" w:rsidRPr="0028514E" w:rsidRDefault="00296A74" w:rsidP="006E5F9A">
      <w:pPr>
        <w:pStyle w:val="a4"/>
        <w:ind w:left="0"/>
      </w:pPr>
      <w:r w:rsidRPr="0028514E">
        <w:t>Kuusi kuukautta kestäneissä kontrolloiduissa tutkimuksissa trombosyyttiarvo laski tason 100 x 10</w:t>
      </w:r>
      <w:r w:rsidRPr="0028514E">
        <w:rPr>
          <w:vertAlign w:val="superscript"/>
        </w:rPr>
        <w:t>3</w:t>
      </w:r>
      <w:r w:rsidRPr="0028514E">
        <w:t xml:space="preserve">/μl alapuolelle 1,7 %:lla </w:t>
      </w:r>
      <w:r w:rsidR="00F80E4E">
        <w:t xml:space="preserve">tosilitsumabia </w:t>
      </w:r>
      <w:r w:rsidRPr="0028514E">
        <w:t>8 mg/kg ja DMARDeja saaneista potilaista verrattuna &lt; 1 %:lla lumevalmistetta ja DMARDeja saaneisiin potilaisiin. Näihin muutoksiin ei liittynyt verenvuototapahtumia.</w:t>
      </w:r>
    </w:p>
    <w:p w14:paraId="1E0610FD" w14:textId="77777777" w:rsidR="003B7027" w:rsidRPr="0028514E" w:rsidRDefault="003B7027" w:rsidP="006E5F9A">
      <w:pPr>
        <w:pStyle w:val="a4"/>
        <w:ind w:left="0"/>
      </w:pPr>
    </w:p>
    <w:p w14:paraId="69C6898F" w14:textId="77777777" w:rsidR="003B7027" w:rsidRPr="0028514E" w:rsidRDefault="00296A74" w:rsidP="006E5F9A">
      <w:pPr>
        <w:pStyle w:val="a4"/>
        <w:ind w:left="0"/>
      </w:pPr>
      <w:r w:rsidRPr="0028514E">
        <w:t>Kaksoissokkoutetussa kontrollivaiheessa ja pitkäaikaisessa altistumisessa havaittiin trombosyyttiarvojen laskeneen vastaavalla tavalla ja ilmaantuvuudella kuin kuusi kuukautta kestäneissä kontrolloiduissa tutkimuksissa.</w:t>
      </w:r>
    </w:p>
    <w:p w14:paraId="00981004" w14:textId="77777777" w:rsidR="003B7027" w:rsidRPr="0028514E" w:rsidRDefault="00296A74" w:rsidP="006E5F9A">
      <w:pPr>
        <w:pStyle w:val="a4"/>
        <w:ind w:left="0"/>
      </w:pPr>
      <w:r w:rsidRPr="0028514E">
        <w:t>Myyntiluvan myöntämisen jälkeisessä seurannassa on hyvin harvoin raportoitu pansytopeniaa.</w:t>
      </w:r>
    </w:p>
    <w:p w14:paraId="64AB0D7E" w14:textId="77777777" w:rsidR="003B7027" w:rsidRPr="0028514E" w:rsidRDefault="003B7027" w:rsidP="006E5F9A">
      <w:pPr>
        <w:pStyle w:val="a4"/>
        <w:ind w:left="0"/>
      </w:pPr>
    </w:p>
    <w:p w14:paraId="113182C7" w14:textId="77777777" w:rsidR="003B7027" w:rsidRPr="00CA43F5" w:rsidRDefault="00296A74" w:rsidP="003C43CF">
      <w:pPr>
        <w:rPr>
          <w:i/>
          <w:lang w:val="fi-FI"/>
        </w:rPr>
      </w:pPr>
      <w:r w:rsidRPr="00CA43F5">
        <w:rPr>
          <w:i/>
          <w:lang w:val="fi-FI"/>
        </w:rPr>
        <w:t>Maksan aminotransferaasiarvojen nousu</w:t>
      </w:r>
    </w:p>
    <w:p w14:paraId="3372CFBB" w14:textId="70495FF7" w:rsidR="003B7027" w:rsidRPr="0028514E" w:rsidRDefault="00296A74" w:rsidP="003C43CF">
      <w:pPr>
        <w:pStyle w:val="a4"/>
        <w:ind w:left="0"/>
      </w:pPr>
      <w:r w:rsidRPr="0028514E">
        <w:t>Kuusi kuukautta kestäneissä kontrolloiduissa tutkimuksissa ohimenevä ALAT-/ASAT-arvojen nousu</w:t>
      </w:r>
      <w:r w:rsidR="00F5649D" w:rsidRPr="0028514E">
        <w:t xml:space="preserve"> </w:t>
      </w:r>
      <w:r w:rsidRPr="0028514E">
        <w:t xml:space="preserve">&gt; 3 x viitevälin yläraja todettiin 2,1 %:lla </w:t>
      </w:r>
      <w:r w:rsidR="00F80E4E">
        <w:t xml:space="preserve">tosilitsumabia </w:t>
      </w:r>
      <w:r w:rsidRPr="0028514E">
        <w:t xml:space="preserve">8 mg/kg saaneista ja 4,9 %:lla MTX:a saaneista potilaista sekä 6,5 %:lla potilaista, jotka saivat </w:t>
      </w:r>
      <w:r w:rsidR="00F80E4E">
        <w:t xml:space="preserve">tosilitsumabia </w:t>
      </w:r>
      <w:r w:rsidRPr="0028514E">
        <w:t>8 mg/kg yhdessä DMARDien kanssa, sekä 1,5 %:lla lumevalmistetta ja DMARDeja saaneista potilaista.</w:t>
      </w:r>
    </w:p>
    <w:p w14:paraId="5697FEB1" w14:textId="77777777" w:rsidR="003B7027" w:rsidRPr="0028514E" w:rsidRDefault="003B7027" w:rsidP="006E5F9A">
      <w:pPr>
        <w:pStyle w:val="a4"/>
        <w:ind w:left="0"/>
      </w:pPr>
    </w:p>
    <w:p w14:paraId="2012AA43" w14:textId="28702B4F" w:rsidR="003B7027" w:rsidRPr="0028514E" w:rsidRDefault="00296A74" w:rsidP="006E5F9A">
      <w:pPr>
        <w:pStyle w:val="a4"/>
        <w:ind w:left="0"/>
      </w:pPr>
      <w:r w:rsidRPr="0028514E">
        <w:t xml:space="preserve">Kohonneet arvot yleistyivät, kun </w:t>
      </w:r>
      <w:r w:rsidR="00F80E4E">
        <w:t>tosilitsumabi</w:t>
      </w:r>
      <w:r w:rsidRPr="0028514E">
        <w:t xml:space="preserve">monoterapiahoitoon lisättiin jokin mahdollisesti maksatoksinen lääke (esim. MTX). ALAT-/ASAT-arvojen nousu &gt; 5 x viitevälin yläraja todettiin 0,7 %:lla pelkkää </w:t>
      </w:r>
      <w:r w:rsidR="00F80E4E">
        <w:t xml:space="preserve">tosilitsumabia </w:t>
      </w:r>
      <w:r w:rsidRPr="0028514E">
        <w:t xml:space="preserve">saaneista potilaista ja 1,4 %:lla potilaista, jotka saivat </w:t>
      </w:r>
      <w:r w:rsidR="00F80E4E">
        <w:t xml:space="preserve">tosilitsumabia </w:t>
      </w:r>
      <w:r w:rsidRPr="0028514E">
        <w:t xml:space="preserve">yhdessä DMARDien kanssa. Suurimmalla osalla näistä potilaista </w:t>
      </w:r>
      <w:r w:rsidR="00F80E4E">
        <w:t>tosilitsumabi</w:t>
      </w:r>
      <w:r w:rsidRPr="0028514E">
        <w:t xml:space="preserve">hoito keskeytettiin pysyvästi. Kaksoissokkoutetun kontrollivaiheen tavanomaisessa laboratorioseurannassa 6,2 %:lla </w:t>
      </w:r>
      <w:r w:rsidR="00F80E4E">
        <w:t xml:space="preserve">tosilitsumabia </w:t>
      </w:r>
      <w:r w:rsidRPr="0028514E">
        <w:t>8 mg/kg ja DMARDeja saaneista potilaista todettiin konjugoitumattoman bilirubiinin pitoisuuksia, jotka olivat korkeammat kuin viitevälin yläraja. Konjugoitumattoman bilirubiinin</w:t>
      </w:r>
      <w:r w:rsidR="00F5649D" w:rsidRPr="0028514E">
        <w:t xml:space="preserve"> </w:t>
      </w:r>
      <w:r w:rsidRPr="0028514E">
        <w:t>pitoisuus nousi tasolle &gt; 1–2 x viitevälin yläraja yhteensä 5,8 %:lla potilaista ja 0,4 %:lla nousu oli &gt; 2 x viitevälin yläraja.</w:t>
      </w:r>
    </w:p>
    <w:p w14:paraId="071A9DA4" w14:textId="77777777" w:rsidR="00F5649D" w:rsidRPr="0028514E" w:rsidRDefault="00F5649D" w:rsidP="006E5F9A">
      <w:pPr>
        <w:pStyle w:val="a4"/>
        <w:ind w:left="0"/>
      </w:pPr>
    </w:p>
    <w:p w14:paraId="231E5321" w14:textId="77777777" w:rsidR="003B7027" w:rsidRPr="0028514E" w:rsidRDefault="00296A74" w:rsidP="006E5F9A">
      <w:pPr>
        <w:pStyle w:val="a4"/>
        <w:ind w:left="0"/>
      </w:pPr>
      <w:r w:rsidRPr="0028514E">
        <w:t>Kaksoissokkoutetussa kontrollivaiheessa ja pitkäaikaisessa altistumisessa havaittiin ALAT-/ASAT- arvojen nousseen vastaavalla tavalla ja ilmaantuvuudella kuin kuusi kuukautta kestäneissä kontrolloiduissa tutkimuksissa.</w:t>
      </w:r>
    </w:p>
    <w:p w14:paraId="5D67D574" w14:textId="77777777" w:rsidR="00F5649D" w:rsidRPr="0028514E" w:rsidRDefault="00F5649D" w:rsidP="006E5F9A">
      <w:pPr>
        <w:pStyle w:val="a4"/>
        <w:ind w:left="0"/>
      </w:pPr>
    </w:p>
    <w:p w14:paraId="7374B361" w14:textId="77777777" w:rsidR="003B7027" w:rsidRPr="00CA43F5" w:rsidRDefault="00296A74" w:rsidP="006E5F9A">
      <w:pPr>
        <w:rPr>
          <w:i/>
          <w:lang w:val="fi-FI"/>
        </w:rPr>
      </w:pPr>
      <w:r w:rsidRPr="00CA43F5">
        <w:rPr>
          <w:i/>
          <w:lang w:val="fi-FI"/>
        </w:rPr>
        <w:t>Veren rasva-arvot</w:t>
      </w:r>
    </w:p>
    <w:p w14:paraId="5F12942F" w14:textId="723A2E44" w:rsidR="003B7027" w:rsidRPr="0028514E" w:rsidRDefault="00296A74" w:rsidP="006E5F9A">
      <w:pPr>
        <w:pStyle w:val="a4"/>
        <w:ind w:left="0"/>
      </w:pPr>
      <w:r w:rsidRPr="0028514E">
        <w:t xml:space="preserve">Kuusi kuukautta kestäneissä kontrolloiduissa tutkimuksissa on raportoitu yleisesti veren rasva-arvojen, kuten kokonaiskolesterolin, triglyseridien, LDL- ja/tai HDL-kolesterolin, nousua. Tavanomaisessa laboratorioseurannassa noin 24 %:lla potilaista, jotka saivat </w:t>
      </w:r>
      <w:r w:rsidR="00F80E4E">
        <w:t xml:space="preserve">tosilitsumabia </w:t>
      </w:r>
      <w:r w:rsidRPr="0028514E">
        <w:t>kliinisissä tutkimuksissa, todettiin pysyvästi kohonneita kokonaiskolesteroliarvoja (≥ 6,2 mmol/l). 15 %:lla potilaista havaittiin pysyvästi kohonneita LDL-kolesteroliarvoja (≥ 4,1 mmol/l). Kohonneet veren rasva-arvot saatiin hallintaan kolesterolia alentavilla lääkkeillä.</w:t>
      </w:r>
    </w:p>
    <w:p w14:paraId="66CBCA54" w14:textId="77777777" w:rsidR="003B7027" w:rsidRPr="0028514E" w:rsidRDefault="003B7027" w:rsidP="006E5F9A">
      <w:pPr>
        <w:pStyle w:val="a4"/>
        <w:ind w:left="0"/>
      </w:pPr>
    </w:p>
    <w:p w14:paraId="331DF100" w14:textId="77777777" w:rsidR="003B7027" w:rsidRPr="0028514E" w:rsidRDefault="00296A74" w:rsidP="006E5F9A">
      <w:pPr>
        <w:pStyle w:val="a4"/>
        <w:ind w:left="0"/>
      </w:pPr>
      <w:r w:rsidRPr="0028514E">
        <w:t>Kaksoissokkoutetussa kontrollivaiheessa ja pitkäaikaisessa altistumisessa havaittiin veren rasva- arvojen kohonneen vastaavalla tavalla ja ilmaantuvuudella kuin kuusi kuukautta kestäneissä kontrolloiduissa tutkimuksissa.</w:t>
      </w:r>
    </w:p>
    <w:p w14:paraId="1EB369D7" w14:textId="77777777" w:rsidR="00F5649D" w:rsidRPr="0028514E" w:rsidRDefault="00F5649D" w:rsidP="006E5F9A">
      <w:pPr>
        <w:pStyle w:val="a4"/>
        <w:ind w:left="0"/>
      </w:pPr>
    </w:p>
    <w:p w14:paraId="63F0129A" w14:textId="77777777" w:rsidR="003B7027" w:rsidRPr="00CA43F5" w:rsidRDefault="00296A74" w:rsidP="006E5F9A">
      <w:pPr>
        <w:rPr>
          <w:i/>
          <w:lang w:val="fi-FI"/>
        </w:rPr>
      </w:pPr>
      <w:r w:rsidRPr="00CA43F5">
        <w:rPr>
          <w:i/>
          <w:lang w:val="fi-FI"/>
        </w:rPr>
        <w:t>Maligniteetti</w:t>
      </w:r>
    </w:p>
    <w:p w14:paraId="0C069250" w14:textId="3D0DEC3A" w:rsidR="003B7027" w:rsidRPr="0028514E" w:rsidRDefault="00296A74" w:rsidP="006E5F9A">
      <w:pPr>
        <w:pStyle w:val="a4"/>
        <w:ind w:left="0"/>
      </w:pPr>
      <w:r w:rsidRPr="0028514E">
        <w:t xml:space="preserve">Kliiniset tiedot eivät ole riittäviä, jotta voitaisiin arvioida pahanlaatuisten kasvainten mahdollista ilmaantuvuutta </w:t>
      </w:r>
      <w:r w:rsidR="00F80E4E">
        <w:t>tosilitsumabi</w:t>
      </w:r>
      <w:r w:rsidRPr="0028514E">
        <w:t>altistuksen jälkeen. Pitkäaikainen turvallisuusarviointi on meneillään.</w:t>
      </w:r>
    </w:p>
    <w:p w14:paraId="7327BDE8" w14:textId="77777777" w:rsidR="00F5649D" w:rsidRPr="0028514E" w:rsidRDefault="00F5649D" w:rsidP="006E5F9A">
      <w:pPr>
        <w:pStyle w:val="a4"/>
        <w:ind w:left="0"/>
      </w:pPr>
    </w:p>
    <w:p w14:paraId="56AD6BFC" w14:textId="77777777" w:rsidR="003B7027" w:rsidRPr="00CA43F5" w:rsidRDefault="00296A74" w:rsidP="006E5F9A">
      <w:pPr>
        <w:rPr>
          <w:i/>
          <w:lang w:val="fi-FI"/>
        </w:rPr>
      </w:pPr>
      <w:r w:rsidRPr="00CA43F5">
        <w:rPr>
          <w:i/>
          <w:color w:val="1C1C1C"/>
          <w:lang w:val="fi-FI"/>
        </w:rPr>
        <w:t>Ihoreaktiot</w:t>
      </w:r>
    </w:p>
    <w:p w14:paraId="56148261" w14:textId="77777777" w:rsidR="003B7027" w:rsidRPr="0028514E" w:rsidRDefault="00296A74" w:rsidP="006E5F9A">
      <w:pPr>
        <w:pStyle w:val="a4"/>
        <w:ind w:left="0"/>
      </w:pPr>
      <w:r w:rsidRPr="0028514E">
        <w:t xml:space="preserve">Myyntiluvan myöntämisen jälkeisessä seurannassa on harvoin raportoitu </w:t>
      </w:r>
      <w:r w:rsidRPr="0028514E">
        <w:rPr>
          <w:color w:val="1C1C1C"/>
        </w:rPr>
        <w:t>Stevens-Johnsonin oireyhtymää</w:t>
      </w:r>
      <w:r w:rsidRPr="0028514E">
        <w:t>.</w:t>
      </w:r>
    </w:p>
    <w:p w14:paraId="6BDAA94A" w14:textId="77777777" w:rsidR="00F5649D" w:rsidRDefault="00F5649D" w:rsidP="006E5F9A">
      <w:pPr>
        <w:pStyle w:val="a4"/>
        <w:ind w:left="0"/>
      </w:pPr>
    </w:p>
    <w:p w14:paraId="5C6C55C3" w14:textId="77777777" w:rsidR="00F80E4E" w:rsidRPr="00C70B85" w:rsidRDefault="00F80E4E" w:rsidP="00F80E4E">
      <w:pPr>
        <w:pStyle w:val="a4"/>
        <w:ind w:left="0"/>
        <w:rPr>
          <w:u w:val="single"/>
        </w:rPr>
      </w:pPr>
      <w:r>
        <w:rPr>
          <w:u w:val="single"/>
        </w:rPr>
        <w:t>Immunogeenisuus</w:t>
      </w:r>
    </w:p>
    <w:p w14:paraId="314B8DC7" w14:textId="4323080F" w:rsidR="00F80E4E" w:rsidRDefault="00F80E4E" w:rsidP="00F80E4E">
      <w:pPr>
        <w:pStyle w:val="a4"/>
        <w:ind w:left="0"/>
      </w:pPr>
      <w:r>
        <w:t>Tosilitsumabihoidon aikana voi kehittyä anti-tosilitsumabivasta-aineita. V</w:t>
      </w:r>
      <w:r w:rsidRPr="0028514E">
        <w:t>asta-aineiden muodostumisen ja kliinisen hoitovasteen tai haittatapahtumien välillä</w:t>
      </w:r>
      <w:r>
        <w:t xml:space="preserve"> voidaan havaita yhteys.</w:t>
      </w:r>
    </w:p>
    <w:p w14:paraId="1A69E496" w14:textId="77777777" w:rsidR="00F80E4E" w:rsidRPr="0028514E" w:rsidRDefault="00F80E4E" w:rsidP="006E5F9A">
      <w:pPr>
        <w:pStyle w:val="a4"/>
        <w:ind w:left="0"/>
      </w:pPr>
    </w:p>
    <w:p w14:paraId="3E9D64DC" w14:textId="77777777" w:rsidR="003B7027" w:rsidRPr="0028514E" w:rsidRDefault="00296A74" w:rsidP="006E5F9A">
      <w:pPr>
        <w:pStyle w:val="a4"/>
        <w:ind w:left="0"/>
      </w:pPr>
      <w:r w:rsidRPr="0028514E">
        <w:rPr>
          <w:u w:val="single"/>
        </w:rPr>
        <w:t>Epäillyistä haittavaikutuksista ilmoittaminen</w:t>
      </w:r>
    </w:p>
    <w:p w14:paraId="373311D5" w14:textId="77777777" w:rsidR="003B7027" w:rsidRPr="0028514E" w:rsidRDefault="00296A74" w:rsidP="006E5F9A">
      <w:pPr>
        <w:pStyle w:val="a4"/>
        <w:ind w:left="0"/>
      </w:pPr>
      <w:r w:rsidRPr="0028514E">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fldChar w:fldCharType="begin"/>
      </w:r>
      <w:r>
        <w:instrText>HYPERLINK "https://www.ema.europa.eu/documents/template-form/appendix-v-adverse-drug-reaction-reporting-details_en.doc" \h</w:instrText>
      </w:r>
      <w:r>
        <w:fldChar w:fldCharType="separate"/>
      </w:r>
      <w:r w:rsidRPr="0028514E">
        <w:rPr>
          <w:color w:val="0000FF"/>
          <w:u w:val="single" w:color="0000FF"/>
          <w:shd w:val="clear" w:color="auto" w:fill="C1C1C1"/>
        </w:rPr>
        <w:t>liitteessä V</w:t>
      </w:r>
      <w:r>
        <w:fldChar w:fldCharType="end"/>
      </w:r>
      <w:r w:rsidRPr="0028514E">
        <w:rPr>
          <w:color w:val="0000FF"/>
          <w:u w:val="single" w:color="0000FF"/>
          <w:shd w:val="clear" w:color="auto" w:fill="C1C1C1"/>
        </w:rPr>
        <w:t xml:space="preserve"> </w:t>
      </w:r>
      <w:r w:rsidRPr="0028514E">
        <w:rPr>
          <w:color w:val="000000"/>
          <w:shd w:val="clear" w:color="auto" w:fill="C1C1C1"/>
        </w:rPr>
        <w:t>luetellun kansallisen ilmoitusjärjestelmän kautta</w:t>
      </w:r>
      <w:r w:rsidRPr="0028514E">
        <w:rPr>
          <w:color w:val="000000"/>
        </w:rPr>
        <w:t>.</w:t>
      </w:r>
    </w:p>
    <w:p w14:paraId="3D3FDDEA" w14:textId="77777777" w:rsidR="003B7027" w:rsidRPr="0028514E" w:rsidRDefault="003B7027" w:rsidP="006E5F9A">
      <w:pPr>
        <w:pStyle w:val="a4"/>
        <w:ind w:left="0"/>
      </w:pPr>
    </w:p>
    <w:p w14:paraId="56312310" w14:textId="77777777" w:rsidR="003B7027" w:rsidRPr="0028514E" w:rsidRDefault="00296A74" w:rsidP="006E5F9A">
      <w:pPr>
        <w:pStyle w:val="2"/>
        <w:keepNext/>
      </w:pPr>
      <w:r w:rsidRPr="0028514E">
        <w:t>4.9</w:t>
      </w:r>
      <w:r w:rsidRPr="0028514E">
        <w:tab/>
        <w:t>Yliannostus</w:t>
      </w:r>
    </w:p>
    <w:p w14:paraId="361AFA79" w14:textId="77777777" w:rsidR="00F5649D" w:rsidRPr="0028514E" w:rsidRDefault="00F5649D" w:rsidP="001C1F69"/>
    <w:p w14:paraId="4407CFBF" w14:textId="5A2C3AEB" w:rsidR="003B7027" w:rsidRPr="0028514E" w:rsidRDefault="00296A74" w:rsidP="006E5F9A">
      <w:pPr>
        <w:pStyle w:val="a4"/>
        <w:ind w:left="0"/>
      </w:pPr>
      <w:r w:rsidRPr="0028514E">
        <w:t xml:space="preserve">Tietoja </w:t>
      </w:r>
      <w:r w:rsidR="00F80E4E">
        <w:t>tosilitsumabin</w:t>
      </w:r>
      <w:r w:rsidR="00F80E4E" w:rsidRPr="0028514E">
        <w:t xml:space="preserve"> </w:t>
      </w:r>
      <w:r w:rsidRPr="0028514E">
        <w:t>yliannostuksesta on rajoitetusti. Yksi tahaton yliannostustapaus on raportoitu. Siinä multippelia myeloomaa sairastava potilas sai kerta-annoksena laskimoon 40 mg/kg.</w:t>
      </w:r>
      <w:r w:rsidR="00F5649D" w:rsidRPr="0028514E">
        <w:t xml:space="preserve"> </w:t>
      </w:r>
      <w:r w:rsidRPr="0028514E">
        <w:t>Haittavaikutuksia ei havaittu.</w:t>
      </w:r>
    </w:p>
    <w:p w14:paraId="7AB9996A" w14:textId="77777777" w:rsidR="003B7027" w:rsidRPr="0028514E" w:rsidRDefault="003B7027" w:rsidP="006E5F9A">
      <w:pPr>
        <w:pStyle w:val="a4"/>
        <w:ind w:left="0"/>
      </w:pPr>
    </w:p>
    <w:p w14:paraId="3D3F7F34" w14:textId="77777777" w:rsidR="003B7027" w:rsidRPr="0028514E" w:rsidRDefault="00296A74" w:rsidP="006E5F9A">
      <w:pPr>
        <w:pStyle w:val="a4"/>
        <w:ind w:left="0"/>
      </w:pPr>
      <w:r w:rsidRPr="0028514E">
        <w:t>Vakavia haittavaikutuksia ei havaittu, kun terveille koehenkilöille annettiin kerta-annoksena enintään 28 mg/kg, mutta annostusta rajoittavaa neutropeniaa todettiin.</w:t>
      </w:r>
    </w:p>
    <w:p w14:paraId="47FFC5EE" w14:textId="77777777" w:rsidR="003B7027" w:rsidRPr="0028514E" w:rsidRDefault="003B7027" w:rsidP="006E5F9A">
      <w:pPr>
        <w:pStyle w:val="a4"/>
        <w:ind w:left="0"/>
      </w:pPr>
    </w:p>
    <w:p w14:paraId="3A5925B6" w14:textId="77777777" w:rsidR="003B7027" w:rsidRPr="0028514E" w:rsidRDefault="003B7027" w:rsidP="006E5F9A">
      <w:pPr>
        <w:pStyle w:val="a4"/>
        <w:ind w:left="0"/>
      </w:pPr>
    </w:p>
    <w:p w14:paraId="09088053" w14:textId="77777777" w:rsidR="003B7027" w:rsidRPr="0028514E" w:rsidRDefault="00296A74" w:rsidP="00BF3213">
      <w:pPr>
        <w:pStyle w:val="1"/>
      </w:pPr>
      <w:r w:rsidRPr="0028514E">
        <w:t>5.</w:t>
      </w:r>
      <w:r w:rsidRPr="0028514E">
        <w:tab/>
        <w:t>FARMAKOLOGISET OMINAISUUDET</w:t>
      </w:r>
    </w:p>
    <w:p w14:paraId="262FB563" w14:textId="77777777" w:rsidR="00F5649D" w:rsidRPr="009A3CB5" w:rsidRDefault="00F5649D" w:rsidP="001C1F69">
      <w:pPr>
        <w:rPr>
          <w:lang w:val="fi-FI"/>
        </w:rPr>
      </w:pPr>
    </w:p>
    <w:p w14:paraId="0F4E6A83" w14:textId="77777777" w:rsidR="003B7027" w:rsidRPr="0028514E" w:rsidRDefault="00296A74" w:rsidP="006E5F9A">
      <w:pPr>
        <w:pStyle w:val="2"/>
      </w:pPr>
      <w:r w:rsidRPr="0028514E">
        <w:t>5.1</w:t>
      </w:r>
      <w:r w:rsidRPr="0028514E">
        <w:tab/>
        <w:t>Farmakodynamiikka</w:t>
      </w:r>
    </w:p>
    <w:p w14:paraId="4E58EB5F" w14:textId="77777777" w:rsidR="00F5649D" w:rsidRPr="009A3CB5" w:rsidRDefault="00F5649D" w:rsidP="001C1F69">
      <w:pPr>
        <w:rPr>
          <w:lang w:val="fi-FI"/>
        </w:rPr>
      </w:pPr>
    </w:p>
    <w:p w14:paraId="444A75CD" w14:textId="77777777" w:rsidR="003B7027" w:rsidRPr="0028514E" w:rsidRDefault="00296A74" w:rsidP="006E5F9A">
      <w:pPr>
        <w:pStyle w:val="a4"/>
        <w:ind w:left="0"/>
      </w:pPr>
      <w:r w:rsidRPr="0028514E">
        <w:t>Farmakoterapeuttinen ryhmä: Immunosuppressiiviset lääkeaineet, interleukiinin estäjät, ATC-koodi: L04AC07.</w:t>
      </w:r>
    </w:p>
    <w:p w14:paraId="77960E97" w14:textId="77777777" w:rsidR="003B7027" w:rsidRDefault="003B7027" w:rsidP="006E5F9A">
      <w:pPr>
        <w:pStyle w:val="a4"/>
        <w:ind w:left="0"/>
      </w:pPr>
    </w:p>
    <w:p w14:paraId="7BB4C22C" w14:textId="1DF5974B" w:rsidR="00F80E4E" w:rsidRDefault="00F80E4E" w:rsidP="006E5F9A">
      <w:pPr>
        <w:pStyle w:val="a4"/>
        <w:ind w:left="0"/>
      </w:pPr>
      <w:r>
        <w:t xml:space="preserve">Avtozma </w:t>
      </w:r>
      <w:r w:rsidRPr="00AF361E">
        <w:t xml:space="preserve">on ns. biosimilaari lääkevalmiste. Yksityiskohtaisempaa tietoa on saatavilla Euroopan </w:t>
      </w:r>
      <w:r w:rsidRPr="00E42192">
        <w:t>lääkeviraston verkkosivulta:</w:t>
      </w:r>
      <w:r w:rsidRPr="00C70B85">
        <w:t xml:space="preserve"> </w:t>
      </w:r>
      <w:hyperlink r:id="rId16" w:history="1">
        <w:r w:rsidRPr="0057197A">
          <w:rPr>
            <w:rStyle w:val="ad"/>
            <w:rFonts w:eastAsia="SimSun"/>
          </w:rPr>
          <w:t>https://www.ema.europa.eu</w:t>
        </w:r>
      </w:hyperlink>
      <w:r w:rsidRPr="00E42192">
        <w:t>.</w:t>
      </w:r>
    </w:p>
    <w:p w14:paraId="58E0B099" w14:textId="77777777" w:rsidR="00F80E4E" w:rsidRPr="0028514E" w:rsidRDefault="00F80E4E" w:rsidP="006E5F9A">
      <w:pPr>
        <w:pStyle w:val="a4"/>
        <w:ind w:left="0"/>
      </w:pPr>
    </w:p>
    <w:p w14:paraId="52BA9DE2" w14:textId="77777777" w:rsidR="003B7027" w:rsidRPr="0028514E" w:rsidRDefault="00296A74" w:rsidP="006E5F9A">
      <w:pPr>
        <w:pStyle w:val="a4"/>
        <w:ind w:left="0"/>
      </w:pPr>
      <w:r w:rsidRPr="0028514E">
        <w:rPr>
          <w:u w:val="single"/>
        </w:rPr>
        <w:t>Vaikutusmekanismi</w:t>
      </w:r>
    </w:p>
    <w:p w14:paraId="5C47B7A6" w14:textId="5BC7104F" w:rsidR="003B7027" w:rsidRPr="0028514E" w:rsidRDefault="00E415D5" w:rsidP="006E5F9A">
      <w:pPr>
        <w:pStyle w:val="a4"/>
        <w:ind w:left="0"/>
      </w:pPr>
      <w:r>
        <w:t>Tosilitsumabi</w:t>
      </w:r>
      <w:r w:rsidRPr="0028514E">
        <w:t xml:space="preserve"> </w:t>
      </w:r>
      <w:r w:rsidR="00296A74" w:rsidRPr="0028514E">
        <w:t xml:space="preserve">sitoutuu spesifisesti sekä liukoisiin että kalvoon sitoutuneisiin IL-6-reseptoreihin (sIL-6 ja mIL-6R). </w:t>
      </w:r>
      <w:r>
        <w:t>Tosilitsumabin</w:t>
      </w:r>
      <w:r w:rsidRPr="0028514E">
        <w:t xml:space="preserve"> </w:t>
      </w:r>
      <w:r w:rsidR="00296A74" w:rsidRPr="0028514E">
        <w:t xml:space="preserve">on osoitettu estävän sIL-6R- ja mIL-6R-reseptorien kautta tapahtuvaa signaalinvälitystä. IL-6 on pleiotrooppinen tulehdusta vahvistava sytokiini, jota tuottavat useat eri solutyypit, kuten T- ja B-solut, monosyytit ja fibroblastit. IL-6 osallistuu erilaisiin fysiologisiin tapahtumaketjuihin, joita ovat esimerkiksi T-solun aktivoituminen, immunoglobuliinierityksen </w:t>
      </w:r>
      <w:r w:rsidR="00296A74" w:rsidRPr="0028514E">
        <w:lastRenderedPageBreak/>
        <w:t>käynnistyminen, akuutin vaiheen proteiinisynteesin käynnistyminen maksassa ja hematopoieesin stimuloituminen. IL-6 on yhdistetty erilaisten sairauksien, kuten tulehdussairauksien, osteoporoosin ja kasvainten, patogeneesiin.</w:t>
      </w:r>
    </w:p>
    <w:p w14:paraId="465D3F42" w14:textId="77777777" w:rsidR="003B7027" w:rsidRPr="0028514E" w:rsidRDefault="003B7027" w:rsidP="006E5F9A">
      <w:pPr>
        <w:pStyle w:val="a4"/>
        <w:ind w:left="0"/>
      </w:pPr>
    </w:p>
    <w:p w14:paraId="0250ACA9" w14:textId="77777777" w:rsidR="003B7027" w:rsidRPr="0028514E" w:rsidRDefault="00296A74" w:rsidP="005D5C7C">
      <w:pPr>
        <w:pStyle w:val="a4"/>
        <w:keepNext/>
        <w:keepLines/>
        <w:ind w:left="0"/>
      </w:pPr>
      <w:r w:rsidRPr="0028514E">
        <w:rPr>
          <w:u w:val="single"/>
        </w:rPr>
        <w:t>Farmakodynaamiset vaikutukset</w:t>
      </w:r>
    </w:p>
    <w:p w14:paraId="6BFC6F29" w14:textId="0D247C7E" w:rsidR="003B7027" w:rsidRPr="0028514E" w:rsidRDefault="00E415D5" w:rsidP="006E5F9A">
      <w:pPr>
        <w:pStyle w:val="a4"/>
        <w:ind w:left="0"/>
      </w:pPr>
      <w:r>
        <w:t>Tosilitsumabilla</w:t>
      </w:r>
      <w:r w:rsidRPr="0028514E">
        <w:t xml:space="preserve"> </w:t>
      </w:r>
      <w:r w:rsidR="00296A74" w:rsidRPr="0028514E">
        <w:t xml:space="preserve">tehdyissä kliinisissä nivelreumatutkimuksissa havaittiin CRP:n (C-reaktiivisen proteiinin), laskon (La), seerumin amyloidi A:n (SAA) ja fibrinogeenin nopea lasku. Akuutin vaiheen proteiineihin kohdistuvan vaikutuksen mukaisesti </w:t>
      </w:r>
      <w:r>
        <w:t>tosilitsumabi</w:t>
      </w:r>
      <w:r w:rsidR="00296A74" w:rsidRPr="0028514E">
        <w:t xml:space="preserve">hoitoon liittyi myös trombosyyttiarvon lasku normaalialueen sisällä. Hemoglobiiniarvon nousua havaittiin, sillä </w:t>
      </w:r>
      <w:r>
        <w:t xml:space="preserve">tosilitsumabi </w:t>
      </w:r>
      <w:r w:rsidR="00296A74" w:rsidRPr="0028514E">
        <w:t xml:space="preserve">heikentää IL-6:n vaikutuksia hepsidiinin tuotantoon, mikä lisää raudan saatavuutta. </w:t>
      </w:r>
      <w:r>
        <w:t>Tosilitsumabi</w:t>
      </w:r>
      <w:r w:rsidR="00296A74" w:rsidRPr="0028514E">
        <w:t>hoitoa saaneilla potilailla CRP-arvon lasku normaalialueelle havaittiin jo toisella hoitoviikolla, ja lasku säilyi koko hoidon ajan.</w:t>
      </w:r>
    </w:p>
    <w:p w14:paraId="4E4178B3" w14:textId="77777777" w:rsidR="00F5649D" w:rsidRPr="0028514E" w:rsidRDefault="00F5649D" w:rsidP="006E5F9A">
      <w:pPr>
        <w:pStyle w:val="a4"/>
        <w:ind w:left="0"/>
      </w:pPr>
    </w:p>
    <w:p w14:paraId="40C03EB9" w14:textId="2D4F4089" w:rsidR="003B7027" w:rsidRPr="0028514E" w:rsidRDefault="00E415D5" w:rsidP="006E5F9A">
      <w:pPr>
        <w:pStyle w:val="a4"/>
        <w:ind w:left="0"/>
      </w:pPr>
      <w:r>
        <w:t>Tosilitsumabilla</w:t>
      </w:r>
      <w:r w:rsidRPr="0028514E">
        <w:t xml:space="preserve"> </w:t>
      </w:r>
      <w:r w:rsidR="00296A74" w:rsidRPr="0028514E">
        <w:t xml:space="preserve">tehdyssä kliinisessä jättisoluarteriittitutkimuksessa (WA28119) havaittiin samankaltainen CRP:n ja laskon nopea lasku sekä keskimääräisen hemoglobiinipitoisuuden lievää suurenemista. Kun </w:t>
      </w:r>
      <w:r>
        <w:t xml:space="preserve">tosilitsumabia </w:t>
      </w:r>
      <w:r w:rsidR="00296A74" w:rsidRPr="0028514E">
        <w:t xml:space="preserve">annettiin annoksilla 2–28 mg/kg laskimoon tai 81–162 mg ihon alle terveille vapaaehtoisille koehenkilöille, heidän neutrofiiliarvonsa laskivat alimmalle tasolleen 2–5 päivän kuluttua annostelusta. Sen jälkeen neutrofiiliarvot palautuivat hoitoa edeltävälle tasolle annosriippuvaisesti. Nivelreuma- ja jättisoluarteriittipotilailla havaittiin neutrofiiliarvojen laskevan vastaavalla tavalla kuin terveillä vapaaehtoisilla </w:t>
      </w:r>
      <w:r>
        <w:t xml:space="preserve">tosilitsumabin </w:t>
      </w:r>
      <w:r w:rsidR="00296A74" w:rsidRPr="0028514E">
        <w:t>annon jälkeen (ks. kohta 4.8).</w:t>
      </w:r>
    </w:p>
    <w:p w14:paraId="2A3314ED" w14:textId="77777777" w:rsidR="00F5649D" w:rsidRPr="0028514E" w:rsidRDefault="00F5649D" w:rsidP="006E5F9A">
      <w:pPr>
        <w:pStyle w:val="a4"/>
        <w:ind w:left="0"/>
      </w:pPr>
    </w:p>
    <w:p w14:paraId="04B69A26" w14:textId="77777777" w:rsidR="00F5649D" w:rsidRPr="00CA43F5" w:rsidRDefault="00296A74" w:rsidP="006E5F9A">
      <w:pPr>
        <w:rPr>
          <w:lang w:val="fi-FI"/>
        </w:rPr>
      </w:pPr>
      <w:r w:rsidRPr="00CA43F5">
        <w:rPr>
          <w:u w:val="single"/>
          <w:lang w:val="fi-FI"/>
        </w:rPr>
        <w:t>Ihonalainen annostelu</w:t>
      </w:r>
    </w:p>
    <w:p w14:paraId="6C44534F" w14:textId="77777777" w:rsidR="00F5649D" w:rsidRPr="00CA43F5" w:rsidRDefault="00296A74" w:rsidP="006E5F9A">
      <w:pPr>
        <w:rPr>
          <w:b/>
          <w:lang w:val="fi-FI"/>
        </w:rPr>
      </w:pPr>
      <w:r w:rsidRPr="00CA43F5">
        <w:rPr>
          <w:b/>
          <w:u w:val="single"/>
          <w:lang w:val="fi-FI"/>
        </w:rPr>
        <w:t>Nivelreuma</w:t>
      </w:r>
    </w:p>
    <w:p w14:paraId="143CDDAF" w14:textId="77777777" w:rsidR="003B7027" w:rsidRPr="00CA43F5" w:rsidRDefault="00296A74" w:rsidP="006E5F9A">
      <w:pPr>
        <w:rPr>
          <w:lang w:val="fi-FI"/>
        </w:rPr>
      </w:pPr>
      <w:r w:rsidRPr="00CA43F5">
        <w:rPr>
          <w:u w:val="single"/>
          <w:lang w:val="fi-FI"/>
        </w:rPr>
        <w:t>Kliininen teho</w:t>
      </w:r>
    </w:p>
    <w:p w14:paraId="5F375BD0" w14:textId="1EA25B3B" w:rsidR="003B7027" w:rsidRPr="0028514E" w:rsidRDefault="00296A74" w:rsidP="006E5F9A">
      <w:pPr>
        <w:pStyle w:val="a4"/>
        <w:ind w:left="0"/>
      </w:pPr>
      <w:r w:rsidRPr="0028514E">
        <w:t xml:space="preserve">Ihon alle annosteltavan </w:t>
      </w:r>
      <w:r w:rsidR="00E415D5">
        <w:t xml:space="preserve">tosilitsumabin </w:t>
      </w:r>
      <w:r w:rsidRPr="0028514E">
        <w:t>tehoa nivelreuman oireiden lieventämisessä ja radiologisen vasteen saamisessa on tutkittu kahdessa satunnaistetussa kaksoissokkoutetussa kontrolloidussa monikeskustutkimuksessa. Tutkimuksessa I (SC-I) potilaiden piti olla iältään &gt; 18-vuotiaita ja sairastaa keskivaikeaa tai vaikeaa aktiivista nivelreumaa, joka oli diagnosoitu ACR-kriteerien mukaan. Lisäksi heillä piti olla lähtötilanteessa vähintään 4 arkaa ja 4 turvonnutta niveltä. Kaikki potilaat saivat peruslääkityksenä yhtä tai useampaa tautiprosessia hidastavaa reumalääkettä (DMARD).</w:t>
      </w:r>
      <w:r w:rsidR="00E415D5">
        <w:t xml:space="preserve"> </w:t>
      </w:r>
      <w:r w:rsidRPr="0028514E">
        <w:t>Tutkimuksessa II (SC-II) potilaiden piti olla iältään &gt; 18-vuotiaita ja sairastaa keskivaikeaa tai vaikeaa aktiivista nivelreumaa, joka oli diagnosoitu ACR-kriteerien mukaan. Lisäksi heillä piti olla lähtötilanteessa vähintään 8 arkaa ja 6 turvonnutta niveltä.</w:t>
      </w:r>
    </w:p>
    <w:p w14:paraId="69CA18E5" w14:textId="77777777" w:rsidR="00F5649D" w:rsidRPr="0028514E" w:rsidRDefault="00F5649D" w:rsidP="006E5F9A">
      <w:pPr>
        <w:pStyle w:val="a4"/>
        <w:ind w:left="0"/>
      </w:pPr>
    </w:p>
    <w:p w14:paraId="0929FD55" w14:textId="77777777" w:rsidR="003B7027" w:rsidRPr="0028514E" w:rsidRDefault="00296A74" w:rsidP="006E5F9A">
      <w:pPr>
        <w:pStyle w:val="a4"/>
        <w:ind w:left="0"/>
      </w:pPr>
      <w:r w:rsidRPr="0028514E">
        <w:t>Potilaan altistuminen lääkkeelle muuttuu vaihdettaessa laskimonsisäisestä annostelusta (8 mg/kg joka neljäs viikko) ihonalaiseen annosteluun (162 mg ihon alle kerran viikossa). Altistumisen suuruus vaihtelee potilaan painon mukaan (lisääntyy keveämmillä potilailla ja vähenee painavammilla potilailla), mutta kliininen vaste on yhdenmukainen laskimonsisäistä hoitoa saaneiden potilaiden kanssa.</w:t>
      </w:r>
    </w:p>
    <w:p w14:paraId="2AE86E30" w14:textId="77777777" w:rsidR="00F5649D" w:rsidRPr="0028514E" w:rsidRDefault="00F5649D" w:rsidP="006E5F9A">
      <w:pPr>
        <w:pStyle w:val="a4"/>
        <w:ind w:left="0"/>
      </w:pPr>
    </w:p>
    <w:p w14:paraId="31D7E5C7" w14:textId="77777777" w:rsidR="003B7027" w:rsidRPr="0028514E" w:rsidRDefault="00296A74" w:rsidP="006E5F9A">
      <w:pPr>
        <w:pStyle w:val="a4"/>
        <w:ind w:left="0"/>
      </w:pPr>
      <w:r w:rsidRPr="0028514E">
        <w:rPr>
          <w:u w:val="single"/>
        </w:rPr>
        <w:t>Kliininen vaste</w:t>
      </w:r>
    </w:p>
    <w:p w14:paraId="4296E1ED" w14:textId="0D639727" w:rsidR="003B7027" w:rsidRPr="0028514E" w:rsidRDefault="00296A74" w:rsidP="006E5F9A">
      <w:pPr>
        <w:pStyle w:val="a4"/>
        <w:ind w:left="0"/>
      </w:pPr>
      <w:r w:rsidRPr="0028514E">
        <w:t xml:space="preserve">Tutkimuksessa SC-I oli mukana keskivaikeaa tai vaikeaa aktiivista nivelreumaa sairastavia potilaita, joiden kliininen hoitovaste senhetkiseen hoitoon, johon kuului yksi tai useampi DMARD, oli riittämätön ja joista noin 20 % ei ollut aiemmin saanut riittävää vastetta yhdellä tai useammalla TNF:n estäjällä. Tutkimuksessa SC-I satunnaistettiin 1262 potilasta suhteessa 1:1 saamaan </w:t>
      </w:r>
      <w:r w:rsidR="00E415D5">
        <w:t xml:space="preserve">tosilitsumabia </w:t>
      </w:r>
      <w:r w:rsidRPr="0028514E">
        <w:t xml:space="preserve">ihon alle annoksena 162 mg viikoittain tai </w:t>
      </w:r>
      <w:r w:rsidR="00E415D5">
        <w:t xml:space="preserve">tosilitsumabia </w:t>
      </w:r>
      <w:r w:rsidRPr="0028514E">
        <w:t>laskimoon annoksena 8 mg/kg neljän viikon välein yhdistelmänä yhden tai useamman ei-biologisen DMARD-lääkkeen kanssa. Tutkimuksen ensisijainen päätetapahtuma oli ero niiden potilaiden osuudessa, jotka saivat ACR20-vasteen viikolla</w:t>
      </w:r>
      <w:r w:rsidR="00734958">
        <w:t> </w:t>
      </w:r>
      <w:r w:rsidRPr="0028514E">
        <w:t>24.</w:t>
      </w:r>
    </w:p>
    <w:p w14:paraId="40E0E7E3" w14:textId="77777777" w:rsidR="00E415D5" w:rsidRDefault="00E415D5" w:rsidP="006E5F9A">
      <w:pPr>
        <w:pStyle w:val="a4"/>
        <w:ind w:left="0"/>
      </w:pPr>
    </w:p>
    <w:p w14:paraId="31662ABF" w14:textId="2AD4CD9E" w:rsidR="003B7027" w:rsidRPr="0028514E" w:rsidRDefault="00296A74" w:rsidP="006E5F9A">
      <w:pPr>
        <w:pStyle w:val="a4"/>
        <w:ind w:left="0"/>
      </w:pPr>
      <w:r w:rsidRPr="0028514E">
        <w:t>Tutkimuksen SC-I tulokset esitetään taulukossa 2.</w:t>
      </w:r>
    </w:p>
    <w:p w14:paraId="3782BF93" w14:textId="77777777" w:rsidR="00F5649D" w:rsidRPr="0028514E" w:rsidRDefault="00F5649D" w:rsidP="006E5F9A">
      <w:pPr>
        <w:pStyle w:val="a4"/>
        <w:ind w:left="0"/>
      </w:pPr>
    </w:p>
    <w:p w14:paraId="2DFC2A3E" w14:textId="77777777" w:rsidR="003B7027" w:rsidRPr="00CA43F5" w:rsidRDefault="00296A74" w:rsidP="00A14525">
      <w:pPr>
        <w:pStyle w:val="Tabletitle"/>
        <w:rPr>
          <w:lang w:val="fi-FI"/>
        </w:rPr>
      </w:pPr>
      <w:r w:rsidRPr="00CA43F5">
        <w:rPr>
          <w:lang w:val="fi-FI"/>
        </w:rPr>
        <w:t>Taulukko 2.</w:t>
      </w:r>
      <w:r w:rsidR="00F5649D" w:rsidRPr="00CA43F5">
        <w:rPr>
          <w:lang w:val="fi-FI"/>
        </w:rPr>
        <w:tab/>
      </w:r>
      <w:r w:rsidRPr="00CA43F5">
        <w:rPr>
          <w:lang w:val="fi-FI"/>
        </w:rPr>
        <w:t>ACR-vasteosuudet tutkimuksessa SC-I (% potilaista) viikolla 24</w:t>
      </w:r>
    </w:p>
    <w:p w14:paraId="3DED5D12" w14:textId="77777777" w:rsidR="00F5649D" w:rsidRPr="00CA43F5" w:rsidRDefault="00F5649D" w:rsidP="00A14525">
      <w:pPr>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719"/>
        <w:gridCol w:w="2805"/>
        <w:gridCol w:w="3458"/>
      </w:tblGrid>
      <w:tr w:rsidR="003B7027" w:rsidRPr="00777B93" w14:paraId="25790A47" w14:textId="77777777" w:rsidTr="002520B6">
        <w:trPr>
          <w:cantSplit/>
          <w:tblHeader/>
        </w:trPr>
        <w:tc>
          <w:tcPr>
            <w:tcW w:w="2719" w:type="dxa"/>
          </w:tcPr>
          <w:p w14:paraId="56185F7E" w14:textId="77777777" w:rsidR="003B7027" w:rsidRPr="0028514E" w:rsidRDefault="003B7027" w:rsidP="006E5F9A">
            <w:pPr>
              <w:pStyle w:val="TableParagraph"/>
              <w:suppressAutoHyphens/>
            </w:pPr>
          </w:p>
        </w:tc>
        <w:tc>
          <w:tcPr>
            <w:tcW w:w="6263" w:type="dxa"/>
            <w:gridSpan w:val="2"/>
          </w:tcPr>
          <w:p w14:paraId="00144A75" w14:textId="77777777" w:rsidR="003B7027" w:rsidRPr="0028514E" w:rsidRDefault="00296A74" w:rsidP="006E5F9A">
            <w:pPr>
              <w:pStyle w:val="TableParagraph"/>
              <w:suppressAutoHyphens/>
              <w:jc w:val="center"/>
            </w:pPr>
            <w:r w:rsidRPr="0028514E">
              <w:t>SC-I</w:t>
            </w:r>
            <w:r w:rsidRPr="0028514E">
              <w:rPr>
                <w:vertAlign w:val="superscript"/>
              </w:rPr>
              <w:t>a</w:t>
            </w:r>
          </w:p>
        </w:tc>
      </w:tr>
      <w:tr w:rsidR="003B7027" w:rsidRPr="00777B93" w14:paraId="134D52E3" w14:textId="77777777" w:rsidTr="002520B6">
        <w:trPr>
          <w:cantSplit/>
          <w:tblHeader/>
        </w:trPr>
        <w:tc>
          <w:tcPr>
            <w:tcW w:w="2719" w:type="dxa"/>
          </w:tcPr>
          <w:p w14:paraId="2F8BF9DF" w14:textId="77777777" w:rsidR="003B7027" w:rsidRPr="0028514E" w:rsidRDefault="003B7027" w:rsidP="006E5F9A">
            <w:pPr>
              <w:pStyle w:val="TableParagraph"/>
              <w:suppressAutoHyphens/>
            </w:pPr>
          </w:p>
        </w:tc>
        <w:tc>
          <w:tcPr>
            <w:tcW w:w="2805" w:type="dxa"/>
          </w:tcPr>
          <w:p w14:paraId="1A218D93" w14:textId="77777777" w:rsidR="006E4E50" w:rsidRDefault="00296A74" w:rsidP="006E5F9A">
            <w:pPr>
              <w:pStyle w:val="TableParagraph"/>
              <w:suppressAutoHyphens/>
              <w:jc w:val="center"/>
            </w:pPr>
            <w:r w:rsidRPr="0028514E">
              <w:t>TCZ ihon alle viikoittain annoksena 162 mg</w:t>
            </w:r>
            <w:r w:rsidR="00873146" w:rsidRPr="0028514E">
              <w:t xml:space="preserve"> </w:t>
            </w:r>
            <w:r w:rsidRPr="0028514E">
              <w:t>+ DMARD</w:t>
            </w:r>
            <w:r w:rsidR="00873146" w:rsidRPr="0028514E">
              <w:t xml:space="preserve"> </w:t>
            </w:r>
          </w:p>
          <w:p w14:paraId="27FDAA58" w14:textId="79F07E13" w:rsidR="003B7027" w:rsidRPr="0028514E" w:rsidRDefault="00296A74" w:rsidP="006E5F9A">
            <w:pPr>
              <w:pStyle w:val="TableParagraph"/>
              <w:suppressAutoHyphens/>
              <w:jc w:val="center"/>
            </w:pPr>
            <w:r w:rsidRPr="0028514E">
              <w:t>N = 558</w:t>
            </w:r>
          </w:p>
        </w:tc>
        <w:tc>
          <w:tcPr>
            <w:tcW w:w="3458" w:type="dxa"/>
          </w:tcPr>
          <w:p w14:paraId="497CACA3" w14:textId="77777777" w:rsidR="003B7027" w:rsidRPr="0028514E" w:rsidRDefault="00296A74" w:rsidP="006E5F9A">
            <w:pPr>
              <w:pStyle w:val="TableParagraph"/>
              <w:suppressAutoHyphens/>
              <w:jc w:val="center"/>
            </w:pPr>
            <w:r w:rsidRPr="0028514E">
              <w:t>TCZ laskimoon annoksena 8 mg/kg</w:t>
            </w:r>
            <w:r w:rsidR="00873146" w:rsidRPr="0028514E">
              <w:t xml:space="preserve"> </w:t>
            </w:r>
            <w:r w:rsidRPr="0028514E">
              <w:t>+ DMARD</w:t>
            </w:r>
          </w:p>
          <w:p w14:paraId="4EF7CBAC" w14:textId="77777777" w:rsidR="003B7027" w:rsidRPr="0028514E" w:rsidRDefault="00296A74" w:rsidP="006E5F9A">
            <w:pPr>
              <w:pStyle w:val="TableParagraph"/>
              <w:suppressAutoHyphens/>
              <w:jc w:val="center"/>
            </w:pPr>
            <w:r w:rsidRPr="0028514E">
              <w:t>N=537</w:t>
            </w:r>
          </w:p>
        </w:tc>
      </w:tr>
      <w:tr w:rsidR="003B7027" w:rsidRPr="00777B93" w14:paraId="136DDF36" w14:textId="77777777" w:rsidTr="006E4E50">
        <w:trPr>
          <w:cantSplit/>
        </w:trPr>
        <w:tc>
          <w:tcPr>
            <w:tcW w:w="2719" w:type="dxa"/>
          </w:tcPr>
          <w:p w14:paraId="18719A4C" w14:textId="77777777" w:rsidR="003B7027" w:rsidRPr="0028514E" w:rsidRDefault="00296A74" w:rsidP="006E5F9A">
            <w:pPr>
              <w:pStyle w:val="TableParagraph"/>
              <w:suppressAutoHyphens/>
              <w:jc w:val="right"/>
            </w:pPr>
            <w:r w:rsidRPr="0028514E">
              <w:t>ACR20 viikolla 24</w:t>
            </w:r>
          </w:p>
        </w:tc>
        <w:tc>
          <w:tcPr>
            <w:tcW w:w="2805" w:type="dxa"/>
          </w:tcPr>
          <w:p w14:paraId="59390231" w14:textId="77777777" w:rsidR="003B7027" w:rsidRPr="0028514E" w:rsidRDefault="00296A74" w:rsidP="006E5F9A">
            <w:pPr>
              <w:pStyle w:val="TableParagraph"/>
              <w:suppressAutoHyphens/>
              <w:jc w:val="center"/>
            </w:pPr>
            <w:r w:rsidRPr="0028514E">
              <w:t>69,4 %</w:t>
            </w:r>
          </w:p>
        </w:tc>
        <w:tc>
          <w:tcPr>
            <w:tcW w:w="3458" w:type="dxa"/>
          </w:tcPr>
          <w:p w14:paraId="7B15EE8F" w14:textId="77777777" w:rsidR="003B7027" w:rsidRPr="0028514E" w:rsidRDefault="00296A74" w:rsidP="006E5F9A">
            <w:pPr>
              <w:pStyle w:val="TableParagraph"/>
              <w:suppressAutoHyphens/>
              <w:jc w:val="center"/>
            </w:pPr>
            <w:r w:rsidRPr="0028514E">
              <w:t>73,4 %</w:t>
            </w:r>
          </w:p>
        </w:tc>
      </w:tr>
      <w:tr w:rsidR="003B7027" w:rsidRPr="00777B93" w14:paraId="064FE4E0" w14:textId="77777777" w:rsidTr="006725DF">
        <w:trPr>
          <w:cantSplit/>
        </w:trPr>
        <w:tc>
          <w:tcPr>
            <w:tcW w:w="2719" w:type="dxa"/>
          </w:tcPr>
          <w:p w14:paraId="7918C672" w14:textId="77777777" w:rsidR="003B7027" w:rsidRPr="0028514E" w:rsidRDefault="00296A74" w:rsidP="006E5F9A">
            <w:pPr>
              <w:pStyle w:val="TableParagraph"/>
              <w:suppressAutoHyphens/>
              <w:jc w:val="right"/>
            </w:pPr>
            <w:r w:rsidRPr="0028514E">
              <w:t>Painotettu ero (95 % CI)</w:t>
            </w:r>
          </w:p>
        </w:tc>
        <w:tc>
          <w:tcPr>
            <w:tcW w:w="6263" w:type="dxa"/>
            <w:gridSpan w:val="2"/>
          </w:tcPr>
          <w:p w14:paraId="46820D95" w14:textId="77777777" w:rsidR="003B7027" w:rsidRPr="0028514E" w:rsidRDefault="00296A74" w:rsidP="006E5F9A">
            <w:pPr>
              <w:pStyle w:val="TableParagraph"/>
              <w:suppressAutoHyphens/>
              <w:jc w:val="center"/>
            </w:pPr>
            <w:r w:rsidRPr="0028514E">
              <w:t>-4,0 (-9,2, 1,2)</w:t>
            </w:r>
          </w:p>
        </w:tc>
      </w:tr>
      <w:tr w:rsidR="003B7027" w:rsidRPr="00777B93" w14:paraId="4EE618D6" w14:textId="77777777" w:rsidTr="006E4E50">
        <w:trPr>
          <w:cantSplit/>
        </w:trPr>
        <w:tc>
          <w:tcPr>
            <w:tcW w:w="2719" w:type="dxa"/>
          </w:tcPr>
          <w:p w14:paraId="420C0D63" w14:textId="77777777" w:rsidR="003B7027" w:rsidRPr="0028514E" w:rsidRDefault="00296A74" w:rsidP="006E5F9A">
            <w:pPr>
              <w:pStyle w:val="TableParagraph"/>
              <w:suppressAutoHyphens/>
              <w:jc w:val="right"/>
            </w:pPr>
            <w:r w:rsidRPr="0028514E">
              <w:t>ACR50 viikolla 24</w:t>
            </w:r>
          </w:p>
        </w:tc>
        <w:tc>
          <w:tcPr>
            <w:tcW w:w="2805" w:type="dxa"/>
          </w:tcPr>
          <w:p w14:paraId="636A68A7" w14:textId="77777777" w:rsidR="003B7027" w:rsidRPr="0028514E" w:rsidRDefault="00296A74" w:rsidP="006E5F9A">
            <w:pPr>
              <w:pStyle w:val="TableParagraph"/>
              <w:suppressAutoHyphens/>
              <w:jc w:val="center"/>
            </w:pPr>
            <w:r w:rsidRPr="0028514E">
              <w:t>47,0 %</w:t>
            </w:r>
          </w:p>
        </w:tc>
        <w:tc>
          <w:tcPr>
            <w:tcW w:w="3458" w:type="dxa"/>
          </w:tcPr>
          <w:p w14:paraId="043DB8C5" w14:textId="77777777" w:rsidR="003B7027" w:rsidRPr="0028514E" w:rsidRDefault="00296A74" w:rsidP="006E5F9A">
            <w:pPr>
              <w:pStyle w:val="TableParagraph"/>
              <w:suppressAutoHyphens/>
              <w:jc w:val="center"/>
            </w:pPr>
            <w:r w:rsidRPr="0028514E">
              <w:t>48,6 %</w:t>
            </w:r>
          </w:p>
        </w:tc>
      </w:tr>
      <w:tr w:rsidR="003B7027" w:rsidRPr="00777B93" w14:paraId="050DBDFB" w14:textId="77777777" w:rsidTr="006725DF">
        <w:trPr>
          <w:cantSplit/>
        </w:trPr>
        <w:tc>
          <w:tcPr>
            <w:tcW w:w="2719" w:type="dxa"/>
          </w:tcPr>
          <w:p w14:paraId="6C539737" w14:textId="77777777" w:rsidR="003B7027" w:rsidRPr="0028514E" w:rsidRDefault="00296A74" w:rsidP="006E5F9A">
            <w:pPr>
              <w:pStyle w:val="TableParagraph"/>
              <w:suppressAutoHyphens/>
              <w:jc w:val="right"/>
            </w:pPr>
            <w:r w:rsidRPr="0028514E">
              <w:t>Painotettu ero (95 % CI)</w:t>
            </w:r>
          </w:p>
        </w:tc>
        <w:tc>
          <w:tcPr>
            <w:tcW w:w="6263" w:type="dxa"/>
            <w:gridSpan w:val="2"/>
          </w:tcPr>
          <w:p w14:paraId="5DDD1223" w14:textId="77777777" w:rsidR="003B7027" w:rsidRPr="0028514E" w:rsidRDefault="00296A74" w:rsidP="006E5F9A">
            <w:pPr>
              <w:pStyle w:val="TableParagraph"/>
              <w:suppressAutoHyphens/>
              <w:jc w:val="center"/>
            </w:pPr>
            <w:r w:rsidRPr="0028514E">
              <w:t>-1,8 (-7,5, 4,0)</w:t>
            </w:r>
          </w:p>
        </w:tc>
      </w:tr>
      <w:tr w:rsidR="003B7027" w:rsidRPr="00777B93" w14:paraId="1F93EF8E" w14:textId="77777777" w:rsidTr="006E4E50">
        <w:trPr>
          <w:cantSplit/>
        </w:trPr>
        <w:tc>
          <w:tcPr>
            <w:tcW w:w="2719" w:type="dxa"/>
          </w:tcPr>
          <w:p w14:paraId="7B3E03EC" w14:textId="77777777" w:rsidR="003B7027" w:rsidRPr="0028514E" w:rsidRDefault="00296A74" w:rsidP="006E5F9A">
            <w:pPr>
              <w:pStyle w:val="TableParagraph"/>
              <w:suppressAutoHyphens/>
              <w:jc w:val="right"/>
            </w:pPr>
            <w:r w:rsidRPr="0028514E">
              <w:t>ACR70 viikolla 24</w:t>
            </w:r>
          </w:p>
        </w:tc>
        <w:tc>
          <w:tcPr>
            <w:tcW w:w="2805" w:type="dxa"/>
          </w:tcPr>
          <w:p w14:paraId="1529685A" w14:textId="77777777" w:rsidR="003B7027" w:rsidRPr="0028514E" w:rsidRDefault="00296A74" w:rsidP="006E5F9A">
            <w:pPr>
              <w:pStyle w:val="TableParagraph"/>
              <w:suppressAutoHyphens/>
              <w:jc w:val="center"/>
            </w:pPr>
            <w:r w:rsidRPr="0028514E">
              <w:t>24,0 %</w:t>
            </w:r>
          </w:p>
        </w:tc>
        <w:tc>
          <w:tcPr>
            <w:tcW w:w="3458" w:type="dxa"/>
          </w:tcPr>
          <w:p w14:paraId="709502A9" w14:textId="77777777" w:rsidR="003B7027" w:rsidRPr="0028514E" w:rsidRDefault="00296A74" w:rsidP="006E5F9A">
            <w:pPr>
              <w:pStyle w:val="TableParagraph"/>
              <w:suppressAutoHyphens/>
              <w:jc w:val="center"/>
            </w:pPr>
            <w:r w:rsidRPr="0028514E">
              <w:t>27,9 %</w:t>
            </w:r>
          </w:p>
        </w:tc>
      </w:tr>
      <w:tr w:rsidR="003B7027" w:rsidRPr="00777B93" w14:paraId="31CF3A10" w14:textId="77777777" w:rsidTr="006725DF">
        <w:trPr>
          <w:cantSplit/>
        </w:trPr>
        <w:tc>
          <w:tcPr>
            <w:tcW w:w="2719" w:type="dxa"/>
          </w:tcPr>
          <w:p w14:paraId="0959CC44" w14:textId="77777777" w:rsidR="003B7027" w:rsidRPr="0028514E" w:rsidRDefault="00296A74" w:rsidP="006E5F9A">
            <w:pPr>
              <w:pStyle w:val="TableParagraph"/>
              <w:suppressAutoHyphens/>
              <w:jc w:val="right"/>
            </w:pPr>
            <w:r w:rsidRPr="0028514E">
              <w:t>Painotettu ero (95 % CI)</w:t>
            </w:r>
          </w:p>
        </w:tc>
        <w:tc>
          <w:tcPr>
            <w:tcW w:w="6263" w:type="dxa"/>
            <w:gridSpan w:val="2"/>
          </w:tcPr>
          <w:p w14:paraId="54FE1096" w14:textId="77777777" w:rsidR="003B7027" w:rsidRPr="0028514E" w:rsidRDefault="00296A74" w:rsidP="006E5F9A">
            <w:pPr>
              <w:pStyle w:val="TableParagraph"/>
              <w:suppressAutoHyphens/>
              <w:jc w:val="center"/>
            </w:pPr>
            <w:r w:rsidRPr="0028514E">
              <w:t>-3,8 (-9,0, 1,3)</w:t>
            </w:r>
          </w:p>
        </w:tc>
      </w:tr>
    </w:tbl>
    <w:p w14:paraId="75F33D0B" w14:textId="77777777" w:rsidR="003B7027" w:rsidRPr="0028514E" w:rsidRDefault="00296A74" w:rsidP="006E5F9A">
      <w:pPr>
        <w:rPr>
          <w:sz w:val="18"/>
        </w:rPr>
      </w:pPr>
      <w:r w:rsidRPr="0028514E">
        <w:rPr>
          <w:sz w:val="18"/>
        </w:rPr>
        <w:t xml:space="preserve">TCZ = </w:t>
      </w:r>
      <w:proofErr w:type="spellStart"/>
      <w:r w:rsidRPr="0028514E">
        <w:rPr>
          <w:sz w:val="18"/>
        </w:rPr>
        <w:t>tosilitsumabi</w:t>
      </w:r>
      <w:proofErr w:type="spellEnd"/>
    </w:p>
    <w:p w14:paraId="0F79C8E8" w14:textId="77777777" w:rsidR="003B7027" w:rsidRPr="0028514E" w:rsidRDefault="00296A74" w:rsidP="006E5F9A">
      <w:pPr>
        <w:rPr>
          <w:sz w:val="18"/>
        </w:rPr>
      </w:pPr>
      <w:r w:rsidRPr="0028514E">
        <w:rPr>
          <w:sz w:val="18"/>
        </w:rPr>
        <w:t>a = Per Protocol -</w:t>
      </w:r>
      <w:proofErr w:type="spellStart"/>
      <w:r w:rsidRPr="0028514E">
        <w:rPr>
          <w:sz w:val="18"/>
        </w:rPr>
        <w:t>potilasjoukko</w:t>
      </w:r>
      <w:proofErr w:type="spellEnd"/>
    </w:p>
    <w:p w14:paraId="4E1D3423" w14:textId="77777777" w:rsidR="003B7027" w:rsidRPr="0028514E" w:rsidRDefault="003B7027" w:rsidP="006E5F9A">
      <w:pPr>
        <w:pStyle w:val="a4"/>
        <w:ind w:left="0"/>
        <w:rPr>
          <w:sz w:val="18"/>
        </w:rPr>
      </w:pPr>
    </w:p>
    <w:p w14:paraId="516603F9" w14:textId="77777777" w:rsidR="003B7027" w:rsidRPr="0028514E" w:rsidRDefault="00296A74" w:rsidP="006E5F9A">
      <w:pPr>
        <w:pStyle w:val="a4"/>
        <w:ind w:left="0"/>
      </w:pPr>
      <w:r w:rsidRPr="0028514E">
        <w:t>Tutkimuksessa SC-I mukana olleiden potilaiden DAS28-indeksin keskiarvo tutkimuksen alkaessa oli 6,6 tosilitsumabia ihon alle saaneiden ryhmässä ja 6,7 tosilitsumabia laskimoon saaneiden ryhmässä. Viikolla 24 havaittiin kummassakin hoitohaarassa DAS28-indeksin merkitsevä 3,5 yksikön lasku lähtötilanteesta (keskimääräinen paraneminen), ja yhtäläinen osuus potilaista tosilitsumabia ihon alle (38,4 %) ja laskimoon (36,9 %) saaneiden ryhmässä oli saavuttanut DAS28-indeksillä osoitetun kliinisen remission (DAS28 &lt; 2,6).</w:t>
      </w:r>
    </w:p>
    <w:p w14:paraId="51B33874" w14:textId="77777777" w:rsidR="00D35D59" w:rsidRPr="0028514E" w:rsidRDefault="00D35D59" w:rsidP="006E5F9A">
      <w:pPr>
        <w:pStyle w:val="a4"/>
        <w:ind w:left="0"/>
      </w:pPr>
    </w:p>
    <w:p w14:paraId="6389A18A" w14:textId="77777777" w:rsidR="003B7027" w:rsidRPr="00CA43F5" w:rsidRDefault="00296A74" w:rsidP="006E5F9A">
      <w:pPr>
        <w:rPr>
          <w:i/>
          <w:lang w:val="fi-FI"/>
        </w:rPr>
      </w:pPr>
      <w:r w:rsidRPr="00CA43F5">
        <w:rPr>
          <w:i/>
          <w:lang w:val="fi-FI"/>
        </w:rPr>
        <w:t>Radiologinen hoitovaste</w:t>
      </w:r>
    </w:p>
    <w:p w14:paraId="544EEC34" w14:textId="2B28DD99" w:rsidR="003B7027" w:rsidRPr="0028514E" w:rsidRDefault="00296A74" w:rsidP="006E5F9A">
      <w:pPr>
        <w:pStyle w:val="a4"/>
        <w:ind w:left="0"/>
      </w:pPr>
      <w:r w:rsidRPr="0028514E">
        <w:t xml:space="preserve">Radiologista hoitovastetta ihon alle annettuun </w:t>
      </w:r>
      <w:r w:rsidR="00E415D5">
        <w:t xml:space="preserve">tosilitsumabiin </w:t>
      </w:r>
      <w:r w:rsidRPr="0028514E">
        <w:t>arvioitiin kaksoissokkoutetussa, kontrolloidussa, monikeskustutkimuksessa aktiivista nivelreumaa sairastavilla potilailla (SC-II). Tutkimuksessa SC-II arvioitiin keskivaikeaa tai vaikeaa aktiivista nivelreumaa sairastavia potilaita, joiden kliininen vaste senhetkiseen reumahoitoon, johon kuului yksi tai useampi DMARD, oli riittämätön ja joista noin 20 % ei ollut saanut riittävää vastetta yhdellä tai useammalla TNF-estäjällä. Potilaiden piti olla iältään &gt; 18-vuotiaita ja sairastaa ACR-kriteerien mukaan diagnosoitua aktiivista nivelreumaa. Lisäksi heillä piti olla lähtötilanteessa vähintään 8 arkaa ja 6 turvonnutta niveltä.</w:t>
      </w:r>
      <w:r w:rsidR="00E415D5">
        <w:t xml:space="preserve"> </w:t>
      </w:r>
      <w:r w:rsidRPr="0028514E">
        <w:t xml:space="preserve">Tutkimuksessa SC-II satunnaistettiin 656 potilasta suhteessa 2:1 saamaan joko </w:t>
      </w:r>
      <w:r w:rsidR="00E415D5">
        <w:t xml:space="preserve">tosilitsumabia </w:t>
      </w:r>
      <w:r w:rsidRPr="0028514E">
        <w:t>ihon alle annoksella 162 mg kerran kahdessa viikossa tai lumevalmistetta yhdistelmänä yhden tai useamman ei- biologisen DMARD-lääkkeen kanssa.</w:t>
      </w:r>
    </w:p>
    <w:p w14:paraId="72C86167" w14:textId="77777777" w:rsidR="00D35D59" w:rsidRPr="0028514E" w:rsidRDefault="00D35D59" w:rsidP="006E5F9A">
      <w:pPr>
        <w:pStyle w:val="a4"/>
        <w:ind w:left="0"/>
      </w:pPr>
    </w:p>
    <w:p w14:paraId="0C4D9672" w14:textId="377D5590" w:rsidR="003B7027" w:rsidRPr="0028514E" w:rsidRDefault="00296A74" w:rsidP="006E5F9A">
      <w:pPr>
        <w:pStyle w:val="a4"/>
        <w:ind w:left="0"/>
      </w:pPr>
      <w:r w:rsidRPr="0028514E">
        <w:t xml:space="preserve">Tutkimuksessa SC-II niveltuhon estymistä arvioitiin radiologisesti ja se ilmaistiin mTSS-pisteiden (van der Heijde modified mean total Sharp score) muutoksena lähtötilanteesta. Viikolla 24 </w:t>
      </w:r>
      <w:r w:rsidR="00E415D5">
        <w:t xml:space="preserve">tosilitsumabia </w:t>
      </w:r>
      <w:r w:rsidRPr="0028514E">
        <w:t>ihon alle saaneilla potilailla osoitettiin merkitsevästi vähemmän radiologista etenemistä verrattuna lumevalmistetta saaneisiin potilaisiin (keskimääräiset mTSS-pisteet 0,62 vs. 1,23,</w:t>
      </w:r>
      <w:r w:rsidR="00D35D59" w:rsidRPr="0028514E">
        <w:t xml:space="preserve"> </w:t>
      </w:r>
      <w:r w:rsidRPr="0028514E">
        <w:t xml:space="preserve">p = 0,0149 (van Elteren). Nämä tulokset ovat yhdenmukaiset </w:t>
      </w:r>
      <w:r w:rsidR="00E415D5">
        <w:t xml:space="preserve">tosilitsumabia </w:t>
      </w:r>
      <w:r w:rsidRPr="0028514E">
        <w:t>laskimoon saaneilla potilailla todettujen tulosten kanssa.</w:t>
      </w:r>
    </w:p>
    <w:p w14:paraId="179147CB" w14:textId="77777777" w:rsidR="00D35D59" w:rsidRPr="0028514E" w:rsidRDefault="00D35D59" w:rsidP="006E5F9A">
      <w:pPr>
        <w:pStyle w:val="a4"/>
        <w:ind w:left="0"/>
      </w:pPr>
    </w:p>
    <w:p w14:paraId="3B7BE8F3" w14:textId="5E48499B" w:rsidR="003B7027" w:rsidRPr="0028514E" w:rsidRDefault="00296A74" w:rsidP="006E5F9A">
      <w:pPr>
        <w:pStyle w:val="a4"/>
        <w:ind w:left="0"/>
      </w:pPr>
      <w:r w:rsidRPr="0028514E">
        <w:t xml:space="preserve">Tutkimuksessa SC-II </w:t>
      </w:r>
      <w:r w:rsidR="00E415D5">
        <w:t xml:space="preserve">tosilitsumabia </w:t>
      </w:r>
      <w:r w:rsidRPr="0028514E">
        <w:t>ihon alle kerran kahdessa viikossa saaneiden potilaiden ACR- vasteet viikolla 24 olivat ACR20 60,9 %, ACR50 39,8 % ja ACR70 19,7 %. Lumevalmistetta saaneiden ryhmässä vastaavat luvut olivat ACR20 31,5 %, ACR50 12,3 % ja ACR70 5,0 %. Potilaiden DAS28-indeksin keskiarvo tutkimuksen alkaessa oli 6,7 tosilitsumabia ihon alle saaneiden ryhmässä ja 6,6 lumevalmistetta saaneiden ryhmässä. Viikolla 24 havaittiin tosilitsumabia ihon alle saaneiden hoitohaarassa DAS28-indeksin merkitsevä 3,1 yksikön lasku lähtötilanteesta kun lumevalmistetta saaneiden haarassa lasku oli 1,7 yksikköä. Tosilitsumabia ihon alle saaneiden haarassa 32,0 % potilaista saavutti DAS28 &lt; 2,6 ja lumevalmistetta saaneiden haarassa osuus oli 4,0 %.</w:t>
      </w:r>
    </w:p>
    <w:p w14:paraId="1BA48094" w14:textId="77777777" w:rsidR="003B7027" w:rsidRPr="0028514E" w:rsidRDefault="003B7027" w:rsidP="006E5F9A">
      <w:pPr>
        <w:pStyle w:val="a4"/>
        <w:ind w:left="0"/>
      </w:pPr>
    </w:p>
    <w:p w14:paraId="10E5807D" w14:textId="77777777" w:rsidR="003B7027" w:rsidRPr="00CA43F5" w:rsidRDefault="00296A74" w:rsidP="006E5F9A">
      <w:pPr>
        <w:rPr>
          <w:i/>
          <w:lang w:val="fi-FI"/>
        </w:rPr>
      </w:pPr>
      <w:r w:rsidRPr="00CA43F5">
        <w:rPr>
          <w:i/>
          <w:lang w:val="fi-FI"/>
        </w:rPr>
        <w:t>Terveydentilaa ja elämänlaatua kuvaavat tulokset</w:t>
      </w:r>
    </w:p>
    <w:p w14:paraId="4F7F0344" w14:textId="77777777" w:rsidR="003B7027" w:rsidRPr="0028514E" w:rsidRDefault="00296A74" w:rsidP="006E5F9A">
      <w:pPr>
        <w:pStyle w:val="a4"/>
        <w:ind w:left="0"/>
      </w:pPr>
      <w:r w:rsidRPr="0028514E">
        <w:t>Viikkoon 24 mennessä HAQ-DI laski tutkimuksessa SC-I keskimäärin 0,6 yksikköä lähtötilanteesta tosilitsumabia ihon alle ja laskimoon saaneiden ryhmissä. Myös niiden potilaiden osuus, joiden HAQ- DI:n tulos osoitti kliinisesti merkitsevää parannusta viikolla 24 (muutos lähtötilanteesta</w:t>
      </w:r>
      <w:r w:rsidR="00D35D59" w:rsidRPr="0028514E">
        <w:t xml:space="preserve"> </w:t>
      </w:r>
      <w:r w:rsidRPr="0028514E">
        <w:t xml:space="preserve">≥ 0,3 yksikköä) oli yhtäläinen valmistetta ihon alle (65,2 %) ja laskimoon (67,4 %) saaneiden ryhmissä. Osuuksien painotettu ero oli -2,3 % (95 %:n CI -8,1, 3,4). SF-36-kyselyssä keskimuutos </w:t>
      </w:r>
      <w:r w:rsidRPr="0028514E">
        <w:lastRenderedPageBreak/>
        <w:t>lähtötilanteesta viikolla 24 psyykkisen osion pisteissä oli 6,22 pistettä valmistetta ihon alle saaneiden ryhmässä ja 6,54 pistettä valmistetta laskimoon saaneiden ryhmässä. Myös fyysisen osion pisteet olivat samankaltaiset, 9,49 pistettä valmistetta ihon alle saaneiden ryhmässä ja 9,65 pistettä valmistetta laskimoon saaneiden ryhmässä.</w:t>
      </w:r>
    </w:p>
    <w:p w14:paraId="56AD28F6" w14:textId="77777777" w:rsidR="00D35D59" w:rsidRPr="0028514E" w:rsidRDefault="00D35D59" w:rsidP="006E5F9A">
      <w:pPr>
        <w:pStyle w:val="a4"/>
        <w:ind w:left="0"/>
      </w:pPr>
    </w:p>
    <w:p w14:paraId="4C09365D" w14:textId="4883105B" w:rsidR="003B7027" w:rsidRPr="0028514E" w:rsidRDefault="00296A74" w:rsidP="006E5F9A">
      <w:pPr>
        <w:pStyle w:val="a4"/>
        <w:ind w:left="0"/>
      </w:pPr>
      <w:r w:rsidRPr="0028514E">
        <w:t xml:space="preserve">Viikkoon 24 mennessä HAQ-DI laski tutkimuksessa SC-II huomattavasti enemmän potilailla, joita hoidettiin ihonalaisella </w:t>
      </w:r>
      <w:r w:rsidR="00E415D5">
        <w:t xml:space="preserve">tosilitsumabilla </w:t>
      </w:r>
      <w:r w:rsidRPr="0028514E">
        <w:t xml:space="preserve">kerrran kahdessa viikossa (0,4) verrattuna lumevalmisteella hoidettuihin potilaisiin (0,3). Niiden potilaiden osuus, joiden HAQ-DI:n tulos osoitti kliinisesti merkitsevää parannusta viikolla 24 (muutos lähtötilanteesta ≥ 0,3 yksikköä) oli suurempi ryhmässä, joka sai ihonalaista </w:t>
      </w:r>
      <w:r w:rsidR="00E415D5">
        <w:t xml:space="preserve">tosilitsumabia </w:t>
      </w:r>
      <w:r w:rsidRPr="0028514E">
        <w:t xml:space="preserve">kerrran kahdessa viikossa (58 %) verrattuna lumevalmistetta saaneiden ryhmään (46,8 %). SF-36 elämänlaatumittarilla (keskimääräinen muutos psyykkisissä ja fyysisissä elämänlaadun osa-alueissa) saatu tulos oli huomattavasti parempi ryhmässä, joka sai ihonalaista </w:t>
      </w:r>
      <w:r w:rsidR="00E415D5">
        <w:t xml:space="preserve">tosilitsumabia </w:t>
      </w:r>
      <w:r w:rsidRPr="0028514E">
        <w:t>(6,5 ja 5,3) kuin lumevalmistetta saaneiden ryhmässä (3,8 ja 2,9).</w:t>
      </w:r>
    </w:p>
    <w:p w14:paraId="18777530" w14:textId="77777777" w:rsidR="003B7027" w:rsidRPr="0028514E" w:rsidRDefault="003B7027" w:rsidP="006E5F9A">
      <w:pPr>
        <w:pStyle w:val="a4"/>
        <w:ind w:left="0"/>
      </w:pPr>
    </w:p>
    <w:p w14:paraId="39D77F64" w14:textId="77777777" w:rsidR="003B7027" w:rsidRPr="0028514E" w:rsidRDefault="00296A74" w:rsidP="006E5F9A">
      <w:pPr>
        <w:pStyle w:val="a4"/>
        <w:ind w:left="0"/>
      </w:pPr>
      <w:r w:rsidRPr="0028514E">
        <w:rPr>
          <w:u w:val="single"/>
        </w:rPr>
        <w:t>Ihonalainen annostelu</w:t>
      </w:r>
    </w:p>
    <w:p w14:paraId="1B3EE7B6" w14:textId="77777777" w:rsidR="003B7027" w:rsidRPr="00CA43F5" w:rsidRDefault="00296A74" w:rsidP="006E5F9A">
      <w:pPr>
        <w:rPr>
          <w:b/>
          <w:lang w:val="fi-FI"/>
        </w:rPr>
      </w:pPr>
      <w:r w:rsidRPr="00CA43F5">
        <w:rPr>
          <w:b/>
          <w:u w:val="single"/>
          <w:lang w:val="fi-FI"/>
        </w:rPr>
        <w:t>Yleisoireista lastenreumaa sairastavat lapsipotilaat</w:t>
      </w:r>
    </w:p>
    <w:p w14:paraId="574BF66D" w14:textId="77777777" w:rsidR="003B7027" w:rsidRPr="0028514E" w:rsidRDefault="00296A74" w:rsidP="006E5F9A">
      <w:pPr>
        <w:pStyle w:val="a4"/>
        <w:ind w:left="0"/>
      </w:pPr>
      <w:r w:rsidRPr="0028514E">
        <w:rPr>
          <w:u w:val="single"/>
        </w:rPr>
        <w:t>Kliininen teho</w:t>
      </w:r>
    </w:p>
    <w:p w14:paraId="18398E1D" w14:textId="67175D3B" w:rsidR="003B7027" w:rsidRPr="0028514E" w:rsidRDefault="00296A74" w:rsidP="006E5F9A">
      <w:pPr>
        <w:pStyle w:val="a4"/>
        <w:ind w:left="0"/>
      </w:pPr>
      <w:r w:rsidRPr="0028514E">
        <w:t xml:space="preserve">52 viikkoa kestäneessä avoimessa farmakokinetiikkaa, farmakodynamiikkaa ja turvallisuutta koskeneessa monikeskustutkimuksessa (WA28118) oli mukana iältään 1–17-vuotiaita yleisoireista lastenreumaa sairastavia lapsipotilaita. Tutkimuksessa määritettiin sopiva ihon alle annettava </w:t>
      </w:r>
      <w:r w:rsidR="00E415D5">
        <w:t>tosilitsumabi</w:t>
      </w:r>
      <w:r w:rsidRPr="0028514E">
        <w:t>annos, jonka farmakokinetiikka ja farmakodynamiikka sekä turvallisuusprofiili ovat verrannolliset valmisteen laskimoon antoon nähden.</w:t>
      </w:r>
    </w:p>
    <w:p w14:paraId="730DB231" w14:textId="77777777" w:rsidR="00D35D59" w:rsidRPr="0028514E" w:rsidRDefault="00D35D59" w:rsidP="006E5F9A">
      <w:pPr>
        <w:pStyle w:val="a4"/>
        <w:ind w:left="0"/>
      </w:pPr>
    </w:p>
    <w:p w14:paraId="6F7A02D3" w14:textId="36BE0C61" w:rsidR="003B7027" w:rsidRPr="0028514E" w:rsidRDefault="00296A74" w:rsidP="006E5F9A">
      <w:pPr>
        <w:pStyle w:val="a4"/>
        <w:ind w:left="0"/>
      </w:pPr>
      <w:r w:rsidRPr="0028514E">
        <w:t xml:space="preserve">Tutkimukseen mukaan soveltuneet potilaat saivat painonmukaisia </w:t>
      </w:r>
      <w:r w:rsidR="00E415D5">
        <w:t>tosilitsumabi</w:t>
      </w:r>
      <w:r w:rsidRPr="0028514E">
        <w:t xml:space="preserve">annoksia: ≥ 30 kg:n painoiset potilaat (n </w:t>
      </w:r>
      <w:r w:rsidR="00A14525" w:rsidRPr="0028514E">
        <w:t>=</w:t>
      </w:r>
      <w:r w:rsidRPr="0028514E">
        <w:t xml:space="preserve"> 26) saivat 162 mg </w:t>
      </w:r>
      <w:r w:rsidR="00E415D5">
        <w:t xml:space="preserve">tosilitsumabia </w:t>
      </w:r>
      <w:r w:rsidRPr="0028514E">
        <w:t>joka viikko ja alle 30 kg:n painoiset potilaat</w:t>
      </w:r>
      <w:r w:rsidR="00D35D59" w:rsidRPr="0028514E">
        <w:t xml:space="preserve"> </w:t>
      </w:r>
      <w:r w:rsidRPr="0028514E">
        <w:t xml:space="preserve">(n </w:t>
      </w:r>
      <w:r w:rsidR="00A14525" w:rsidRPr="0028514E">
        <w:t>=</w:t>
      </w:r>
      <w:r w:rsidRPr="0028514E">
        <w:t xml:space="preserve"> 25) saivat 162 mg </w:t>
      </w:r>
      <w:r w:rsidR="00E415D5">
        <w:t xml:space="preserve">tosilitsumabia </w:t>
      </w:r>
      <w:r w:rsidRPr="0028514E">
        <w:t xml:space="preserve">10 päivän välein (n = 8) tai joka toinen viikko (n = 17) 52 viikon ajan. Näistä 51 potilaasta 26 (51 %) potilasta ei ollut saanut </w:t>
      </w:r>
      <w:r w:rsidR="00E415D5">
        <w:t xml:space="preserve">tosilitsumabia </w:t>
      </w:r>
      <w:r w:rsidRPr="0028514E">
        <w:t>aiemmin ja</w:t>
      </w:r>
      <w:r w:rsidR="00D35D59" w:rsidRPr="0028514E">
        <w:t xml:space="preserve"> </w:t>
      </w:r>
      <w:r w:rsidRPr="0028514E">
        <w:t xml:space="preserve">25 (49 %) potilasta oli saanut </w:t>
      </w:r>
      <w:r w:rsidR="00E415D5">
        <w:t xml:space="preserve">tosilitsumabia </w:t>
      </w:r>
      <w:r w:rsidRPr="0028514E">
        <w:t xml:space="preserve">laskimoon ja siirtyi lähtötilanteessa ihon alle annettavaan </w:t>
      </w:r>
      <w:r w:rsidR="00E415D5">
        <w:t>tosilitsumabi</w:t>
      </w:r>
      <w:r w:rsidRPr="0028514E">
        <w:t>hoitoon.</w:t>
      </w:r>
    </w:p>
    <w:p w14:paraId="36CB50C3" w14:textId="77777777" w:rsidR="00D35D59" w:rsidRPr="0028514E" w:rsidRDefault="00D35D59" w:rsidP="006E5F9A">
      <w:pPr>
        <w:pStyle w:val="a4"/>
        <w:ind w:left="0"/>
      </w:pPr>
    </w:p>
    <w:p w14:paraId="30E62946" w14:textId="13B5909F" w:rsidR="003B7027" w:rsidRPr="0028514E" w:rsidRDefault="00296A74" w:rsidP="006E5F9A">
      <w:pPr>
        <w:pStyle w:val="a4"/>
        <w:ind w:left="0"/>
      </w:pPr>
      <w:r w:rsidRPr="0028514E">
        <w:t xml:space="preserve">Eksploratiiviset tehon tulokset osoittivat, että ihon alle annettu </w:t>
      </w:r>
      <w:r w:rsidR="00E415D5">
        <w:t xml:space="preserve">tosilitsumabi </w:t>
      </w:r>
      <w:r w:rsidRPr="0028514E">
        <w:t xml:space="preserve">paransi kaikkia eksploratiivisia tehoa koskevia parametreja, mukaan lukien lastenreuman aktiivisuutta osoittavia pisteitä (Juvenile Arthritis Disease Activity Score [JADAS]-71) potilailla, jotka eivät olleet saaneet tosilitsumabia aikaisemmin, ja piti kaikki eksploratiiviset tehoa koskevat parametrit ennallaan koko hoitojakson ajan kummassakin painoryhmässä (alle 30 kg ja ≥ 30 kg) niillä potilailla, jotka siirtyivät laskimoon annetusta </w:t>
      </w:r>
      <w:r w:rsidR="00E415D5">
        <w:t>tosilitsumabi</w:t>
      </w:r>
      <w:r w:rsidRPr="0028514E">
        <w:t xml:space="preserve">hoidosta ihon alle annettavaan </w:t>
      </w:r>
      <w:r w:rsidR="00E415D5">
        <w:t>tosilitsumabi</w:t>
      </w:r>
      <w:r w:rsidRPr="0028514E">
        <w:t>hoitoon.</w:t>
      </w:r>
    </w:p>
    <w:p w14:paraId="08CA3381" w14:textId="77777777" w:rsidR="003B7027" w:rsidRPr="0028514E" w:rsidRDefault="003B7027" w:rsidP="006E5F9A">
      <w:pPr>
        <w:pStyle w:val="a4"/>
        <w:ind w:left="0"/>
      </w:pPr>
    </w:p>
    <w:p w14:paraId="5026A3DE" w14:textId="77777777" w:rsidR="003B7027" w:rsidRPr="0028514E" w:rsidRDefault="00296A74" w:rsidP="00A14525">
      <w:pPr>
        <w:pStyle w:val="a4"/>
        <w:keepNext/>
        <w:ind w:left="0"/>
      </w:pPr>
      <w:r w:rsidRPr="0028514E">
        <w:rPr>
          <w:u w:val="single"/>
        </w:rPr>
        <w:t>Ihonalainen annostelu</w:t>
      </w:r>
    </w:p>
    <w:p w14:paraId="75696AD7" w14:textId="77777777" w:rsidR="003B7027" w:rsidRPr="00CA43F5" w:rsidRDefault="00296A74" w:rsidP="00A14525">
      <w:pPr>
        <w:keepNext/>
        <w:rPr>
          <w:b/>
          <w:lang w:val="fi-FI"/>
        </w:rPr>
      </w:pPr>
      <w:r w:rsidRPr="00CA43F5">
        <w:rPr>
          <w:b/>
          <w:u w:val="single"/>
          <w:lang w:val="fi-FI"/>
        </w:rPr>
        <w:t>Polyartriittia sairastavat lapsipotilaat</w:t>
      </w:r>
    </w:p>
    <w:p w14:paraId="6834A939" w14:textId="77777777" w:rsidR="003B7027" w:rsidRPr="0028514E" w:rsidRDefault="00296A74" w:rsidP="006E5F9A">
      <w:pPr>
        <w:pStyle w:val="a4"/>
        <w:ind w:left="0"/>
      </w:pPr>
      <w:r w:rsidRPr="0028514E">
        <w:rPr>
          <w:u w:val="single"/>
        </w:rPr>
        <w:t>Kliininen teho</w:t>
      </w:r>
    </w:p>
    <w:p w14:paraId="474CD7EF" w14:textId="3779F283" w:rsidR="003B7027" w:rsidRPr="0028514E" w:rsidRDefault="00296A74" w:rsidP="006E5F9A">
      <w:pPr>
        <w:pStyle w:val="a4"/>
        <w:ind w:left="0"/>
      </w:pPr>
      <w:r w:rsidRPr="0028514E">
        <w:t xml:space="preserve">52 viikkoa kestäneessä avoimessa farmakokinetiikkaa, farmakodynamiikkaa ja turvallisuutta koskeneessa monikeskustutkimuksessa oli mukana iältään 1–17-vuotiaita aktiivista polyartriittia sairastavia lapsipotilaita. Tutkimuksessa määritettiin sopiva ihon alle annettava </w:t>
      </w:r>
      <w:r w:rsidR="00E415D5">
        <w:t>tosilitsumabi</w:t>
      </w:r>
      <w:r w:rsidRPr="0028514E">
        <w:t>annos, jonka farmakokinetiikka ja farmakodynamiikka sekä turvallisuusprofiili ovat verrannolliset valmisteen laskimoon antoon nähden.</w:t>
      </w:r>
    </w:p>
    <w:p w14:paraId="6A04B8B3" w14:textId="77777777" w:rsidR="003B7027" w:rsidRPr="0028514E" w:rsidRDefault="003B7027" w:rsidP="006E5F9A">
      <w:pPr>
        <w:pStyle w:val="a4"/>
        <w:ind w:left="0"/>
      </w:pPr>
    </w:p>
    <w:p w14:paraId="522E92CD" w14:textId="6D16266B" w:rsidR="003B7027" w:rsidRPr="0028514E" w:rsidRDefault="00296A74" w:rsidP="006E5F9A">
      <w:pPr>
        <w:pStyle w:val="a4"/>
        <w:ind w:left="0"/>
      </w:pPr>
      <w:r w:rsidRPr="0028514E">
        <w:t xml:space="preserve">Tutkimukseen mukaan soveltuneet potilaat saivat painonmukaisia tosilitsumabiannoksia: ≥ 30 kg:n painoiset potilaat (n </w:t>
      </w:r>
      <w:r w:rsidR="00A14525" w:rsidRPr="0028514E">
        <w:t>=</w:t>
      </w:r>
      <w:r w:rsidRPr="0028514E">
        <w:t xml:space="preserve"> 25) saivat 162 mg </w:t>
      </w:r>
      <w:r w:rsidR="00E415D5">
        <w:t xml:space="preserve">tosilitsumabia </w:t>
      </w:r>
      <w:r w:rsidRPr="0028514E">
        <w:t xml:space="preserve">joka toinen viikko ja alle 30 kg:n painoiset potilaat (n </w:t>
      </w:r>
      <w:r w:rsidR="00A14525" w:rsidRPr="0028514E">
        <w:t>=</w:t>
      </w:r>
      <w:r w:rsidRPr="0028514E">
        <w:t xml:space="preserve"> 27) saivat 162 mg </w:t>
      </w:r>
      <w:r w:rsidR="00E415D5">
        <w:t xml:space="preserve">tosilitsumabia </w:t>
      </w:r>
      <w:r w:rsidRPr="0028514E">
        <w:t xml:space="preserve">joka kolmas viikko 52 viikon ajan. Näistä 52 potilaasta 37 (71 %) potilasta ei ollut saanut </w:t>
      </w:r>
      <w:r w:rsidR="00E415D5">
        <w:t xml:space="preserve">tosilitsumabia </w:t>
      </w:r>
      <w:r w:rsidRPr="0028514E">
        <w:t xml:space="preserve">aiemmin ja 15 (29 %) potilasta oli saanut </w:t>
      </w:r>
      <w:r w:rsidR="00E415D5">
        <w:t xml:space="preserve">tosilitsumabia </w:t>
      </w:r>
      <w:r w:rsidRPr="0028514E">
        <w:t xml:space="preserve">laskimoon ja siirtyi lähtötilanteessa ihon alle annettavaan </w:t>
      </w:r>
      <w:r w:rsidR="00E415D5">
        <w:t>tosilitsumabi</w:t>
      </w:r>
      <w:r w:rsidRPr="0028514E">
        <w:t>hoitoon.</w:t>
      </w:r>
    </w:p>
    <w:p w14:paraId="5FC2B244" w14:textId="77777777" w:rsidR="00D35D59" w:rsidRPr="0028514E" w:rsidRDefault="00D35D59" w:rsidP="006E5F9A">
      <w:pPr>
        <w:pStyle w:val="a4"/>
        <w:ind w:left="0"/>
      </w:pPr>
    </w:p>
    <w:p w14:paraId="4B3DB4D7" w14:textId="1E24887F" w:rsidR="003B7027" w:rsidRPr="0028514E" w:rsidRDefault="00296A74" w:rsidP="006E5F9A">
      <w:pPr>
        <w:pStyle w:val="a4"/>
        <w:ind w:left="0"/>
      </w:pPr>
      <w:r w:rsidRPr="0028514E">
        <w:t xml:space="preserve">Kun ihon alle annettavaa </w:t>
      </w:r>
      <w:r w:rsidR="00E415D5">
        <w:t xml:space="preserve">tosilitsumabia </w:t>
      </w:r>
      <w:r w:rsidRPr="0028514E">
        <w:t xml:space="preserve">annetaan alle 30 kg:n painoisille potilaille 162 mg joka kolmas viikko ja ≥ 30 kg:n painoisille potilaille 162 mg joka toinen viikko, tehoa ja turvallisuutta koskevat hoitotulokset ovat farmakokineettisen altistuksen ja farmakodynaamisten vasteiden perusteella samankaltaiset kuin lasten aktiivisen polyartriitin hoitoon hyväksytyllä laskimoon annettavalla </w:t>
      </w:r>
      <w:r w:rsidR="00E415D5">
        <w:t>tosilitsumabilla</w:t>
      </w:r>
      <w:r w:rsidRPr="0028514E">
        <w:t>.</w:t>
      </w:r>
    </w:p>
    <w:p w14:paraId="194F89A7" w14:textId="77777777" w:rsidR="00D35D59" w:rsidRPr="0028514E" w:rsidRDefault="00D35D59" w:rsidP="006E5F9A">
      <w:pPr>
        <w:pStyle w:val="a4"/>
        <w:ind w:left="0"/>
      </w:pPr>
    </w:p>
    <w:p w14:paraId="1B609493" w14:textId="79B4FCE4" w:rsidR="003B7027" w:rsidRPr="0028514E" w:rsidRDefault="00296A74" w:rsidP="006E5F9A">
      <w:pPr>
        <w:pStyle w:val="a4"/>
        <w:ind w:left="0"/>
      </w:pPr>
      <w:r w:rsidRPr="0028514E">
        <w:t xml:space="preserve">Eksploratiiviset tehon tulokset osoittivat, että ihon alle annettu </w:t>
      </w:r>
      <w:r w:rsidR="00E415D5">
        <w:t xml:space="preserve">tosilitsumabi </w:t>
      </w:r>
      <w:r w:rsidRPr="0028514E">
        <w:t xml:space="preserve">paransi lastenreuman aktiivisuutta osoittavien pisteiden (Juvenile Arthritis Disease Activity Score [JADAS]-71) mediaania potilailla, jotka eivät olleet saaneet </w:t>
      </w:r>
      <w:r w:rsidR="00E415D5">
        <w:t xml:space="preserve">tosilitsumabia </w:t>
      </w:r>
      <w:r w:rsidRPr="0028514E">
        <w:t xml:space="preserve">aikaisemmin, ja piti JADAS-71-pisteiden mediaanin ennallaan koko hoitojakson ajan kummassakin painoryhmässä (alle 30 kg ja ≥ 30 kg) niillä potilailla, jotka siirtyivät laskimoon annetusta </w:t>
      </w:r>
      <w:r w:rsidR="00E415D5">
        <w:t>tosilitsumabi</w:t>
      </w:r>
      <w:r w:rsidRPr="0028514E">
        <w:t xml:space="preserve">hoidosta ihon alle annettavaan </w:t>
      </w:r>
      <w:r w:rsidR="00E415D5">
        <w:t>tosilitsumabi</w:t>
      </w:r>
      <w:r w:rsidRPr="0028514E">
        <w:t>hoitoon.</w:t>
      </w:r>
    </w:p>
    <w:p w14:paraId="63309B20" w14:textId="77777777" w:rsidR="003B7027" w:rsidRPr="0028514E" w:rsidRDefault="003B7027" w:rsidP="006E5F9A">
      <w:pPr>
        <w:pStyle w:val="a4"/>
        <w:ind w:left="0"/>
      </w:pPr>
    </w:p>
    <w:p w14:paraId="5ABBFEA7" w14:textId="77777777" w:rsidR="00D35D59" w:rsidRPr="00CA43F5" w:rsidRDefault="00296A74" w:rsidP="006E5F9A">
      <w:pPr>
        <w:rPr>
          <w:lang w:val="fi-FI"/>
        </w:rPr>
      </w:pPr>
      <w:r w:rsidRPr="00CA43F5">
        <w:rPr>
          <w:u w:val="single"/>
          <w:lang w:val="fi-FI"/>
        </w:rPr>
        <w:t>Ihonalainen annostelu</w:t>
      </w:r>
    </w:p>
    <w:p w14:paraId="79253950" w14:textId="77777777" w:rsidR="00D35D59" w:rsidRPr="00CA43F5" w:rsidRDefault="00296A74" w:rsidP="006E5F9A">
      <w:pPr>
        <w:rPr>
          <w:b/>
          <w:lang w:val="fi-FI"/>
        </w:rPr>
      </w:pPr>
      <w:r w:rsidRPr="00CA43F5">
        <w:rPr>
          <w:b/>
          <w:u w:val="single"/>
          <w:lang w:val="fi-FI"/>
        </w:rPr>
        <w:t>Jättisoluarteriitti</w:t>
      </w:r>
    </w:p>
    <w:p w14:paraId="24149A71" w14:textId="77777777" w:rsidR="003B7027" w:rsidRPr="00CA43F5" w:rsidRDefault="00296A74" w:rsidP="006E5F9A">
      <w:pPr>
        <w:rPr>
          <w:lang w:val="fi-FI"/>
        </w:rPr>
      </w:pPr>
      <w:r w:rsidRPr="00CA43F5">
        <w:rPr>
          <w:u w:val="single"/>
          <w:lang w:val="fi-FI"/>
        </w:rPr>
        <w:t>Kliininen teho</w:t>
      </w:r>
    </w:p>
    <w:p w14:paraId="45759593" w14:textId="2F56A2A7" w:rsidR="003B7027" w:rsidRPr="0028514E" w:rsidRDefault="00E415D5" w:rsidP="006E5F9A">
      <w:pPr>
        <w:pStyle w:val="a4"/>
        <w:ind w:left="0"/>
      </w:pPr>
      <w:r>
        <w:t>Tosilitsumabin</w:t>
      </w:r>
      <w:r w:rsidRPr="0028514E">
        <w:t xml:space="preserve"> </w:t>
      </w:r>
      <w:r w:rsidR="00296A74" w:rsidRPr="0028514E">
        <w:t>tehoa ja turvallisuutta jättisoluarteriitin hoidossa on tutkittu vaiheen III satunnaistetussa kaksoissokkoutetussa lumekontrolloidussa monikeskustutkimuksessa (WA28119). Tutkimuksessa selvitettiin myös hoidon paremmuutta.</w:t>
      </w:r>
    </w:p>
    <w:p w14:paraId="4AF80EE7" w14:textId="77777777" w:rsidR="003B7027" w:rsidRPr="0028514E" w:rsidRDefault="003B7027" w:rsidP="006E5F9A">
      <w:pPr>
        <w:pStyle w:val="a4"/>
        <w:ind w:left="0"/>
      </w:pPr>
    </w:p>
    <w:p w14:paraId="2960A057" w14:textId="472B7011" w:rsidR="003B7027" w:rsidRPr="0028514E" w:rsidRDefault="00296A74" w:rsidP="006E5F9A">
      <w:pPr>
        <w:pStyle w:val="a4"/>
        <w:ind w:left="0"/>
      </w:pPr>
      <w:r w:rsidRPr="0028514E">
        <w:t>Tutkimukseen osallistui yhteensä 251 vastadiagnosoitua tai relapsoitunutta potilasta. Potilaat satunnaistettiin neljään tutkimushaaraan. Tutkimus käsitti 52 viikon pituisen sokkoutetun jakson</w:t>
      </w:r>
      <w:r w:rsidR="00D35D59" w:rsidRPr="0028514E">
        <w:t xml:space="preserve"> </w:t>
      </w:r>
      <w:r w:rsidRPr="0028514E">
        <w:t xml:space="preserve">(osa 1), jota seurasi 104 viikon pituinen avoin jatkotutkimus (osa 2). Osassa 2 määritettiin </w:t>
      </w:r>
      <w:r w:rsidR="00E415D5">
        <w:t>tosilitsumabi</w:t>
      </w:r>
      <w:r w:rsidRPr="0028514E">
        <w:t xml:space="preserve">hoidon pitkäaikaisturvallisuutta ja tehon säilymistä 52 viikon </w:t>
      </w:r>
      <w:r w:rsidR="00E415D5">
        <w:t>tosilitsumabi</w:t>
      </w:r>
      <w:r w:rsidRPr="0028514E">
        <w:t xml:space="preserve">hoidon jälkeen sekä relapsien osuutta, mahdollista pidemmän </w:t>
      </w:r>
      <w:r w:rsidR="00E415D5">
        <w:t>tosilitsumabi</w:t>
      </w:r>
      <w:r w:rsidRPr="0028514E">
        <w:t xml:space="preserve">hoidon tarvetta ja </w:t>
      </w:r>
      <w:r w:rsidR="00E415D5">
        <w:t>tosilitsumabi</w:t>
      </w:r>
      <w:r w:rsidRPr="0028514E">
        <w:t>hoidon mahdollisia vaikutuksia steroidien pitkäaikaisen käytön vähentämiseen.</w:t>
      </w:r>
    </w:p>
    <w:p w14:paraId="7AF3FD13" w14:textId="77777777" w:rsidR="00D35D59" w:rsidRPr="0028514E" w:rsidRDefault="00D35D59" w:rsidP="006E5F9A">
      <w:pPr>
        <w:pStyle w:val="a4"/>
        <w:ind w:left="0"/>
      </w:pPr>
    </w:p>
    <w:p w14:paraId="7D40A913" w14:textId="6877083A" w:rsidR="003B7027" w:rsidRPr="0028514E" w:rsidRDefault="00E415D5" w:rsidP="006E5F9A">
      <w:pPr>
        <w:pStyle w:val="a4"/>
        <w:ind w:left="0"/>
      </w:pPr>
      <w:r>
        <w:t>Tosilitsumabin</w:t>
      </w:r>
      <w:r w:rsidRPr="0028514E">
        <w:t xml:space="preserve"> </w:t>
      </w:r>
      <w:r w:rsidR="00296A74" w:rsidRPr="0028514E">
        <w:t>kahta ihon alle annettavaa annostusta (162 mg joka viikko ja 162 mg joka toinen viikko) verrattiin kahteen erilliseen lumekontrolloituun ryhmään. Potilaat oli satunnaistettu eri ryhmiin suhteessa 2:1:1:1.</w:t>
      </w:r>
    </w:p>
    <w:p w14:paraId="34A342C0" w14:textId="77777777" w:rsidR="003B7027" w:rsidRPr="0028514E" w:rsidRDefault="003B7027" w:rsidP="006E5F9A">
      <w:pPr>
        <w:pStyle w:val="a4"/>
        <w:ind w:left="0"/>
      </w:pPr>
    </w:p>
    <w:p w14:paraId="76449B89" w14:textId="398380EC" w:rsidR="003B7027" w:rsidRPr="0028514E" w:rsidRDefault="00296A74" w:rsidP="006E5F9A">
      <w:pPr>
        <w:pStyle w:val="a4"/>
        <w:ind w:left="0"/>
      </w:pPr>
      <w:r w:rsidRPr="0028514E">
        <w:t xml:space="preserve">Kaikki potilaat saivat perushoitona glukokortikoideja (prednisonia). Kummassakin </w:t>
      </w:r>
      <w:r w:rsidR="00E415D5">
        <w:t>tosilitsumabi</w:t>
      </w:r>
      <w:r w:rsidRPr="0028514E">
        <w:t>ryhmässä ja toisessa lumeryhmässä prednisonihoito lopetettiin asteittain ennakolta määritellysti</w:t>
      </w:r>
      <w:r w:rsidR="00D35D59" w:rsidRPr="0028514E">
        <w:t xml:space="preserve"> </w:t>
      </w:r>
      <w:r w:rsidRPr="0028514E">
        <w:t>26 viikon aikana. Toisessa lumeryhmässä prednisonihoito lopetettiin asteittain ennakolta määritellysti 52 viikon aikana.</w:t>
      </w:r>
    </w:p>
    <w:p w14:paraId="410FC42A" w14:textId="77777777" w:rsidR="00D35D59" w:rsidRPr="0028514E" w:rsidRDefault="00D35D59" w:rsidP="006E5F9A">
      <w:pPr>
        <w:pStyle w:val="a4"/>
        <w:ind w:left="0"/>
      </w:pPr>
    </w:p>
    <w:p w14:paraId="14E56098" w14:textId="04F5AE23" w:rsidR="003B7027" w:rsidRPr="0028514E" w:rsidRDefault="00296A74" w:rsidP="006E5F9A">
      <w:pPr>
        <w:pStyle w:val="a4"/>
        <w:ind w:left="0"/>
      </w:pPr>
      <w:r w:rsidRPr="0028514E">
        <w:t xml:space="preserve">Glukokortikoidihoidon kesto oli seulontavaiheessa ja ennen </w:t>
      </w:r>
      <w:r w:rsidR="00E415D5">
        <w:t>tosilitsumabi</w:t>
      </w:r>
      <w:r w:rsidRPr="0028514E">
        <w:t>hoidon (tai lumehoidon) aloittamista samankaltainen kaikissa neljässä hoitoryhmissä (ks. taulukko 3).</w:t>
      </w:r>
    </w:p>
    <w:p w14:paraId="3EB758D2" w14:textId="77777777" w:rsidR="00D35D59" w:rsidRPr="0028514E" w:rsidRDefault="00D35D59" w:rsidP="006E5F9A">
      <w:pPr>
        <w:pStyle w:val="a4"/>
        <w:ind w:left="0"/>
      </w:pPr>
    </w:p>
    <w:p w14:paraId="1AD75392" w14:textId="77777777" w:rsidR="003B7027" w:rsidRPr="00CA43F5" w:rsidRDefault="00296A74" w:rsidP="00A14525">
      <w:pPr>
        <w:pStyle w:val="Tabletitle"/>
        <w:keepNext/>
        <w:rPr>
          <w:lang w:val="fi-FI"/>
        </w:rPr>
      </w:pPr>
      <w:r w:rsidRPr="00CA43F5">
        <w:rPr>
          <w:lang w:val="fi-FI"/>
        </w:rPr>
        <w:t>Taulukko 3.</w:t>
      </w:r>
      <w:r w:rsidR="00D35D59" w:rsidRPr="00CA43F5">
        <w:rPr>
          <w:lang w:val="fi-FI"/>
        </w:rPr>
        <w:tab/>
      </w:r>
      <w:r w:rsidRPr="00CA43F5">
        <w:rPr>
          <w:lang w:val="fi-FI"/>
        </w:rPr>
        <w:t>Kortikosteroidihoidon kesto tutkimuksen WA28119 seulonnan aikana</w:t>
      </w:r>
    </w:p>
    <w:p w14:paraId="51ADD55D" w14:textId="77777777" w:rsidR="00D35D59" w:rsidRPr="00CA43F5" w:rsidRDefault="00D35D59" w:rsidP="00A14525">
      <w:pPr>
        <w:keepNext/>
        <w:rPr>
          <w:lang w:val="fi-FI"/>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980"/>
        <w:gridCol w:w="1843"/>
        <w:gridCol w:w="1842"/>
        <w:gridCol w:w="1701"/>
        <w:gridCol w:w="1701"/>
      </w:tblGrid>
      <w:tr w:rsidR="003B7027" w:rsidRPr="00777B93" w14:paraId="4C767318" w14:textId="77777777" w:rsidTr="006E4E50">
        <w:trPr>
          <w:cantSplit/>
        </w:trPr>
        <w:tc>
          <w:tcPr>
            <w:tcW w:w="1980" w:type="dxa"/>
          </w:tcPr>
          <w:p w14:paraId="14DF3C03" w14:textId="77777777" w:rsidR="003B7027" w:rsidRPr="0028514E" w:rsidRDefault="003B7027" w:rsidP="006E5F9A">
            <w:pPr>
              <w:pStyle w:val="TableParagraph"/>
              <w:suppressAutoHyphens/>
            </w:pPr>
          </w:p>
        </w:tc>
        <w:tc>
          <w:tcPr>
            <w:tcW w:w="1843" w:type="dxa"/>
          </w:tcPr>
          <w:p w14:paraId="530DEFCB" w14:textId="77777777" w:rsidR="003B7027" w:rsidRPr="0028514E" w:rsidRDefault="00296A74" w:rsidP="006E5F9A">
            <w:pPr>
              <w:pStyle w:val="TableParagraph"/>
              <w:suppressAutoHyphens/>
              <w:jc w:val="center"/>
              <w:rPr>
                <w:b/>
              </w:rPr>
            </w:pPr>
            <w:r w:rsidRPr="0028514E">
              <w:rPr>
                <w:b/>
              </w:rPr>
              <w:t>Lume +</w:t>
            </w:r>
            <w:r w:rsidR="00D35D59" w:rsidRPr="0028514E">
              <w:rPr>
                <w:b/>
              </w:rPr>
              <w:t xml:space="preserve"> </w:t>
            </w:r>
            <w:r w:rsidRPr="0028514E">
              <w:rPr>
                <w:b/>
              </w:rPr>
              <w:t>26 viikon aikana asteittain lopetettava prednisonihoito</w:t>
            </w:r>
          </w:p>
          <w:p w14:paraId="58B51B22" w14:textId="77777777" w:rsidR="003B7027" w:rsidRPr="0028514E" w:rsidRDefault="00296A74" w:rsidP="006E5F9A">
            <w:pPr>
              <w:pStyle w:val="TableParagraph"/>
              <w:suppressAutoHyphens/>
              <w:jc w:val="center"/>
              <w:rPr>
                <w:b/>
              </w:rPr>
            </w:pPr>
            <w:r w:rsidRPr="0028514E">
              <w:rPr>
                <w:b/>
              </w:rPr>
              <w:t>N = 50</w:t>
            </w:r>
          </w:p>
        </w:tc>
        <w:tc>
          <w:tcPr>
            <w:tcW w:w="1842" w:type="dxa"/>
          </w:tcPr>
          <w:p w14:paraId="36DEBFC5" w14:textId="28C255AC" w:rsidR="003B7027" w:rsidRPr="0028514E" w:rsidRDefault="00296A74" w:rsidP="006E5F9A">
            <w:pPr>
              <w:pStyle w:val="TableParagraph"/>
              <w:suppressAutoHyphens/>
              <w:jc w:val="center"/>
              <w:rPr>
                <w:b/>
              </w:rPr>
            </w:pPr>
            <w:r w:rsidRPr="0028514E">
              <w:rPr>
                <w:b/>
              </w:rPr>
              <w:t>Lume + 52 viikon aikana asteittain lopetettava</w:t>
            </w:r>
            <w:r w:rsidR="00D35D59" w:rsidRPr="0028514E">
              <w:rPr>
                <w:b/>
              </w:rPr>
              <w:t xml:space="preserve"> </w:t>
            </w:r>
            <w:r w:rsidRPr="0028514E">
              <w:rPr>
                <w:b/>
              </w:rPr>
              <w:t>prednisonihoito</w:t>
            </w:r>
            <w:r w:rsidR="006E4E50">
              <w:rPr>
                <w:b/>
              </w:rPr>
              <w:br/>
            </w:r>
            <w:r w:rsidRPr="0028514E">
              <w:rPr>
                <w:b/>
              </w:rPr>
              <w:t>N = 51</w:t>
            </w:r>
          </w:p>
        </w:tc>
        <w:tc>
          <w:tcPr>
            <w:tcW w:w="1701" w:type="dxa"/>
          </w:tcPr>
          <w:p w14:paraId="48B08D6C" w14:textId="6026245E" w:rsidR="003B7027" w:rsidRPr="0028514E" w:rsidRDefault="00E415D5" w:rsidP="006E4E50">
            <w:pPr>
              <w:pStyle w:val="TableParagraph"/>
              <w:suppressAutoHyphens/>
              <w:jc w:val="center"/>
              <w:rPr>
                <w:b/>
              </w:rPr>
            </w:pPr>
            <w:r>
              <w:rPr>
                <w:b/>
              </w:rPr>
              <w:t>Tosilitsumabi</w:t>
            </w:r>
            <w:r w:rsidRPr="0028514E">
              <w:rPr>
                <w:b/>
              </w:rPr>
              <w:t xml:space="preserve"> </w:t>
            </w:r>
            <w:r w:rsidR="00296A74" w:rsidRPr="0028514E">
              <w:rPr>
                <w:b/>
              </w:rPr>
              <w:t>162 mg</w:t>
            </w:r>
            <w:r w:rsidR="00D35D59" w:rsidRPr="0028514E">
              <w:rPr>
                <w:b/>
              </w:rPr>
              <w:t xml:space="preserve"> </w:t>
            </w:r>
            <w:r w:rsidR="00296A74" w:rsidRPr="0028514E">
              <w:rPr>
                <w:b/>
              </w:rPr>
              <w:t>s.c. kerran viikossa</w:t>
            </w:r>
            <w:r w:rsidR="006E4E50">
              <w:rPr>
                <w:b/>
              </w:rPr>
              <w:br/>
            </w:r>
            <w:r w:rsidR="00296A74" w:rsidRPr="0028514E">
              <w:rPr>
                <w:b/>
              </w:rPr>
              <w:t>+ 26 viikon aikana asteittain lopetettava prednisonihoito</w:t>
            </w:r>
          </w:p>
          <w:p w14:paraId="382E55B5" w14:textId="77777777" w:rsidR="003B7027" w:rsidRPr="0028514E" w:rsidRDefault="00296A74" w:rsidP="006E5F9A">
            <w:pPr>
              <w:pStyle w:val="TableParagraph"/>
              <w:suppressAutoHyphens/>
              <w:jc w:val="center"/>
              <w:rPr>
                <w:b/>
              </w:rPr>
            </w:pPr>
            <w:r w:rsidRPr="0028514E">
              <w:rPr>
                <w:b/>
              </w:rPr>
              <w:t>N = 100</w:t>
            </w:r>
          </w:p>
        </w:tc>
        <w:tc>
          <w:tcPr>
            <w:tcW w:w="1701" w:type="dxa"/>
          </w:tcPr>
          <w:p w14:paraId="649AC2B0" w14:textId="324E1812" w:rsidR="003B7027" w:rsidRPr="0028514E" w:rsidRDefault="00E415D5" w:rsidP="006E5F9A">
            <w:pPr>
              <w:pStyle w:val="TableParagraph"/>
              <w:suppressAutoHyphens/>
              <w:jc w:val="center"/>
              <w:rPr>
                <w:b/>
              </w:rPr>
            </w:pPr>
            <w:r>
              <w:rPr>
                <w:b/>
              </w:rPr>
              <w:t>Tosilitsumabi</w:t>
            </w:r>
            <w:r w:rsidRPr="0028514E">
              <w:rPr>
                <w:b/>
              </w:rPr>
              <w:t xml:space="preserve"> </w:t>
            </w:r>
            <w:r w:rsidR="00296A74" w:rsidRPr="0028514E">
              <w:rPr>
                <w:b/>
              </w:rPr>
              <w:t xml:space="preserve">162 mg s.c. joka toinen viikko </w:t>
            </w:r>
            <w:r w:rsidR="006E4E50">
              <w:rPr>
                <w:b/>
              </w:rPr>
              <w:br/>
            </w:r>
            <w:r w:rsidR="00296A74" w:rsidRPr="0028514E">
              <w:rPr>
                <w:b/>
              </w:rPr>
              <w:t>+ 26 viikon aikana</w:t>
            </w:r>
            <w:r w:rsidR="00D35D59" w:rsidRPr="0028514E">
              <w:rPr>
                <w:b/>
              </w:rPr>
              <w:t xml:space="preserve"> </w:t>
            </w:r>
            <w:r w:rsidR="00296A74" w:rsidRPr="0028514E">
              <w:rPr>
                <w:b/>
              </w:rPr>
              <w:t>asteittain lopetettava prednisonihoito</w:t>
            </w:r>
          </w:p>
          <w:p w14:paraId="202BD426" w14:textId="77777777" w:rsidR="003B7027" w:rsidRPr="0028514E" w:rsidRDefault="00296A74" w:rsidP="006E5F9A">
            <w:pPr>
              <w:pStyle w:val="TableParagraph"/>
              <w:suppressAutoHyphens/>
              <w:jc w:val="center"/>
              <w:rPr>
                <w:b/>
              </w:rPr>
            </w:pPr>
            <w:r w:rsidRPr="0028514E">
              <w:rPr>
                <w:b/>
              </w:rPr>
              <w:t>N = 49</w:t>
            </w:r>
          </w:p>
        </w:tc>
      </w:tr>
      <w:tr w:rsidR="0059109D" w:rsidRPr="00777B93" w14:paraId="2D478E15" w14:textId="77777777" w:rsidTr="006E4E50">
        <w:trPr>
          <w:cantSplit/>
        </w:trPr>
        <w:tc>
          <w:tcPr>
            <w:tcW w:w="9067" w:type="dxa"/>
            <w:gridSpan w:val="5"/>
          </w:tcPr>
          <w:p w14:paraId="772A4FE2" w14:textId="77777777" w:rsidR="0059109D" w:rsidRPr="0059109D" w:rsidRDefault="0059109D" w:rsidP="006E5F9A">
            <w:pPr>
              <w:pStyle w:val="TableParagraph"/>
              <w:suppressAutoHyphens/>
              <w:rPr>
                <w:b/>
                <w:bCs/>
              </w:rPr>
            </w:pPr>
            <w:r w:rsidRPr="0059109D">
              <w:rPr>
                <w:b/>
                <w:bCs/>
              </w:rPr>
              <w:t>Kesto (vrk)</w:t>
            </w:r>
          </w:p>
        </w:tc>
      </w:tr>
      <w:tr w:rsidR="003B7027" w:rsidRPr="00777B93" w14:paraId="36E95239" w14:textId="77777777" w:rsidTr="006E4E50">
        <w:trPr>
          <w:cantSplit/>
        </w:trPr>
        <w:tc>
          <w:tcPr>
            <w:tcW w:w="1980" w:type="dxa"/>
          </w:tcPr>
          <w:p w14:paraId="2D229492" w14:textId="77777777" w:rsidR="003B7027" w:rsidRPr="0028514E" w:rsidRDefault="00296A74" w:rsidP="006E5F9A">
            <w:pPr>
              <w:pStyle w:val="TableParagraph"/>
              <w:suppressAutoHyphens/>
              <w:jc w:val="center"/>
            </w:pPr>
            <w:r w:rsidRPr="0028514E">
              <w:t>Keskiarvo (keskihajonta)</w:t>
            </w:r>
          </w:p>
        </w:tc>
        <w:tc>
          <w:tcPr>
            <w:tcW w:w="1843" w:type="dxa"/>
          </w:tcPr>
          <w:p w14:paraId="22AA6FD2" w14:textId="77777777" w:rsidR="003B7027" w:rsidRPr="0028514E" w:rsidRDefault="00296A74" w:rsidP="006E5F9A">
            <w:pPr>
              <w:pStyle w:val="TableParagraph"/>
              <w:suppressAutoHyphens/>
              <w:jc w:val="center"/>
            </w:pPr>
            <w:r w:rsidRPr="0028514E">
              <w:t>35,7 (11.5)</w:t>
            </w:r>
          </w:p>
        </w:tc>
        <w:tc>
          <w:tcPr>
            <w:tcW w:w="1842" w:type="dxa"/>
          </w:tcPr>
          <w:p w14:paraId="7F908967" w14:textId="77777777" w:rsidR="003B7027" w:rsidRPr="0028514E" w:rsidRDefault="00296A74" w:rsidP="006E5F9A">
            <w:pPr>
              <w:pStyle w:val="TableParagraph"/>
              <w:suppressAutoHyphens/>
              <w:jc w:val="center"/>
            </w:pPr>
            <w:r w:rsidRPr="0028514E">
              <w:t>36,3 (12.5)</w:t>
            </w:r>
          </w:p>
        </w:tc>
        <w:tc>
          <w:tcPr>
            <w:tcW w:w="1701" w:type="dxa"/>
          </w:tcPr>
          <w:p w14:paraId="66F42482" w14:textId="77777777" w:rsidR="003B7027" w:rsidRPr="0028514E" w:rsidRDefault="00296A74" w:rsidP="006E5F9A">
            <w:pPr>
              <w:pStyle w:val="TableParagraph"/>
              <w:suppressAutoHyphens/>
              <w:jc w:val="center"/>
            </w:pPr>
            <w:r w:rsidRPr="0028514E">
              <w:t>35,6 (13,2)</w:t>
            </w:r>
          </w:p>
        </w:tc>
        <w:tc>
          <w:tcPr>
            <w:tcW w:w="1701" w:type="dxa"/>
          </w:tcPr>
          <w:p w14:paraId="3F29853D" w14:textId="77777777" w:rsidR="003B7027" w:rsidRPr="0028514E" w:rsidRDefault="00296A74" w:rsidP="006E5F9A">
            <w:pPr>
              <w:pStyle w:val="TableParagraph"/>
              <w:suppressAutoHyphens/>
              <w:jc w:val="center"/>
            </w:pPr>
            <w:r w:rsidRPr="0028514E">
              <w:t>37,4 (14,4)</w:t>
            </w:r>
          </w:p>
        </w:tc>
      </w:tr>
      <w:tr w:rsidR="003B7027" w:rsidRPr="00777B93" w14:paraId="504805E3" w14:textId="77777777" w:rsidTr="006E4E50">
        <w:trPr>
          <w:cantSplit/>
        </w:trPr>
        <w:tc>
          <w:tcPr>
            <w:tcW w:w="1980" w:type="dxa"/>
          </w:tcPr>
          <w:p w14:paraId="30041F1D" w14:textId="77777777" w:rsidR="003B7027" w:rsidRPr="0028514E" w:rsidRDefault="00296A74" w:rsidP="006E5F9A">
            <w:pPr>
              <w:pStyle w:val="TableParagraph"/>
              <w:suppressAutoHyphens/>
              <w:jc w:val="center"/>
            </w:pPr>
            <w:r w:rsidRPr="0028514E">
              <w:t>Mediaani</w:t>
            </w:r>
          </w:p>
        </w:tc>
        <w:tc>
          <w:tcPr>
            <w:tcW w:w="1843" w:type="dxa"/>
          </w:tcPr>
          <w:p w14:paraId="292A5D2D" w14:textId="77777777" w:rsidR="003B7027" w:rsidRPr="0028514E" w:rsidRDefault="00296A74" w:rsidP="006E5F9A">
            <w:pPr>
              <w:pStyle w:val="TableParagraph"/>
              <w:suppressAutoHyphens/>
              <w:jc w:val="center"/>
            </w:pPr>
            <w:r w:rsidRPr="0028514E">
              <w:t>42,0</w:t>
            </w:r>
          </w:p>
        </w:tc>
        <w:tc>
          <w:tcPr>
            <w:tcW w:w="1842" w:type="dxa"/>
          </w:tcPr>
          <w:p w14:paraId="59453F51" w14:textId="77777777" w:rsidR="003B7027" w:rsidRPr="0028514E" w:rsidRDefault="00296A74" w:rsidP="006E5F9A">
            <w:pPr>
              <w:pStyle w:val="TableParagraph"/>
              <w:suppressAutoHyphens/>
              <w:jc w:val="center"/>
            </w:pPr>
            <w:r w:rsidRPr="0028514E">
              <w:t>41,0</w:t>
            </w:r>
          </w:p>
        </w:tc>
        <w:tc>
          <w:tcPr>
            <w:tcW w:w="1701" w:type="dxa"/>
          </w:tcPr>
          <w:p w14:paraId="509AFA90" w14:textId="77777777" w:rsidR="003B7027" w:rsidRPr="0028514E" w:rsidRDefault="00296A74" w:rsidP="006E5F9A">
            <w:pPr>
              <w:pStyle w:val="TableParagraph"/>
              <w:suppressAutoHyphens/>
              <w:jc w:val="center"/>
            </w:pPr>
            <w:r w:rsidRPr="0028514E">
              <w:t>41,0</w:t>
            </w:r>
          </w:p>
        </w:tc>
        <w:tc>
          <w:tcPr>
            <w:tcW w:w="1701" w:type="dxa"/>
          </w:tcPr>
          <w:p w14:paraId="648B54FB" w14:textId="77777777" w:rsidR="003B7027" w:rsidRPr="0028514E" w:rsidRDefault="00296A74" w:rsidP="006E5F9A">
            <w:pPr>
              <w:pStyle w:val="TableParagraph"/>
              <w:suppressAutoHyphens/>
              <w:jc w:val="center"/>
            </w:pPr>
            <w:r w:rsidRPr="0028514E">
              <w:t>42,0</w:t>
            </w:r>
          </w:p>
        </w:tc>
      </w:tr>
      <w:tr w:rsidR="003B7027" w:rsidRPr="00777B93" w14:paraId="6E46E2A1" w14:textId="77777777" w:rsidTr="006E4E50">
        <w:trPr>
          <w:cantSplit/>
        </w:trPr>
        <w:tc>
          <w:tcPr>
            <w:tcW w:w="1980" w:type="dxa"/>
          </w:tcPr>
          <w:p w14:paraId="7616B419" w14:textId="77777777" w:rsidR="003B7027" w:rsidRPr="0028514E" w:rsidRDefault="00296A74" w:rsidP="006E5F9A">
            <w:pPr>
              <w:pStyle w:val="TableParagraph"/>
              <w:suppressAutoHyphens/>
              <w:jc w:val="center"/>
            </w:pPr>
            <w:r w:rsidRPr="0028514E">
              <w:t>Min - Max</w:t>
            </w:r>
          </w:p>
        </w:tc>
        <w:tc>
          <w:tcPr>
            <w:tcW w:w="1843" w:type="dxa"/>
          </w:tcPr>
          <w:p w14:paraId="60080CBB" w14:textId="77777777" w:rsidR="003B7027" w:rsidRPr="0028514E" w:rsidRDefault="00296A74" w:rsidP="006E5F9A">
            <w:pPr>
              <w:pStyle w:val="TableParagraph"/>
              <w:suppressAutoHyphens/>
              <w:jc w:val="center"/>
            </w:pPr>
            <w:r w:rsidRPr="0028514E">
              <w:t>6–63</w:t>
            </w:r>
          </w:p>
        </w:tc>
        <w:tc>
          <w:tcPr>
            <w:tcW w:w="1842" w:type="dxa"/>
          </w:tcPr>
          <w:p w14:paraId="2FDD4045" w14:textId="77777777" w:rsidR="003B7027" w:rsidRPr="0028514E" w:rsidRDefault="00296A74" w:rsidP="006E5F9A">
            <w:pPr>
              <w:pStyle w:val="TableParagraph"/>
              <w:suppressAutoHyphens/>
              <w:jc w:val="center"/>
            </w:pPr>
            <w:r w:rsidRPr="0028514E">
              <w:t>12–82</w:t>
            </w:r>
          </w:p>
        </w:tc>
        <w:tc>
          <w:tcPr>
            <w:tcW w:w="1701" w:type="dxa"/>
          </w:tcPr>
          <w:p w14:paraId="55F764D7" w14:textId="77777777" w:rsidR="003B7027" w:rsidRPr="0028514E" w:rsidRDefault="00296A74" w:rsidP="006E5F9A">
            <w:pPr>
              <w:pStyle w:val="TableParagraph"/>
              <w:suppressAutoHyphens/>
              <w:jc w:val="center"/>
            </w:pPr>
            <w:r w:rsidRPr="0028514E">
              <w:t>1–87</w:t>
            </w:r>
          </w:p>
        </w:tc>
        <w:tc>
          <w:tcPr>
            <w:tcW w:w="1701" w:type="dxa"/>
          </w:tcPr>
          <w:p w14:paraId="0EE47AC7" w14:textId="77777777" w:rsidR="003B7027" w:rsidRPr="0028514E" w:rsidRDefault="00296A74" w:rsidP="006E5F9A">
            <w:pPr>
              <w:pStyle w:val="TableParagraph"/>
              <w:suppressAutoHyphens/>
              <w:jc w:val="center"/>
            </w:pPr>
            <w:r w:rsidRPr="0028514E">
              <w:t>9–87</w:t>
            </w:r>
          </w:p>
        </w:tc>
      </w:tr>
    </w:tbl>
    <w:p w14:paraId="30713F7D" w14:textId="77777777" w:rsidR="00D35D59" w:rsidRPr="0028514E" w:rsidRDefault="00D35D59" w:rsidP="006E5F9A">
      <w:pPr>
        <w:pStyle w:val="a4"/>
        <w:ind w:left="0"/>
      </w:pPr>
    </w:p>
    <w:p w14:paraId="039D61C6" w14:textId="78FE2FEB" w:rsidR="003B7027" w:rsidRPr="0028514E" w:rsidRDefault="00296A74" w:rsidP="006E5F9A">
      <w:pPr>
        <w:pStyle w:val="a4"/>
        <w:ind w:left="0"/>
      </w:pPr>
      <w:r w:rsidRPr="0028514E">
        <w:t xml:space="preserve">Tehon ensisijainen päätetapahtuma oli niiden potilaiden osuus, jotka saavuttivat pitkäkestoisen remission ilman steroidihoitoa viikolla 52, kun </w:t>
      </w:r>
      <w:r w:rsidR="00E415D5">
        <w:t>tosilitsumabi</w:t>
      </w:r>
      <w:r w:rsidRPr="0028514E">
        <w:t>hoidon ja 26 viikon aikana asteittain lopetettavan prednisonihoidon yhdistelmää verrattiin lumevalmisteen ja 26 viikon aikana asteittain lopetettavan prednisonihoidon yhdistelmään. Tutkimuksen ensisijainen päätetapahtuma saavutettiin (taulukko 4).</w:t>
      </w:r>
    </w:p>
    <w:p w14:paraId="47BCA7B8" w14:textId="77777777" w:rsidR="003B7027" w:rsidRPr="0028514E" w:rsidRDefault="003B7027" w:rsidP="006E5F9A">
      <w:pPr>
        <w:pStyle w:val="a4"/>
        <w:ind w:left="0"/>
      </w:pPr>
    </w:p>
    <w:p w14:paraId="2B7B1FED" w14:textId="77777777" w:rsidR="003B7027" w:rsidRPr="0028514E" w:rsidRDefault="00296A74" w:rsidP="006E5F9A">
      <w:pPr>
        <w:pStyle w:val="a4"/>
        <w:ind w:left="0"/>
      </w:pPr>
      <w:r w:rsidRPr="0028514E">
        <w:t>Tehon toissijaisena päätetapahtumana oli niiden potilaiden osuus, jotka saavuttivat pitkäkestoisen remission viikolla 52, kun tosilitsumabi-hoidon ja 26 viikon aikana asteittain lopetettavan prednisonihoidon yhdistelmää verrattiin lumevalmisteen ja 52 viikon aikana asteittain lopetettavan prednisonihoidon yhdistelmään. Myös tutkimuksen toissijainen päätetapahtuma saavutettiin (taulukko 4).</w:t>
      </w:r>
    </w:p>
    <w:p w14:paraId="2D849806" w14:textId="77777777" w:rsidR="003B7027" w:rsidRPr="0028514E" w:rsidRDefault="003B7027" w:rsidP="006E5F9A">
      <w:pPr>
        <w:pStyle w:val="a4"/>
        <w:ind w:left="0"/>
      </w:pPr>
    </w:p>
    <w:p w14:paraId="52C8D840" w14:textId="5E3BEDF5" w:rsidR="003B7027" w:rsidRPr="0028514E" w:rsidRDefault="00296A74" w:rsidP="006E5F9A">
      <w:pPr>
        <w:pStyle w:val="a4"/>
        <w:ind w:left="0"/>
      </w:pPr>
      <w:r w:rsidRPr="0028514E">
        <w:t xml:space="preserve">Hoidon tehoa tarkasteltaessa havaittiin, että </w:t>
      </w:r>
      <w:r w:rsidR="00E415D5">
        <w:t xml:space="preserve">tosilitsumabi </w:t>
      </w:r>
      <w:r w:rsidRPr="0028514E">
        <w:t xml:space="preserve">oli tilastollisesti merkitsevästi lumevalmistetta parempi remission saavuttamisessa ilman steroidihoitoa viikolla 52, kun </w:t>
      </w:r>
      <w:r w:rsidR="00E415D5">
        <w:t xml:space="preserve">tosilitsumabin </w:t>
      </w:r>
      <w:r w:rsidRPr="0028514E">
        <w:t>ja 26 viikon aikana asteittain lopetettavan prednisonihoidon yhdistelmää verrattiin lumevalmisteen ja 26 viikon aikana asteittain lopetettavan prednisonihoidon yhdistelmään sekä lumelääkkeen ja 52 viikon aikana asteittain lopetettavan prednisonihoidon yhdistelmään.</w:t>
      </w:r>
    </w:p>
    <w:p w14:paraId="7E1CE052" w14:textId="77777777" w:rsidR="003B7027" w:rsidRPr="0028514E" w:rsidRDefault="003B7027" w:rsidP="006E5F9A">
      <w:pPr>
        <w:pStyle w:val="a4"/>
        <w:ind w:left="0"/>
      </w:pPr>
    </w:p>
    <w:p w14:paraId="34D69829" w14:textId="77777777" w:rsidR="003B7027" w:rsidRPr="0028514E" w:rsidRDefault="00296A74" w:rsidP="006E5F9A">
      <w:pPr>
        <w:pStyle w:val="a4"/>
        <w:ind w:left="0"/>
      </w:pPr>
      <w:r w:rsidRPr="0028514E">
        <w:t>Pitkäkestoisen remission viikolla 52 saavuttaneiden potilaiden prosenttiosuudet esitetään taulukossa 4.</w:t>
      </w:r>
    </w:p>
    <w:p w14:paraId="279825CD" w14:textId="77777777" w:rsidR="003B7027" w:rsidRPr="0028514E" w:rsidRDefault="003B7027" w:rsidP="006E5F9A">
      <w:pPr>
        <w:pStyle w:val="a4"/>
        <w:ind w:left="0"/>
      </w:pPr>
    </w:p>
    <w:p w14:paraId="12EEF933" w14:textId="77777777" w:rsidR="003B7027" w:rsidRPr="00CA43F5" w:rsidRDefault="00296A74" w:rsidP="006E5F9A">
      <w:pPr>
        <w:rPr>
          <w:i/>
          <w:lang w:val="fi-FI"/>
        </w:rPr>
      </w:pPr>
      <w:r w:rsidRPr="00CA43F5">
        <w:rPr>
          <w:i/>
          <w:lang w:val="fi-FI"/>
        </w:rPr>
        <w:t>Toissijaiset päätetapahtumat</w:t>
      </w:r>
    </w:p>
    <w:p w14:paraId="0A7E5F73" w14:textId="0425758E" w:rsidR="003B7027" w:rsidRPr="0028514E" w:rsidRDefault="00296A74" w:rsidP="001941FD">
      <w:pPr>
        <w:pStyle w:val="a4"/>
        <w:ind w:left="0"/>
      </w:pPr>
      <w:r w:rsidRPr="0028514E">
        <w:t xml:space="preserve">Arvioitaessa aikaa jättisoluarteriitin ensimmäiseen pahenemisvaiheeseen havaittiin, että pahenemisvaiheen riski oli merkittävästi pienempi </w:t>
      </w:r>
      <w:r w:rsidR="00E415D5">
        <w:t xml:space="preserve">tosilitsumabia </w:t>
      </w:r>
      <w:r w:rsidRPr="0028514E">
        <w:t xml:space="preserve">ihon alle viikoittain saaneessa ryhmässä verrattuna lumevalmisteen ja 26 viikon aikana asteittain lopetettavan prednisonihoidon yhdistelmään sekä lumevalmisteen ja 52 viikon aikana asteittain lopetettavan prednisonihoidon yhdistelmään. Riski oli samoin pienempi </w:t>
      </w:r>
      <w:r w:rsidR="00E415D5">
        <w:t xml:space="preserve">tosilitsumabia </w:t>
      </w:r>
      <w:r w:rsidRPr="0028514E">
        <w:t xml:space="preserve">ihon alle joka toinen viikko saaneessa ryhmässä verrattuna lumevalmisteen ja 26 viikon aikana asteittain lopetettavan prednisonihoidon yhdistelmää saaneeseen ryhmään (merkitsevyystasolla 0,01 verrattuna). </w:t>
      </w:r>
      <w:r w:rsidR="00E415D5">
        <w:t>tosilitsumabi</w:t>
      </w:r>
      <w:r w:rsidRPr="0028514E">
        <w:t>annos ihon alle viikoittain</w:t>
      </w:r>
      <w:r w:rsidR="001941FD">
        <w:t xml:space="preserve"> </w:t>
      </w:r>
      <w:r w:rsidRPr="0028514E">
        <w:t>pienensi pahenemisvaiheen riskiä kliinisesti merkittävästi verrattuna lumevalmisteen ja 26 viikon aikana asteittain lopetettavan prednisonihoidon yhdistelmään myös potilailla, joilla oli tutkimukseen tullessaan relapsoitunut jättisoluarteriitti, samoin kuin potilailla, joilla sairaus oli äskettäin diagnosoitu (taulukko 4).</w:t>
      </w:r>
    </w:p>
    <w:p w14:paraId="2D2080F1" w14:textId="77777777" w:rsidR="003B7027" w:rsidRPr="0028514E" w:rsidRDefault="003B7027" w:rsidP="006E5F9A">
      <w:pPr>
        <w:pStyle w:val="a4"/>
        <w:ind w:left="0"/>
      </w:pPr>
    </w:p>
    <w:p w14:paraId="52FF5FF0" w14:textId="77777777" w:rsidR="003B7027" w:rsidRPr="00CA43F5" w:rsidRDefault="00296A74" w:rsidP="006E5F9A">
      <w:pPr>
        <w:rPr>
          <w:i/>
          <w:lang w:val="fi-FI"/>
        </w:rPr>
      </w:pPr>
      <w:r w:rsidRPr="00CA43F5">
        <w:rPr>
          <w:i/>
          <w:lang w:val="fi-FI"/>
        </w:rPr>
        <w:t>Kumulatiivinen glukokortikoidiannos</w:t>
      </w:r>
    </w:p>
    <w:p w14:paraId="2A10517B" w14:textId="14624EC7" w:rsidR="003B7027" w:rsidRPr="0028514E" w:rsidRDefault="00296A74" w:rsidP="006E5F9A">
      <w:pPr>
        <w:pStyle w:val="a4"/>
        <w:ind w:left="0"/>
      </w:pPr>
      <w:r w:rsidRPr="0028514E">
        <w:t xml:space="preserve">Kumulatiivinen prednisoniannos oli viikolla 52 huomattavasti pienempi kahdessa </w:t>
      </w:r>
      <w:r w:rsidR="00E415D5">
        <w:t xml:space="preserve">tosilitsumabia </w:t>
      </w:r>
      <w:r w:rsidRPr="0028514E">
        <w:t xml:space="preserve">saaneessa ryhmässä verrattuna kahteen lumeryhmään (taulukko 3). Erillisessä analyysissä potilaista, jotka saivat jättisoluarteriitin äkillisen pahenemisvaiheen hoitoon prednisonia ensimmäisten 52 viikon aikana, kumulatiivinen prednisoniannos vaihteli huomattavasti. Pahenemisvaiheeseen hoitoa saaneiden potilaiden annosten mediaani oli </w:t>
      </w:r>
      <w:r w:rsidR="00E415D5">
        <w:t xml:space="preserve">tosilitsumabia </w:t>
      </w:r>
      <w:r w:rsidRPr="0028514E">
        <w:t xml:space="preserve">viikoittain saaneilla potilailla 3129,75 mg ja </w:t>
      </w:r>
      <w:r w:rsidR="006443E2">
        <w:t>tosilitsumabia</w:t>
      </w:r>
      <w:r w:rsidR="006443E2" w:rsidRPr="0028514E">
        <w:t xml:space="preserve"> </w:t>
      </w:r>
      <w:r w:rsidRPr="0028514E">
        <w:t>joka toinen viikko saaneilla potilailla 3847 mg. Kumpikin on huomattavasti pienempi kuin lumevalmistetta ja 26 viikon aikana asteittain lopetettavaa prednisonihoitoa saaneessa ryhmässä (4023,5 mg) tai lumevalmistetta ja 52 viikon aikana asteittain lopetettavaa prednisonihoitoa saaneessa ryhmässä (5389,5 mg).</w:t>
      </w:r>
    </w:p>
    <w:p w14:paraId="4F12A69C" w14:textId="77777777" w:rsidR="003B7027" w:rsidRPr="0028514E" w:rsidRDefault="003B7027" w:rsidP="006E5F9A">
      <w:pPr>
        <w:pStyle w:val="a4"/>
        <w:ind w:left="0"/>
      </w:pPr>
    </w:p>
    <w:p w14:paraId="198EA117" w14:textId="77777777" w:rsidR="003B7027" w:rsidRPr="00CA43F5" w:rsidRDefault="00296A74" w:rsidP="00A14525">
      <w:pPr>
        <w:pStyle w:val="Tabletitle"/>
        <w:rPr>
          <w:lang w:val="fi-FI"/>
        </w:rPr>
      </w:pPr>
      <w:r w:rsidRPr="00CA43F5">
        <w:rPr>
          <w:lang w:val="fi-FI"/>
        </w:rPr>
        <w:t>Taulukko 4.</w:t>
      </w:r>
      <w:r w:rsidR="00D35D59" w:rsidRPr="00CA43F5">
        <w:rPr>
          <w:lang w:val="fi-FI"/>
        </w:rPr>
        <w:tab/>
      </w:r>
      <w:r w:rsidRPr="00CA43F5">
        <w:rPr>
          <w:lang w:val="fi-FI"/>
        </w:rPr>
        <w:t>Tutkimuksen WA28119 tehoa koskevat tulokset</w:t>
      </w:r>
    </w:p>
    <w:p w14:paraId="0FC6B0D9" w14:textId="77777777" w:rsidR="00D35D59" w:rsidRPr="00CA43F5" w:rsidRDefault="00D35D59" w:rsidP="00A14525">
      <w:pPr>
        <w:rPr>
          <w:lang w:val="fi-FI"/>
        </w:rPr>
      </w:pPr>
    </w:p>
    <w:tbl>
      <w:tblPr>
        <w:tblW w:w="94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5" w:type="dxa"/>
          <w:bottom w:w="29" w:type="dxa"/>
          <w:right w:w="85" w:type="dxa"/>
        </w:tblCellMar>
        <w:tblLook w:val="01E0" w:firstRow="1" w:lastRow="1" w:firstColumn="1" w:lastColumn="1" w:noHBand="0" w:noVBand="0"/>
      </w:tblPr>
      <w:tblGrid>
        <w:gridCol w:w="2830"/>
        <w:gridCol w:w="1560"/>
        <w:gridCol w:w="1701"/>
        <w:gridCol w:w="1701"/>
        <w:gridCol w:w="1640"/>
      </w:tblGrid>
      <w:tr w:rsidR="00D35D59" w:rsidRPr="00ED6BAC" w14:paraId="29FB73D2" w14:textId="77777777" w:rsidTr="006E4E50">
        <w:trPr>
          <w:cantSplit/>
          <w:tblHeader/>
        </w:trPr>
        <w:tc>
          <w:tcPr>
            <w:tcW w:w="2830" w:type="dxa"/>
          </w:tcPr>
          <w:p w14:paraId="547B1EDE" w14:textId="77777777" w:rsidR="00D35D59" w:rsidRPr="004E6B53" w:rsidRDefault="00D35D59" w:rsidP="006E5F9A">
            <w:pPr>
              <w:pStyle w:val="TableParagraph"/>
              <w:suppressAutoHyphens/>
              <w:jc w:val="center"/>
              <w:rPr>
                <w:b/>
                <w:sz w:val="20"/>
                <w:szCs w:val="20"/>
              </w:rPr>
            </w:pPr>
          </w:p>
        </w:tc>
        <w:tc>
          <w:tcPr>
            <w:tcW w:w="1560" w:type="dxa"/>
          </w:tcPr>
          <w:p w14:paraId="125C00AB" w14:textId="77777777" w:rsidR="00D35D59" w:rsidRPr="004E6B53" w:rsidRDefault="00D35D59" w:rsidP="006E5F9A">
            <w:pPr>
              <w:pStyle w:val="TableParagraph"/>
              <w:suppressAutoHyphens/>
              <w:jc w:val="center"/>
              <w:rPr>
                <w:b/>
                <w:sz w:val="20"/>
                <w:szCs w:val="20"/>
              </w:rPr>
            </w:pPr>
            <w:r w:rsidRPr="004E6B53">
              <w:rPr>
                <w:b/>
                <w:sz w:val="20"/>
                <w:szCs w:val="20"/>
              </w:rPr>
              <w:t>Lumevalmiste + 26 viikon aikana asteittain lopetettava prednisonihoito</w:t>
            </w:r>
          </w:p>
          <w:p w14:paraId="6E9267AD" w14:textId="77777777" w:rsidR="00D35D59" w:rsidRPr="004E6B53" w:rsidRDefault="00D35D59" w:rsidP="006E5F9A">
            <w:pPr>
              <w:pStyle w:val="TableParagraph"/>
              <w:suppressAutoHyphens/>
              <w:jc w:val="center"/>
              <w:rPr>
                <w:b/>
                <w:sz w:val="20"/>
                <w:szCs w:val="20"/>
              </w:rPr>
            </w:pPr>
            <w:r w:rsidRPr="004E6B53">
              <w:rPr>
                <w:b/>
                <w:sz w:val="20"/>
                <w:szCs w:val="20"/>
              </w:rPr>
              <w:t>N = 50</w:t>
            </w:r>
          </w:p>
        </w:tc>
        <w:tc>
          <w:tcPr>
            <w:tcW w:w="1701" w:type="dxa"/>
          </w:tcPr>
          <w:p w14:paraId="01A04399" w14:textId="77777777" w:rsidR="00D35D59" w:rsidRPr="004E6B53" w:rsidRDefault="00D35D59" w:rsidP="006E5F9A">
            <w:pPr>
              <w:pStyle w:val="TableParagraph"/>
              <w:suppressAutoHyphens/>
              <w:jc w:val="center"/>
              <w:rPr>
                <w:b/>
                <w:sz w:val="20"/>
                <w:szCs w:val="20"/>
              </w:rPr>
            </w:pPr>
            <w:r w:rsidRPr="004E6B53">
              <w:rPr>
                <w:b/>
                <w:sz w:val="20"/>
                <w:szCs w:val="20"/>
              </w:rPr>
              <w:t>Lumevalmiste + 52 viikon aikana asteittain lopetettava prednisonihoito N = 51</w:t>
            </w:r>
          </w:p>
        </w:tc>
        <w:tc>
          <w:tcPr>
            <w:tcW w:w="1701" w:type="dxa"/>
          </w:tcPr>
          <w:p w14:paraId="7C4DFFD9" w14:textId="1A74EF2E" w:rsidR="00D35D59" w:rsidRPr="004E6B53" w:rsidRDefault="00E415D5" w:rsidP="006E5F9A">
            <w:pPr>
              <w:pStyle w:val="TableParagraph"/>
              <w:suppressAutoHyphens/>
              <w:jc w:val="center"/>
              <w:rPr>
                <w:b/>
                <w:sz w:val="20"/>
                <w:szCs w:val="20"/>
              </w:rPr>
            </w:pPr>
            <w:r>
              <w:rPr>
                <w:b/>
                <w:sz w:val="20"/>
                <w:szCs w:val="20"/>
              </w:rPr>
              <w:t>Tosilitsumabi</w:t>
            </w:r>
            <w:r w:rsidRPr="004E6B53">
              <w:rPr>
                <w:b/>
                <w:sz w:val="20"/>
                <w:szCs w:val="20"/>
              </w:rPr>
              <w:t xml:space="preserve"> </w:t>
            </w:r>
            <w:r w:rsidR="00D440EB">
              <w:rPr>
                <w:b/>
                <w:sz w:val="20"/>
                <w:szCs w:val="20"/>
              </w:rPr>
              <w:br/>
            </w:r>
            <w:r w:rsidR="00D35D59" w:rsidRPr="004E6B53">
              <w:rPr>
                <w:b/>
                <w:sz w:val="20"/>
                <w:szCs w:val="20"/>
              </w:rPr>
              <w:t>162 mg ihon alle viikoittain + 26 viikon aikana asteittain lopetettava prednisonihoito N = 100</w:t>
            </w:r>
          </w:p>
        </w:tc>
        <w:tc>
          <w:tcPr>
            <w:tcW w:w="1640" w:type="dxa"/>
          </w:tcPr>
          <w:p w14:paraId="575D1BAC" w14:textId="130864BF" w:rsidR="00D35D59" w:rsidRPr="004E6B53" w:rsidRDefault="00E415D5" w:rsidP="006E5F9A">
            <w:pPr>
              <w:pStyle w:val="TableParagraph"/>
              <w:suppressAutoHyphens/>
              <w:jc w:val="center"/>
              <w:rPr>
                <w:b/>
                <w:sz w:val="20"/>
                <w:szCs w:val="20"/>
              </w:rPr>
            </w:pPr>
            <w:r>
              <w:rPr>
                <w:b/>
                <w:sz w:val="20"/>
                <w:szCs w:val="20"/>
              </w:rPr>
              <w:t>Tosilitsumabi</w:t>
            </w:r>
            <w:r w:rsidRPr="004E6B53">
              <w:rPr>
                <w:b/>
                <w:sz w:val="20"/>
                <w:szCs w:val="20"/>
              </w:rPr>
              <w:t xml:space="preserve"> </w:t>
            </w:r>
            <w:r w:rsidR="00D440EB">
              <w:rPr>
                <w:b/>
                <w:sz w:val="20"/>
                <w:szCs w:val="20"/>
              </w:rPr>
              <w:br/>
            </w:r>
            <w:r w:rsidR="00D35D59" w:rsidRPr="004E6B53">
              <w:rPr>
                <w:b/>
                <w:sz w:val="20"/>
                <w:szCs w:val="20"/>
              </w:rPr>
              <w:t>162 mg ihon alle joka toinen viikko + 26 viikon aikana asteittain lopetettava prednisonihoito N = 49</w:t>
            </w:r>
          </w:p>
        </w:tc>
      </w:tr>
      <w:tr w:rsidR="003B7027" w:rsidRPr="00777B93" w14:paraId="73DD0D7B" w14:textId="77777777" w:rsidTr="006E4E50">
        <w:trPr>
          <w:cantSplit/>
        </w:trPr>
        <w:tc>
          <w:tcPr>
            <w:tcW w:w="9432" w:type="dxa"/>
            <w:gridSpan w:val="5"/>
          </w:tcPr>
          <w:p w14:paraId="2E970D11" w14:textId="77777777" w:rsidR="003B7027" w:rsidRPr="004E6B53" w:rsidRDefault="00296A74" w:rsidP="006E5F9A">
            <w:pPr>
              <w:pStyle w:val="TableParagraph"/>
              <w:suppressAutoHyphens/>
              <w:rPr>
                <w:b/>
                <w:sz w:val="20"/>
                <w:szCs w:val="20"/>
              </w:rPr>
            </w:pPr>
            <w:r w:rsidRPr="004E6B53">
              <w:rPr>
                <w:b/>
                <w:sz w:val="20"/>
                <w:szCs w:val="20"/>
              </w:rPr>
              <w:t>Ensisijainen päätetapahtuma</w:t>
            </w:r>
          </w:p>
        </w:tc>
      </w:tr>
      <w:tr w:rsidR="003B7027" w:rsidRPr="00ED6BAC" w14:paraId="79F71099" w14:textId="77777777" w:rsidTr="006E4E50">
        <w:trPr>
          <w:cantSplit/>
        </w:trPr>
        <w:tc>
          <w:tcPr>
            <w:tcW w:w="9432" w:type="dxa"/>
            <w:gridSpan w:val="5"/>
          </w:tcPr>
          <w:p w14:paraId="025B0C64" w14:textId="77777777" w:rsidR="003B7027" w:rsidRPr="004E6B53" w:rsidRDefault="00296A74" w:rsidP="006E5F9A">
            <w:pPr>
              <w:pStyle w:val="TableParagraph"/>
              <w:suppressAutoHyphens/>
              <w:rPr>
                <w:sz w:val="20"/>
                <w:szCs w:val="20"/>
              </w:rPr>
            </w:pPr>
            <w:r w:rsidRPr="004E6B53">
              <w:rPr>
                <w:sz w:val="20"/>
                <w:szCs w:val="20"/>
              </w:rPr>
              <w:t>****Pitkäkestoinen remissio (tosilitsumabiryhmät vs lumevalmiste + 26)</w:t>
            </w:r>
          </w:p>
        </w:tc>
      </w:tr>
      <w:tr w:rsidR="003B7027" w:rsidRPr="00777B93" w14:paraId="574696C5" w14:textId="77777777" w:rsidTr="006E4E50">
        <w:trPr>
          <w:cantSplit/>
        </w:trPr>
        <w:tc>
          <w:tcPr>
            <w:tcW w:w="2830" w:type="dxa"/>
          </w:tcPr>
          <w:p w14:paraId="1644A73C" w14:textId="77777777" w:rsidR="003B7027" w:rsidRPr="004E6B53" w:rsidRDefault="00296A74" w:rsidP="006E4E50">
            <w:pPr>
              <w:pStyle w:val="TableParagraph"/>
              <w:suppressAutoHyphens/>
              <w:ind w:left="284"/>
              <w:rPr>
                <w:sz w:val="20"/>
                <w:szCs w:val="20"/>
              </w:rPr>
            </w:pPr>
            <w:r w:rsidRPr="004E6B53">
              <w:rPr>
                <w:sz w:val="20"/>
                <w:szCs w:val="20"/>
              </w:rPr>
              <w:t>Vasteen saaneita viikolla 52, n (%)</w:t>
            </w:r>
          </w:p>
        </w:tc>
        <w:tc>
          <w:tcPr>
            <w:tcW w:w="1560" w:type="dxa"/>
            <w:vAlign w:val="center"/>
          </w:tcPr>
          <w:p w14:paraId="62D077B2" w14:textId="77777777" w:rsidR="003B7027" w:rsidRPr="004E6B53" w:rsidRDefault="00296A74" w:rsidP="006E5F9A">
            <w:pPr>
              <w:pStyle w:val="TableParagraph"/>
              <w:suppressAutoHyphens/>
              <w:jc w:val="center"/>
              <w:rPr>
                <w:sz w:val="20"/>
                <w:szCs w:val="20"/>
              </w:rPr>
            </w:pPr>
            <w:r w:rsidRPr="004E6B53">
              <w:rPr>
                <w:sz w:val="20"/>
                <w:szCs w:val="20"/>
              </w:rPr>
              <w:t>7 (14 %)</w:t>
            </w:r>
          </w:p>
        </w:tc>
        <w:tc>
          <w:tcPr>
            <w:tcW w:w="1701" w:type="dxa"/>
            <w:vAlign w:val="center"/>
          </w:tcPr>
          <w:p w14:paraId="728CCBC4" w14:textId="77777777" w:rsidR="003B7027" w:rsidRPr="004E6B53" w:rsidRDefault="00296A74" w:rsidP="006E5F9A">
            <w:pPr>
              <w:pStyle w:val="TableParagraph"/>
              <w:suppressAutoHyphens/>
              <w:jc w:val="center"/>
              <w:rPr>
                <w:sz w:val="20"/>
                <w:szCs w:val="20"/>
              </w:rPr>
            </w:pPr>
            <w:r w:rsidRPr="004E6B53">
              <w:rPr>
                <w:sz w:val="20"/>
                <w:szCs w:val="20"/>
              </w:rPr>
              <w:t>9 (17,6 %)</w:t>
            </w:r>
          </w:p>
        </w:tc>
        <w:tc>
          <w:tcPr>
            <w:tcW w:w="1701" w:type="dxa"/>
            <w:vAlign w:val="center"/>
          </w:tcPr>
          <w:p w14:paraId="1E7211D2" w14:textId="77777777" w:rsidR="003B7027" w:rsidRPr="004E6B53" w:rsidRDefault="00296A74" w:rsidP="006E5F9A">
            <w:pPr>
              <w:pStyle w:val="TableParagraph"/>
              <w:suppressAutoHyphens/>
              <w:jc w:val="center"/>
              <w:rPr>
                <w:sz w:val="20"/>
                <w:szCs w:val="20"/>
              </w:rPr>
            </w:pPr>
            <w:r w:rsidRPr="004E6B53">
              <w:rPr>
                <w:sz w:val="20"/>
                <w:szCs w:val="20"/>
              </w:rPr>
              <w:t>56 (56 %)</w:t>
            </w:r>
          </w:p>
        </w:tc>
        <w:tc>
          <w:tcPr>
            <w:tcW w:w="1640" w:type="dxa"/>
            <w:vAlign w:val="center"/>
          </w:tcPr>
          <w:p w14:paraId="19226342" w14:textId="77777777" w:rsidR="003B7027" w:rsidRPr="004E6B53" w:rsidRDefault="00296A74" w:rsidP="006E5F9A">
            <w:pPr>
              <w:pStyle w:val="TableParagraph"/>
              <w:suppressAutoHyphens/>
              <w:jc w:val="center"/>
              <w:rPr>
                <w:sz w:val="20"/>
                <w:szCs w:val="20"/>
              </w:rPr>
            </w:pPr>
            <w:r w:rsidRPr="004E6B53">
              <w:rPr>
                <w:sz w:val="20"/>
                <w:szCs w:val="20"/>
              </w:rPr>
              <w:t>26 (53,1 %)</w:t>
            </w:r>
          </w:p>
        </w:tc>
      </w:tr>
      <w:tr w:rsidR="0059109D" w:rsidRPr="00777B93" w14:paraId="13B21AD4" w14:textId="77777777" w:rsidTr="006E4E50">
        <w:trPr>
          <w:cantSplit/>
          <w:trHeight w:val="482"/>
        </w:trPr>
        <w:tc>
          <w:tcPr>
            <w:tcW w:w="2830" w:type="dxa"/>
          </w:tcPr>
          <w:p w14:paraId="4A12DB75" w14:textId="77777777" w:rsidR="0059109D" w:rsidRPr="004E6B53" w:rsidRDefault="0059109D" w:rsidP="006E4E50">
            <w:pPr>
              <w:pStyle w:val="TableParagraph"/>
              <w:suppressAutoHyphens/>
              <w:ind w:left="284"/>
              <w:rPr>
                <w:sz w:val="20"/>
                <w:szCs w:val="20"/>
              </w:rPr>
            </w:pPr>
            <w:r w:rsidRPr="004E6B53">
              <w:rPr>
                <w:sz w:val="20"/>
                <w:szCs w:val="20"/>
              </w:rPr>
              <w:t>Osuuksien korjaamaton ero</w:t>
            </w:r>
          </w:p>
          <w:p w14:paraId="5079F3D1" w14:textId="77777777" w:rsidR="0059109D" w:rsidRPr="004E6B53" w:rsidRDefault="0059109D" w:rsidP="006E4E50">
            <w:pPr>
              <w:pStyle w:val="TableParagraph"/>
              <w:suppressAutoHyphens/>
              <w:ind w:left="284"/>
              <w:rPr>
                <w:sz w:val="20"/>
                <w:szCs w:val="20"/>
              </w:rPr>
            </w:pPr>
            <w:r w:rsidRPr="004E6B53">
              <w:rPr>
                <w:sz w:val="20"/>
                <w:szCs w:val="20"/>
              </w:rPr>
              <w:t>(99,5 %:n luottamusväli)</w:t>
            </w:r>
          </w:p>
        </w:tc>
        <w:tc>
          <w:tcPr>
            <w:tcW w:w="1560" w:type="dxa"/>
          </w:tcPr>
          <w:p w14:paraId="718B6A5F" w14:textId="77777777" w:rsidR="0059109D" w:rsidRPr="004E6B53" w:rsidRDefault="0059109D" w:rsidP="006E5F9A">
            <w:pPr>
              <w:pStyle w:val="TableParagraph"/>
              <w:suppressAutoHyphens/>
              <w:jc w:val="center"/>
              <w:rPr>
                <w:sz w:val="20"/>
                <w:szCs w:val="20"/>
              </w:rPr>
            </w:pPr>
            <w:r w:rsidRPr="004E6B53">
              <w:rPr>
                <w:sz w:val="20"/>
                <w:szCs w:val="20"/>
              </w:rPr>
              <w:t>N/A</w:t>
            </w:r>
          </w:p>
        </w:tc>
        <w:tc>
          <w:tcPr>
            <w:tcW w:w="1701" w:type="dxa"/>
          </w:tcPr>
          <w:p w14:paraId="0C7CA95D" w14:textId="77777777" w:rsidR="0059109D" w:rsidRPr="004E6B53" w:rsidRDefault="0059109D" w:rsidP="006E5F9A">
            <w:pPr>
              <w:pStyle w:val="TableParagraph"/>
              <w:suppressAutoHyphens/>
              <w:jc w:val="center"/>
              <w:rPr>
                <w:sz w:val="20"/>
                <w:szCs w:val="20"/>
              </w:rPr>
            </w:pPr>
            <w:r w:rsidRPr="004E6B53">
              <w:rPr>
                <w:sz w:val="20"/>
                <w:szCs w:val="20"/>
              </w:rPr>
              <w:t>N/A</w:t>
            </w:r>
          </w:p>
        </w:tc>
        <w:tc>
          <w:tcPr>
            <w:tcW w:w="1701" w:type="dxa"/>
          </w:tcPr>
          <w:p w14:paraId="257A0929" w14:textId="77777777" w:rsidR="0059109D" w:rsidRPr="004E6B53" w:rsidRDefault="0059109D" w:rsidP="006E5F9A">
            <w:pPr>
              <w:pStyle w:val="TableParagraph"/>
              <w:suppressAutoHyphens/>
              <w:jc w:val="center"/>
              <w:rPr>
                <w:sz w:val="20"/>
                <w:szCs w:val="20"/>
              </w:rPr>
            </w:pPr>
            <w:r w:rsidRPr="004E6B53">
              <w:rPr>
                <w:sz w:val="20"/>
                <w:szCs w:val="20"/>
              </w:rPr>
              <w:t>42 %*</w:t>
            </w:r>
          </w:p>
          <w:p w14:paraId="55BE4275" w14:textId="77777777" w:rsidR="0059109D" w:rsidRPr="004E6B53" w:rsidRDefault="0059109D" w:rsidP="006E5F9A">
            <w:pPr>
              <w:pStyle w:val="TableParagraph"/>
              <w:suppressAutoHyphens/>
              <w:jc w:val="center"/>
              <w:rPr>
                <w:sz w:val="20"/>
                <w:szCs w:val="20"/>
              </w:rPr>
            </w:pPr>
            <w:r w:rsidRPr="004E6B53">
              <w:rPr>
                <w:sz w:val="20"/>
                <w:szCs w:val="20"/>
              </w:rPr>
              <w:t>(18,00, 66,00)</w:t>
            </w:r>
          </w:p>
        </w:tc>
        <w:tc>
          <w:tcPr>
            <w:tcW w:w="1640" w:type="dxa"/>
          </w:tcPr>
          <w:p w14:paraId="7F08772A" w14:textId="77777777" w:rsidR="0059109D" w:rsidRPr="004E6B53" w:rsidRDefault="0059109D" w:rsidP="006E5F9A">
            <w:pPr>
              <w:pStyle w:val="TableParagraph"/>
              <w:suppressAutoHyphens/>
              <w:jc w:val="center"/>
              <w:rPr>
                <w:sz w:val="20"/>
                <w:szCs w:val="20"/>
              </w:rPr>
            </w:pPr>
            <w:r w:rsidRPr="004E6B53">
              <w:rPr>
                <w:sz w:val="20"/>
                <w:szCs w:val="20"/>
              </w:rPr>
              <w:t>39,06 %*</w:t>
            </w:r>
          </w:p>
          <w:p w14:paraId="02D07F59" w14:textId="77777777" w:rsidR="0059109D" w:rsidRPr="004E6B53" w:rsidRDefault="0059109D" w:rsidP="006E5F9A">
            <w:pPr>
              <w:pStyle w:val="TableParagraph"/>
              <w:suppressAutoHyphens/>
              <w:jc w:val="center"/>
              <w:rPr>
                <w:sz w:val="20"/>
                <w:szCs w:val="20"/>
              </w:rPr>
            </w:pPr>
            <w:r w:rsidRPr="004E6B53">
              <w:rPr>
                <w:sz w:val="20"/>
                <w:szCs w:val="20"/>
              </w:rPr>
              <w:t>(12,46, 65,66)</w:t>
            </w:r>
          </w:p>
        </w:tc>
      </w:tr>
      <w:tr w:rsidR="003B7027" w:rsidRPr="00777B93" w14:paraId="6F3C5FA4" w14:textId="77777777" w:rsidTr="006E4E50">
        <w:trPr>
          <w:cantSplit/>
        </w:trPr>
        <w:tc>
          <w:tcPr>
            <w:tcW w:w="9432" w:type="dxa"/>
            <w:gridSpan w:val="5"/>
          </w:tcPr>
          <w:p w14:paraId="32BBF1EA" w14:textId="77777777" w:rsidR="003B7027" w:rsidRPr="004E6B53" w:rsidRDefault="00296A74" w:rsidP="00CA43F5">
            <w:pPr>
              <w:pStyle w:val="TableParagraph"/>
              <w:keepNext/>
              <w:suppressAutoHyphens/>
              <w:rPr>
                <w:b/>
                <w:sz w:val="20"/>
                <w:szCs w:val="20"/>
              </w:rPr>
            </w:pPr>
            <w:r w:rsidRPr="004E6B53">
              <w:rPr>
                <w:b/>
                <w:sz w:val="20"/>
                <w:szCs w:val="20"/>
              </w:rPr>
              <w:lastRenderedPageBreak/>
              <w:t>Keskeinen toissijainen päätetapahtuma</w:t>
            </w:r>
          </w:p>
        </w:tc>
      </w:tr>
      <w:tr w:rsidR="003B7027" w:rsidRPr="00ED6BAC" w14:paraId="55D940A4" w14:textId="77777777" w:rsidTr="006E4E50">
        <w:trPr>
          <w:cantSplit/>
        </w:trPr>
        <w:tc>
          <w:tcPr>
            <w:tcW w:w="9432" w:type="dxa"/>
            <w:gridSpan w:val="5"/>
          </w:tcPr>
          <w:p w14:paraId="7A2E1B46" w14:textId="77777777" w:rsidR="003B7027" w:rsidRPr="004E6B53" w:rsidRDefault="00296A74" w:rsidP="00CA43F5">
            <w:pPr>
              <w:pStyle w:val="TableParagraph"/>
              <w:keepNext/>
              <w:suppressAutoHyphens/>
              <w:rPr>
                <w:sz w:val="20"/>
                <w:szCs w:val="20"/>
              </w:rPr>
            </w:pPr>
            <w:r w:rsidRPr="004E6B53">
              <w:rPr>
                <w:sz w:val="20"/>
                <w:szCs w:val="20"/>
              </w:rPr>
              <w:t>Pitkäkestoinen remissio (tosilitsumabiryhmät vs lumevalmiste + 52)</w:t>
            </w:r>
          </w:p>
        </w:tc>
      </w:tr>
      <w:tr w:rsidR="003B7027" w:rsidRPr="00777B93" w14:paraId="5FE74E42" w14:textId="77777777" w:rsidTr="006E4E50">
        <w:trPr>
          <w:cantSplit/>
        </w:trPr>
        <w:tc>
          <w:tcPr>
            <w:tcW w:w="2830" w:type="dxa"/>
          </w:tcPr>
          <w:p w14:paraId="0A91C94B" w14:textId="77777777" w:rsidR="003B7027" w:rsidRPr="004E6B53" w:rsidRDefault="00296A74" w:rsidP="006E4E50">
            <w:pPr>
              <w:pStyle w:val="TableParagraph"/>
              <w:suppressAutoHyphens/>
              <w:ind w:left="284"/>
              <w:rPr>
                <w:sz w:val="20"/>
                <w:szCs w:val="20"/>
              </w:rPr>
            </w:pPr>
            <w:r w:rsidRPr="004E6B53">
              <w:rPr>
                <w:sz w:val="20"/>
                <w:szCs w:val="20"/>
              </w:rPr>
              <w:t>Vasteen saaneita viikolla 52, n (%)</w:t>
            </w:r>
          </w:p>
        </w:tc>
        <w:tc>
          <w:tcPr>
            <w:tcW w:w="1560" w:type="dxa"/>
            <w:vAlign w:val="center"/>
          </w:tcPr>
          <w:p w14:paraId="15E40370" w14:textId="77777777" w:rsidR="003B7027" w:rsidRPr="004E6B53" w:rsidRDefault="00296A74" w:rsidP="006E5F9A">
            <w:pPr>
              <w:pStyle w:val="TableParagraph"/>
              <w:suppressAutoHyphens/>
              <w:jc w:val="center"/>
              <w:rPr>
                <w:sz w:val="20"/>
                <w:szCs w:val="20"/>
              </w:rPr>
            </w:pPr>
            <w:r w:rsidRPr="004E6B53">
              <w:rPr>
                <w:sz w:val="20"/>
                <w:szCs w:val="20"/>
              </w:rPr>
              <w:t>7</w:t>
            </w:r>
            <w:r w:rsidR="00D35D59" w:rsidRPr="004E6B53">
              <w:rPr>
                <w:sz w:val="20"/>
                <w:szCs w:val="20"/>
              </w:rPr>
              <w:t xml:space="preserve"> </w:t>
            </w:r>
            <w:r w:rsidRPr="004E6B53">
              <w:rPr>
                <w:sz w:val="20"/>
                <w:szCs w:val="20"/>
              </w:rPr>
              <w:t>(14 %)</w:t>
            </w:r>
          </w:p>
        </w:tc>
        <w:tc>
          <w:tcPr>
            <w:tcW w:w="1701" w:type="dxa"/>
            <w:vAlign w:val="center"/>
          </w:tcPr>
          <w:p w14:paraId="67649436" w14:textId="77777777" w:rsidR="003B7027" w:rsidRPr="004E6B53" w:rsidRDefault="00296A74" w:rsidP="006E5F9A">
            <w:pPr>
              <w:pStyle w:val="TableParagraph"/>
              <w:suppressAutoHyphens/>
              <w:jc w:val="center"/>
              <w:rPr>
                <w:sz w:val="20"/>
                <w:szCs w:val="20"/>
              </w:rPr>
            </w:pPr>
            <w:r w:rsidRPr="004E6B53">
              <w:rPr>
                <w:sz w:val="20"/>
                <w:szCs w:val="20"/>
              </w:rPr>
              <w:t>9 (17,6 %)</w:t>
            </w:r>
          </w:p>
        </w:tc>
        <w:tc>
          <w:tcPr>
            <w:tcW w:w="1701" w:type="dxa"/>
            <w:vAlign w:val="center"/>
          </w:tcPr>
          <w:p w14:paraId="1896C21F" w14:textId="77777777" w:rsidR="003B7027" w:rsidRPr="004E6B53" w:rsidRDefault="00296A74" w:rsidP="006E5F9A">
            <w:pPr>
              <w:pStyle w:val="TableParagraph"/>
              <w:suppressAutoHyphens/>
              <w:jc w:val="center"/>
              <w:rPr>
                <w:sz w:val="20"/>
                <w:szCs w:val="20"/>
              </w:rPr>
            </w:pPr>
            <w:r w:rsidRPr="004E6B53">
              <w:rPr>
                <w:sz w:val="20"/>
                <w:szCs w:val="20"/>
              </w:rPr>
              <w:t>56 (56 %)</w:t>
            </w:r>
          </w:p>
        </w:tc>
        <w:tc>
          <w:tcPr>
            <w:tcW w:w="1640" w:type="dxa"/>
            <w:vAlign w:val="center"/>
          </w:tcPr>
          <w:p w14:paraId="6AA1E551" w14:textId="77777777" w:rsidR="003B7027" w:rsidRPr="004E6B53" w:rsidRDefault="00296A74" w:rsidP="006E5F9A">
            <w:pPr>
              <w:pStyle w:val="TableParagraph"/>
              <w:suppressAutoHyphens/>
              <w:jc w:val="center"/>
              <w:rPr>
                <w:sz w:val="20"/>
                <w:szCs w:val="20"/>
              </w:rPr>
            </w:pPr>
            <w:r w:rsidRPr="004E6B53">
              <w:rPr>
                <w:sz w:val="20"/>
                <w:szCs w:val="20"/>
              </w:rPr>
              <w:t>26 (53,1 %)</w:t>
            </w:r>
          </w:p>
        </w:tc>
      </w:tr>
      <w:tr w:rsidR="0059109D" w:rsidRPr="00777B93" w14:paraId="69025AE1" w14:textId="77777777" w:rsidTr="006E4E50">
        <w:trPr>
          <w:cantSplit/>
          <w:trHeight w:val="482"/>
        </w:trPr>
        <w:tc>
          <w:tcPr>
            <w:tcW w:w="2830" w:type="dxa"/>
          </w:tcPr>
          <w:p w14:paraId="47B22127" w14:textId="77777777" w:rsidR="0059109D" w:rsidRPr="004E6B53" w:rsidRDefault="0059109D" w:rsidP="006E4E50">
            <w:pPr>
              <w:pStyle w:val="TableParagraph"/>
              <w:suppressAutoHyphens/>
              <w:ind w:left="284"/>
              <w:rPr>
                <w:sz w:val="20"/>
                <w:szCs w:val="20"/>
              </w:rPr>
            </w:pPr>
            <w:r w:rsidRPr="004E6B53">
              <w:rPr>
                <w:sz w:val="20"/>
                <w:szCs w:val="20"/>
              </w:rPr>
              <w:t>Osuuksien korjaamaton ero</w:t>
            </w:r>
          </w:p>
          <w:p w14:paraId="17AEB395" w14:textId="77777777" w:rsidR="0059109D" w:rsidRPr="004E6B53" w:rsidRDefault="0059109D" w:rsidP="006E4E50">
            <w:pPr>
              <w:pStyle w:val="TableParagraph"/>
              <w:suppressAutoHyphens/>
              <w:ind w:left="284"/>
              <w:rPr>
                <w:sz w:val="20"/>
                <w:szCs w:val="20"/>
              </w:rPr>
            </w:pPr>
            <w:r w:rsidRPr="004E6B53">
              <w:rPr>
                <w:sz w:val="20"/>
                <w:szCs w:val="20"/>
              </w:rPr>
              <w:t>(99,5 %:n luottamusväli)</w:t>
            </w:r>
          </w:p>
        </w:tc>
        <w:tc>
          <w:tcPr>
            <w:tcW w:w="1560" w:type="dxa"/>
          </w:tcPr>
          <w:p w14:paraId="242C0983" w14:textId="77777777" w:rsidR="0059109D" w:rsidRPr="004E6B53" w:rsidRDefault="0059109D" w:rsidP="006E5F9A">
            <w:pPr>
              <w:pStyle w:val="TableParagraph"/>
              <w:suppressAutoHyphens/>
              <w:jc w:val="center"/>
              <w:rPr>
                <w:sz w:val="20"/>
                <w:szCs w:val="20"/>
              </w:rPr>
            </w:pPr>
            <w:r w:rsidRPr="004E6B53">
              <w:rPr>
                <w:sz w:val="20"/>
                <w:szCs w:val="20"/>
              </w:rPr>
              <w:t>N/A</w:t>
            </w:r>
          </w:p>
        </w:tc>
        <w:tc>
          <w:tcPr>
            <w:tcW w:w="1701" w:type="dxa"/>
          </w:tcPr>
          <w:p w14:paraId="4875AAC6" w14:textId="77777777" w:rsidR="0059109D" w:rsidRPr="004E6B53" w:rsidRDefault="0059109D" w:rsidP="006E5F9A">
            <w:pPr>
              <w:pStyle w:val="TableParagraph"/>
              <w:suppressAutoHyphens/>
              <w:jc w:val="center"/>
              <w:rPr>
                <w:sz w:val="20"/>
                <w:szCs w:val="20"/>
              </w:rPr>
            </w:pPr>
            <w:r w:rsidRPr="004E6B53">
              <w:rPr>
                <w:sz w:val="20"/>
                <w:szCs w:val="20"/>
              </w:rPr>
              <w:t>N/A</w:t>
            </w:r>
          </w:p>
        </w:tc>
        <w:tc>
          <w:tcPr>
            <w:tcW w:w="1701" w:type="dxa"/>
          </w:tcPr>
          <w:p w14:paraId="65255302" w14:textId="77777777" w:rsidR="0059109D" w:rsidRPr="004E6B53" w:rsidRDefault="0059109D" w:rsidP="006E5F9A">
            <w:pPr>
              <w:pStyle w:val="TableParagraph"/>
              <w:suppressAutoHyphens/>
              <w:jc w:val="center"/>
              <w:rPr>
                <w:sz w:val="20"/>
                <w:szCs w:val="20"/>
              </w:rPr>
            </w:pPr>
            <w:r w:rsidRPr="004E6B53">
              <w:rPr>
                <w:sz w:val="20"/>
                <w:szCs w:val="20"/>
              </w:rPr>
              <w:t>38,35 %*</w:t>
            </w:r>
          </w:p>
          <w:p w14:paraId="63EE4ED6" w14:textId="77777777" w:rsidR="0059109D" w:rsidRPr="004E6B53" w:rsidRDefault="0059109D" w:rsidP="006E5F9A">
            <w:pPr>
              <w:pStyle w:val="TableParagraph"/>
              <w:suppressAutoHyphens/>
              <w:jc w:val="center"/>
              <w:rPr>
                <w:sz w:val="20"/>
                <w:szCs w:val="20"/>
              </w:rPr>
            </w:pPr>
            <w:r w:rsidRPr="004E6B53">
              <w:rPr>
                <w:sz w:val="20"/>
                <w:szCs w:val="20"/>
              </w:rPr>
              <w:t>(17,89, 58,81)</w:t>
            </w:r>
          </w:p>
        </w:tc>
        <w:tc>
          <w:tcPr>
            <w:tcW w:w="1640" w:type="dxa"/>
          </w:tcPr>
          <w:p w14:paraId="48536326" w14:textId="77777777" w:rsidR="0059109D" w:rsidRPr="004E6B53" w:rsidRDefault="0059109D" w:rsidP="006E5F9A">
            <w:pPr>
              <w:pStyle w:val="TableParagraph"/>
              <w:suppressAutoHyphens/>
              <w:jc w:val="center"/>
              <w:rPr>
                <w:sz w:val="20"/>
                <w:szCs w:val="20"/>
              </w:rPr>
            </w:pPr>
            <w:r w:rsidRPr="004E6B53">
              <w:rPr>
                <w:sz w:val="20"/>
                <w:szCs w:val="20"/>
              </w:rPr>
              <w:t>35,41 %**</w:t>
            </w:r>
          </w:p>
          <w:p w14:paraId="420F88DD" w14:textId="77777777" w:rsidR="0059109D" w:rsidRPr="004E6B53" w:rsidRDefault="0059109D" w:rsidP="006E5F9A">
            <w:pPr>
              <w:pStyle w:val="TableParagraph"/>
              <w:suppressAutoHyphens/>
              <w:jc w:val="center"/>
              <w:rPr>
                <w:sz w:val="20"/>
                <w:szCs w:val="20"/>
              </w:rPr>
            </w:pPr>
            <w:r w:rsidRPr="004E6B53">
              <w:rPr>
                <w:sz w:val="20"/>
                <w:szCs w:val="20"/>
              </w:rPr>
              <w:t>(10,41, 60,41)</w:t>
            </w:r>
          </w:p>
        </w:tc>
      </w:tr>
      <w:tr w:rsidR="003B7027" w:rsidRPr="00777B93" w14:paraId="3A48B1A7" w14:textId="77777777" w:rsidTr="006E4E50">
        <w:trPr>
          <w:cantSplit/>
        </w:trPr>
        <w:tc>
          <w:tcPr>
            <w:tcW w:w="9432" w:type="dxa"/>
            <w:gridSpan w:val="5"/>
          </w:tcPr>
          <w:p w14:paraId="1A65465A" w14:textId="77777777" w:rsidR="003B7027" w:rsidRPr="004E6B53" w:rsidRDefault="00296A74" w:rsidP="006E4E50">
            <w:pPr>
              <w:pStyle w:val="TableParagraph"/>
              <w:keepNext/>
              <w:suppressAutoHyphens/>
              <w:rPr>
                <w:b/>
                <w:sz w:val="20"/>
                <w:szCs w:val="20"/>
              </w:rPr>
            </w:pPr>
            <w:r w:rsidRPr="004E6B53">
              <w:rPr>
                <w:b/>
                <w:sz w:val="20"/>
                <w:szCs w:val="20"/>
              </w:rPr>
              <w:t>Muut toissijaiset päätetapahtumat</w:t>
            </w:r>
          </w:p>
        </w:tc>
      </w:tr>
      <w:tr w:rsidR="00B74C91" w:rsidRPr="00777B93" w14:paraId="571E74AA" w14:textId="77777777" w:rsidTr="006E4E50">
        <w:trPr>
          <w:cantSplit/>
          <w:trHeight w:val="6830"/>
        </w:trPr>
        <w:tc>
          <w:tcPr>
            <w:tcW w:w="2830" w:type="dxa"/>
          </w:tcPr>
          <w:p w14:paraId="11D42E09" w14:textId="77777777" w:rsidR="00B74C91" w:rsidRPr="004E6B53" w:rsidRDefault="00B74C91" w:rsidP="006E5F9A">
            <w:pPr>
              <w:pStyle w:val="TableParagraph"/>
              <w:suppressAutoHyphens/>
              <w:rPr>
                <w:sz w:val="20"/>
                <w:szCs w:val="20"/>
              </w:rPr>
            </w:pPr>
            <w:r w:rsidRPr="004E6B53">
              <w:rPr>
                <w:sz w:val="20"/>
                <w:szCs w:val="20"/>
              </w:rPr>
              <w:t>Aika jättisoluarteriitin ensimmäiseen pahenemisvaiheeseen¹ (tosilitsumabiryhmät vs lumevalmiste + 26)</w:t>
            </w:r>
          </w:p>
          <w:p w14:paraId="13F6C4FF" w14:textId="77777777" w:rsidR="00B74C91" w:rsidRPr="004E6B53" w:rsidRDefault="00B74C91" w:rsidP="00A14525">
            <w:pPr>
              <w:pStyle w:val="TableParagraph"/>
              <w:suppressAutoHyphens/>
              <w:ind w:left="284"/>
              <w:rPr>
                <w:sz w:val="20"/>
                <w:szCs w:val="20"/>
              </w:rPr>
            </w:pPr>
            <w:r w:rsidRPr="004E6B53">
              <w:rPr>
                <w:sz w:val="20"/>
                <w:szCs w:val="20"/>
              </w:rPr>
              <w:t>Riskisuhde (99 %:n luottamusväli)</w:t>
            </w:r>
          </w:p>
          <w:p w14:paraId="7CF0272D" w14:textId="77777777" w:rsidR="00B74C91" w:rsidRPr="004E6B53" w:rsidRDefault="00B74C91" w:rsidP="006E5F9A">
            <w:pPr>
              <w:pStyle w:val="TableParagraph"/>
              <w:suppressAutoHyphens/>
              <w:rPr>
                <w:sz w:val="20"/>
                <w:szCs w:val="20"/>
              </w:rPr>
            </w:pPr>
            <w:r w:rsidRPr="004E6B53">
              <w:rPr>
                <w:sz w:val="20"/>
                <w:szCs w:val="20"/>
              </w:rPr>
              <w:t>Aika jättisoluarteriitin ensimmäiseen pahenemisvaiheeseen¹ (tosilitsumabiryhmät vs lumevalmiste + 52)</w:t>
            </w:r>
          </w:p>
          <w:p w14:paraId="241BE090" w14:textId="77777777" w:rsidR="00B74C91" w:rsidRPr="004E6B53" w:rsidRDefault="00B74C91" w:rsidP="00A14525">
            <w:pPr>
              <w:pStyle w:val="TableParagraph"/>
              <w:suppressAutoHyphens/>
              <w:ind w:left="284"/>
              <w:rPr>
                <w:sz w:val="20"/>
                <w:szCs w:val="20"/>
              </w:rPr>
            </w:pPr>
            <w:r w:rsidRPr="004E6B53">
              <w:rPr>
                <w:sz w:val="20"/>
                <w:szCs w:val="20"/>
              </w:rPr>
              <w:t>Riskisuhde (99 %:n luottamusväli)</w:t>
            </w:r>
          </w:p>
          <w:p w14:paraId="5C82A77D" w14:textId="77777777" w:rsidR="00B74C91" w:rsidRPr="004E6B53" w:rsidRDefault="00B74C91" w:rsidP="006E5F9A">
            <w:pPr>
              <w:pStyle w:val="TableParagraph"/>
              <w:suppressAutoHyphens/>
              <w:rPr>
                <w:sz w:val="20"/>
                <w:szCs w:val="20"/>
              </w:rPr>
            </w:pPr>
            <w:r w:rsidRPr="004E6B53">
              <w:rPr>
                <w:sz w:val="20"/>
                <w:szCs w:val="20"/>
              </w:rPr>
              <w:t>Aika jättisoluarteriitin ensimmäiseen pahenemisvaiheeseen¹ (relapsoituneet potilaat; tosilitsumabiryhmät vs lumevalmiste + 26), riskisuhde (99 %:n luottamusväli)</w:t>
            </w:r>
          </w:p>
          <w:p w14:paraId="1B604293" w14:textId="77777777" w:rsidR="00B74C91" w:rsidRPr="004E6B53" w:rsidRDefault="00B74C91" w:rsidP="006E5F9A">
            <w:pPr>
              <w:pStyle w:val="TableParagraph"/>
              <w:suppressAutoHyphens/>
              <w:rPr>
                <w:sz w:val="20"/>
                <w:szCs w:val="20"/>
              </w:rPr>
            </w:pPr>
            <w:r w:rsidRPr="004E6B53">
              <w:rPr>
                <w:sz w:val="20"/>
                <w:szCs w:val="20"/>
              </w:rPr>
              <w:t>Aika jättisoluarteriitin ensimmäiseen pahenemisvaiheeseen¹</w:t>
            </w:r>
          </w:p>
          <w:p w14:paraId="56E6C4E9" w14:textId="77777777" w:rsidR="00B74C91" w:rsidRPr="004E6B53" w:rsidRDefault="00B74C91" w:rsidP="006E5F9A">
            <w:pPr>
              <w:pStyle w:val="TableParagraph"/>
              <w:suppressAutoHyphens/>
              <w:rPr>
                <w:sz w:val="20"/>
                <w:szCs w:val="20"/>
              </w:rPr>
            </w:pPr>
            <w:r w:rsidRPr="004E6B53">
              <w:rPr>
                <w:sz w:val="20"/>
                <w:szCs w:val="20"/>
              </w:rPr>
              <w:t>(relapsoituneet potilaat; tosilitsumabiryhmät vs lumevalmiste + 52), riskisuhde (99 %:n luottamusväli)</w:t>
            </w:r>
          </w:p>
          <w:p w14:paraId="6E1D11BB" w14:textId="77777777" w:rsidR="00B74C91" w:rsidRPr="004E6B53" w:rsidRDefault="00B74C91" w:rsidP="006E5F9A">
            <w:pPr>
              <w:pStyle w:val="TableParagraph"/>
              <w:suppressAutoHyphens/>
              <w:rPr>
                <w:sz w:val="20"/>
                <w:szCs w:val="20"/>
              </w:rPr>
            </w:pPr>
            <w:r w:rsidRPr="004E6B53">
              <w:rPr>
                <w:sz w:val="20"/>
                <w:szCs w:val="20"/>
              </w:rPr>
              <w:t>Aika jättisoluarteriitin ensimmäiseen pahenemisvaiheeseen¹ (äskettäin sairastuneet potilaat; tosilitsumabiryhmät vs lumevalmiste +26), riskisuhde (99 %:n luottamusväli)</w:t>
            </w:r>
          </w:p>
          <w:p w14:paraId="6C3E3322" w14:textId="77777777" w:rsidR="00B74C91" w:rsidRPr="004E6B53" w:rsidRDefault="00B74C91" w:rsidP="006E5F9A">
            <w:pPr>
              <w:pStyle w:val="TableParagraph"/>
              <w:suppressAutoHyphens/>
              <w:rPr>
                <w:sz w:val="20"/>
                <w:szCs w:val="20"/>
              </w:rPr>
            </w:pPr>
            <w:r w:rsidRPr="004E6B53">
              <w:rPr>
                <w:sz w:val="20"/>
                <w:szCs w:val="20"/>
              </w:rPr>
              <w:t>Aika jättisoluarteriitin ensimmäiseen pahenemisvaiheeseen¹ (äskettäin sairastuneet potilaat; tosilitsumabiryhmät vs lumevalmiste + 52), riskisuhde (99 %:n luottamusväli)</w:t>
            </w:r>
          </w:p>
        </w:tc>
        <w:tc>
          <w:tcPr>
            <w:tcW w:w="1560" w:type="dxa"/>
          </w:tcPr>
          <w:p w14:paraId="293C9777"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p w14:paraId="148B6A4E" w14:textId="77777777" w:rsidR="00B74C91" w:rsidRPr="00CA43F5" w:rsidRDefault="00B74C91" w:rsidP="006E5F9A">
            <w:pPr>
              <w:pStyle w:val="TableParagraph"/>
              <w:suppressAutoHyphens/>
              <w:jc w:val="center"/>
              <w:rPr>
                <w:sz w:val="20"/>
                <w:szCs w:val="20"/>
                <w:lang w:val="en-US"/>
              </w:rPr>
            </w:pPr>
          </w:p>
          <w:p w14:paraId="4379DD0C" w14:textId="77777777" w:rsidR="00B74C91" w:rsidRPr="00CA43F5" w:rsidRDefault="00B74C91" w:rsidP="006E5F9A">
            <w:pPr>
              <w:pStyle w:val="TableParagraph"/>
              <w:suppressAutoHyphens/>
              <w:jc w:val="center"/>
              <w:rPr>
                <w:sz w:val="20"/>
                <w:szCs w:val="20"/>
                <w:lang w:val="en-US"/>
              </w:rPr>
            </w:pPr>
          </w:p>
          <w:p w14:paraId="3521DD5E" w14:textId="77777777" w:rsidR="00B74C91" w:rsidRPr="00CA43F5" w:rsidRDefault="00B74C91" w:rsidP="006E5F9A">
            <w:pPr>
              <w:pStyle w:val="TableParagraph"/>
              <w:suppressAutoHyphens/>
              <w:jc w:val="center"/>
              <w:rPr>
                <w:sz w:val="20"/>
                <w:szCs w:val="20"/>
                <w:lang w:val="en-US"/>
              </w:rPr>
            </w:pPr>
          </w:p>
          <w:p w14:paraId="6F3627FA" w14:textId="77777777" w:rsidR="00B74C91" w:rsidRPr="00CA43F5" w:rsidRDefault="00B74C91" w:rsidP="006E5F9A">
            <w:pPr>
              <w:pStyle w:val="TableParagraph"/>
              <w:suppressAutoHyphens/>
              <w:jc w:val="center"/>
              <w:rPr>
                <w:sz w:val="20"/>
                <w:szCs w:val="20"/>
                <w:lang w:val="en-US"/>
              </w:rPr>
            </w:pPr>
          </w:p>
          <w:p w14:paraId="0BA890F1" w14:textId="77777777" w:rsidR="00B74C91" w:rsidRPr="00CA43F5" w:rsidRDefault="00B74C91" w:rsidP="006E5F9A">
            <w:pPr>
              <w:pStyle w:val="TableParagraph"/>
              <w:suppressAutoHyphens/>
              <w:jc w:val="center"/>
              <w:rPr>
                <w:sz w:val="20"/>
                <w:szCs w:val="20"/>
                <w:lang w:val="en-US"/>
              </w:rPr>
            </w:pPr>
          </w:p>
          <w:p w14:paraId="5CCD2F69" w14:textId="77777777" w:rsidR="004E6B53" w:rsidRPr="00CA43F5" w:rsidRDefault="004E6B53" w:rsidP="006E5F9A">
            <w:pPr>
              <w:pStyle w:val="TableParagraph"/>
              <w:suppressAutoHyphens/>
              <w:jc w:val="center"/>
              <w:rPr>
                <w:sz w:val="20"/>
                <w:szCs w:val="20"/>
                <w:lang w:val="en-US"/>
              </w:rPr>
            </w:pPr>
          </w:p>
          <w:p w14:paraId="46A0C262"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p w14:paraId="204E1161" w14:textId="77777777" w:rsidR="00B74C91" w:rsidRPr="00CA43F5" w:rsidRDefault="00B74C91" w:rsidP="006E5F9A">
            <w:pPr>
              <w:pStyle w:val="TableParagraph"/>
              <w:suppressAutoHyphens/>
              <w:jc w:val="center"/>
              <w:rPr>
                <w:sz w:val="20"/>
                <w:szCs w:val="20"/>
                <w:lang w:val="en-US"/>
              </w:rPr>
            </w:pPr>
          </w:p>
          <w:p w14:paraId="6DFD7FAA" w14:textId="77777777" w:rsidR="00B74C91" w:rsidRPr="00CA43F5" w:rsidRDefault="00B74C91" w:rsidP="006E5F9A">
            <w:pPr>
              <w:pStyle w:val="TableParagraph"/>
              <w:suppressAutoHyphens/>
              <w:jc w:val="center"/>
              <w:rPr>
                <w:sz w:val="20"/>
                <w:szCs w:val="20"/>
                <w:lang w:val="en-US"/>
              </w:rPr>
            </w:pPr>
          </w:p>
          <w:p w14:paraId="31179D43" w14:textId="77777777" w:rsidR="00B74C91" w:rsidRPr="00CA43F5" w:rsidRDefault="00B74C91" w:rsidP="006E5F9A">
            <w:pPr>
              <w:pStyle w:val="TableParagraph"/>
              <w:suppressAutoHyphens/>
              <w:jc w:val="center"/>
              <w:rPr>
                <w:sz w:val="20"/>
                <w:szCs w:val="20"/>
                <w:lang w:val="en-US"/>
              </w:rPr>
            </w:pPr>
          </w:p>
          <w:p w14:paraId="71F8DA98" w14:textId="77777777" w:rsidR="00B74C91" w:rsidRPr="00CA43F5" w:rsidRDefault="00B74C91" w:rsidP="006E5F9A">
            <w:pPr>
              <w:pStyle w:val="TableParagraph"/>
              <w:suppressAutoHyphens/>
              <w:jc w:val="center"/>
              <w:rPr>
                <w:sz w:val="20"/>
                <w:szCs w:val="20"/>
                <w:lang w:val="en-US"/>
              </w:rPr>
            </w:pPr>
          </w:p>
          <w:p w14:paraId="72E6EF74" w14:textId="77777777" w:rsidR="00B74C91" w:rsidRPr="00CA43F5" w:rsidRDefault="00B74C91" w:rsidP="006E5F9A">
            <w:pPr>
              <w:pStyle w:val="TableParagraph"/>
              <w:suppressAutoHyphens/>
              <w:jc w:val="center"/>
              <w:rPr>
                <w:sz w:val="20"/>
                <w:szCs w:val="20"/>
                <w:lang w:val="en-US"/>
              </w:rPr>
            </w:pPr>
          </w:p>
          <w:p w14:paraId="207D2742" w14:textId="77777777" w:rsidR="004E6B53" w:rsidRPr="00CA43F5" w:rsidRDefault="004E6B53" w:rsidP="006E5F9A">
            <w:pPr>
              <w:pStyle w:val="TableParagraph"/>
              <w:suppressAutoHyphens/>
              <w:jc w:val="center"/>
              <w:rPr>
                <w:sz w:val="20"/>
                <w:szCs w:val="20"/>
                <w:lang w:val="en-US"/>
              </w:rPr>
            </w:pPr>
          </w:p>
          <w:p w14:paraId="7C57DB07"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p w14:paraId="517A8365" w14:textId="77777777" w:rsidR="00B74C91" w:rsidRPr="00CA43F5" w:rsidRDefault="00B74C91" w:rsidP="006E5F9A">
            <w:pPr>
              <w:pStyle w:val="TableParagraph"/>
              <w:suppressAutoHyphens/>
              <w:jc w:val="center"/>
              <w:rPr>
                <w:i/>
                <w:sz w:val="20"/>
                <w:szCs w:val="20"/>
                <w:lang w:val="en-US"/>
              </w:rPr>
            </w:pPr>
          </w:p>
          <w:p w14:paraId="640F8A3D" w14:textId="77777777" w:rsidR="00B74C91" w:rsidRPr="00CA43F5" w:rsidRDefault="00B74C91" w:rsidP="006E5F9A">
            <w:pPr>
              <w:pStyle w:val="TableParagraph"/>
              <w:suppressAutoHyphens/>
              <w:jc w:val="center"/>
              <w:rPr>
                <w:sz w:val="20"/>
                <w:szCs w:val="20"/>
                <w:lang w:val="en-US"/>
              </w:rPr>
            </w:pPr>
          </w:p>
          <w:p w14:paraId="43372A1D" w14:textId="77777777" w:rsidR="00B74C91" w:rsidRPr="00CA43F5" w:rsidRDefault="00B74C91" w:rsidP="006E5F9A">
            <w:pPr>
              <w:pStyle w:val="TableParagraph"/>
              <w:suppressAutoHyphens/>
              <w:jc w:val="center"/>
              <w:rPr>
                <w:sz w:val="20"/>
                <w:szCs w:val="20"/>
                <w:lang w:val="en-US"/>
              </w:rPr>
            </w:pPr>
          </w:p>
          <w:p w14:paraId="36578037" w14:textId="77777777" w:rsidR="004E6B53" w:rsidRPr="00CA43F5" w:rsidRDefault="004E6B53" w:rsidP="006E5F9A">
            <w:pPr>
              <w:pStyle w:val="TableParagraph"/>
              <w:suppressAutoHyphens/>
              <w:jc w:val="center"/>
              <w:rPr>
                <w:sz w:val="20"/>
                <w:szCs w:val="20"/>
                <w:lang w:val="en-US"/>
              </w:rPr>
            </w:pPr>
          </w:p>
          <w:p w14:paraId="547F26F9" w14:textId="77777777" w:rsidR="004E6B53" w:rsidRPr="00CA43F5" w:rsidRDefault="004E6B53" w:rsidP="006E5F9A">
            <w:pPr>
              <w:pStyle w:val="TableParagraph"/>
              <w:suppressAutoHyphens/>
              <w:jc w:val="center"/>
              <w:rPr>
                <w:sz w:val="20"/>
                <w:szCs w:val="20"/>
                <w:lang w:val="en-US"/>
              </w:rPr>
            </w:pPr>
          </w:p>
          <w:p w14:paraId="2D070184" w14:textId="77777777" w:rsidR="00B74C91" w:rsidRPr="00CA43F5" w:rsidRDefault="00B74C91" w:rsidP="006E5F9A">
            <w:pPr>
              <w:pStyle w:val="TableParagraph"/>
              <w:suppressAutoHyphens/>
              <w:jc w:val="center"/>
              <w:rPr>
                <w:sz w:val="20"/>
                <w:szCs w:val="20"/>
                <w:lang w:val="en-US"/>
              </w:rPr>
            </w:pPr>
          </w:p>
          <w:p w14:paraId="00D1DD61"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p w14:paraId="0E267D1A" w14:textId="77777777" w:rsidR="00B74C91" w:rsidRPr="00CA43F5" w:rsidRDefault="00B74C91" w:rsidP="006E5F9A">
            <w:pPr>
              <w:pStyle w:val="TableParagraph"/>
              <w:suppressAutoHyphens/>
              <w:jc w:val="center"/>
              <w:rPr>
                <w:sz w:val="20"/>
                <w:szCs w:val="20"/>
                <w:lang w:val="en-US"/>
              </w:rPr>
            </w:pPr>
          </w:p>
          <w:p w14:paraId="7599FE06" w14:textId="77777777" w:rsidR="00B74C91" w:rsidRPr="00CA43F5" w:rsidRDefault="00B74C91" w:rsidP="006E5F9A">
            <w:pPr>
              <w:pStyle w:val="TableParagraph"/>
              <w:suppressAutoHyphens/>
              <w:jc w:val="center"/>
              <w:rPr>
                <w:sz w:val="20"/>
                <w:szCs w:val="20"/>
                <w:lang w:val="en-US"/>
              </w:rPr>
            </w:pPr>
          </w:p>
          <w:p w14:paraId="2FB31EA2" w14:textId="77777777" w:rsidR="00B74C91" w:rsidRPr="00CA43F5" w:rsidRDefault="00B74C91" w:rsidP="006E5F9A">
            <w:pPr>
              <w:pStyle w:val="TableParagraph"/>
              <w:suppressAutoHyphens/>
              <w:jc w:val="center"/>
              <w:rPr>
                <w:sz w:val="20"/>
                <w:szCs w:val="20"/>
                <w:lang w:val="en-US"/>
              </w:rPr>
            </w:pPr>
          </w:p>
          <w:p w14:paraId="05AB050C" w14:textId="77777777" w:rsidR="004E6B53" w:rsidRPr="00CA43F5" w:rsidRDefault="004E6B53" w:rsidP="006E5F9A">
            <w:pPr>
              <w:pStyle w:val="TableParagraph"/>
              <w:suppressAutoHyphens/>
              <w:jc w:val="center"/>
              <w:rPr>
                <w:sz w:val="20"/>
                <w:szCs w:val="20"/>
                <w:lang w:val="en-US"/>
              </w:rPr>
            </w:pPr>
          </w:p>
          <w:p w14:paraId="060F6141" w14:textId="77777777" w:rsidR="004E6B53" w:rsidRPr="00CA43F5" w:rsidRDefault="004E6B53" w:rsidP="006E5F9A">
            <w:pPr>
              <w:pStyle w:val="TableParagraph"/>
              <w:suppressAutoHyphens/>
              <w:jc w:val="center"/>
              <w:rPr>
                <w:sz w:val="20"/>
                <w:szCs w:val="20"/>
                <w:lang w:val="en-US"/>
              </w:rPr>
            </w:pPr>
          </w:p>
          <w:p w14:paraId="1712C099" w14:textId="77777777" w:rsidR="004E6B53" w:rsidRPr="00CA43F5" w:rsidRDefault="004E6B53" w:rsidP="006E5F9A">
            <w:pPr>
              <w:pStyle w:val="TableParagraph"/>
              <w:suppressAutoHyphens/>
              <w:jc w:val="center"/>
              <w:rPr>
                <w:sz w:val="20"/>
                <w:szCs w:val="20"/>
                <w:lang w:val="en-US"/>
              </w:rPr>
            </w:pPr>
          </w:p>
          <w:p w14:paraId="45737A15"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p w14:paraId="7A1F62EC" w14:textId="77777777" w:rsidR="00B74C91" w:rsidRPr="00CA43F5" w:rsidRDefault="00B74C91" w:rsidP="006E5F9A">
            <w:pPr>
              <w:pStyle w:val="TableParagraph"/>
              <w:suppressAutoHyphens/>
              <w:jc w:val="center"/>
              <w:rPr>
                <w:sz w:val="20"/>
                <w:szCs w:val="20"/>
                <w:lang w:val="en-US"/>
              </w:rPr>
            </w:pPr>
          </w:p>
          <w:p w14:paraId="2122FC23" w14:textId="77777777" w:rsidR="00B74C91" w:rsidRPr="00CA43F5" w:rsidRDefault="00B74C91" w:rsidP="006E5F9A">
            <w:pPr>
              <w:pStyle w:val="TableParagraph"/>
              <w:suppressAutoHyphens/>
              <w:jc w:val="center"/>
              <w:rPr>
                <w:sz w:val="20"/>
                <w:szCs w:val="20"/>
                <w:lang w:val="en-US"/>
              </w:rPr>
            </w:pPr>
          </w:p>
          <w:p w14:paraId="562F7CB1" w14:textId="77777777" w:rsidR="00B74C91" w:rsidRPr="00CA43F5" w:rsidRDefault="00B74C91" w:rsidP="006E5F9A">
            <w:pPr>
              <w:pStyle w:val="TableParagraph"/>
              <w:suppressAutoHyphens/>
              <w:jc w:val="center"/>
              <w:rPr>
                <w:sz w:val="20"/>
                <w:szCs w:val="20"/>
                <w:lang w:val="en-US"/>
              </w:rPr>
            </w:pPr>
          </w:p>
          <w:p w14:paraId="76CF720E" w14:textId="77777777" w:rsidR="00B74C91" w:rsidRPr="00CA43F5" w:rsidRDefault="00B74C91" w:rsidP="006E5F9A">
            <w:pPr>
              <w:pStyle w:val="TableParagraph"/>
              <w:suppressAutoHyphens/>
              <w:jc w:val="center"/>
              <w:rPr>
                <w:sz w:val="20"/>
                <w:szCs w:val="20"/>
                <w:lang w:val="en-US"/>
              </w:rPr>
            </w:pPr>
          </w:p>
          <w:p w14:paraId="2C1DB694" w14:textId="77777777" w:rsidR="004E6B53" w:rsidRPr="00CA43F5" w:rsidRDefault="004E6B53" w:rsidP="006E5F9A">
            <w:pPr>
              <w:pStyle w:val="TableParagraph"/>
              <w:suppressAutoHyphens/>
              <w:jc w:val="center"/>
              <w:rPr>
                <w:sz w:val="20"/>
                <w:szCs w:val="20"/>
                <w:lang w:val="en-US"/>
              </w:rPr>
            </w:pPr>
          </w:p>
          <w:p w14:paraId="0AF21832" w14:textId="77777777" w:rsidR="004E6B53" w:rsidRPr="00CA43F5" w:rsidRDefault="004E6B53" w:rsidP="006E5F9A">
            <w:pPr>
              <w:pStyle w:val="TableParagraph"/>
              <w:suppressAutoHyphens/>
              <w:jc w:val="center"/>
              <w:rPr>
                <w:sz w:val="20"/>
                <w:szCs w:val="20"/>
                <w:lang w:val="en-US"/>
              </w:rPr>
            </w:pPr>
          </w:p>
          <w:p w14:paraId="0496F422"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tc>
        <w:tc>
          <w:tcPr>
            <w:tcW w:w="1701" w:type="dxa"/>
          </w:tcPr>
          <w:p w14:paraId="2E207825"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p w14:paraId="2EADFB55" w14:textId="77777777" w:rsidR="00B74C91" w:rsidRPr="00CA43F5" w:rsidRDefault="00B74C91" w:rsidP="006E5F9A">
            <w:pPr>
              <w:pStyle w:val="TableParagraph"/>
              <w:suppressAutoHyphens/>
              <w:jc w:val="center"/>
              <w:rPr>
                <w:sz w:val="20"/>
                <w:szCs w:val="20"/>
                <w:lang w:val="en-US"/>
              </w:rPr>
            </w:pPr>
          </w:p>
          <w:p w14:paraId="638FC830" w14:textId="77777777" w:rsidR="00B74C91" w:rsidRPr="00CA43F5" w:rsidRDefault="00B74C91" w:rsidP="006E5F9A">
            <w:pPr>
              <w:pStyle w:val="TableParagraph"/>
              <w:suppressAutoHyphens/>
              <w:jc w:val="center"/>
              <w:rPr>
                <w:sz w:val="20"/>
                <w:szCs w:val="20"/>
                <w:lang w:val="en-US"/>
              </w:rPr>
            </w:pPr>
          </w:p>
          <w:p w14:paraId="1DFFD140" w14:textId="77777777" w:rsidR="00B74C91" w:rsidRPr="00CA43F5" w:rsidRDefault="00B74C91" w:rsidP="006E5F9A">
            <w:pPr>
              <w:pStyle w:val="TableParagraph"/>
              <w:suppressAutoHyphens/>
              <w:jc w:val="center"/>
              <w:rPr>
                <w:sz w:val="20"/>
                <w:szCs w:val="20"/>
                <w:lang w:val="en-US"/>
              </w:rPr>
            </w:pPr>
          </w:p>
          <w:p w14:paraId="7A0B48BB" w14:textId="77777777" w:rsidR="00B74C91" w:rsidRPr="00CA43F5" w:rsidRDefault="00B74C91" w:rsidP="006E5F9A">
            <w:pPr>
              <w:pStyle w:val="TableParagraph"/>
              <w:suppressAutoHyphens/>
              <w:jc w:val="center"/>
              <w:rPr>
                <w:sz w:val="20"/>
                <w:szCs w:val="20"/>
                <w:lang w:val="en-US"/>
              </w:rPr>
            </w:pPr>
          </w:p>
          <w:p w14:paraId="1DF22EE3" w14:textId="77777777" w:rsidR="00B74C91" w:rsidRPr="00CA43F5" w:rsidRDefault="00B74C91" w:rsidP="006E5F9A">
            <w:pPr>
              <w:pStyle w:val="TableParagraph"/>
              <w:suppressAutoHyphens/>
              <w:jc w:val="center"/>
              <w:rPr>
                <w:sz w:val="20"/>
                <w:szCs w:val="20"/>
                <w:lang w:val="en-US"/>
              </w:rPr>
            </w:pPr>
          </w:p>
          <w:p w14:paraId="6EFD852A" w14:textId="77777777" w:rsidR="004E6B53" w:rsidRPr="00CA43F5" w:rsidRDefault="004E6B53" w:rsidP="006E5F9A">
            <w:pPr>
              <w:pStyle w:val="TableParagraph"/>
              <w:suppressAutoHyphens/>
              <w:jc w:val="center"/>
              <w:rPr>
                <w:sz w:val="20"/>
                <w:szCs w:val="20"/>
                <w:lang w:val="en-US"/>
              </w:rPr>
            </w:pPr>
          </w:p>
          <w:p w14:paraId="0EEAA023"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p w14:paraId="5A0E0633" w14:textId="77777777" w:rsidR="00B74C91" w:rsidRPr="00CA43F5" w:rsidRDefault="00B74C91" w:rsidP="006E5F9A">
            <w:pPr>
              <w:pStyle w:val="TableParagraph"/>
              <w:suppressAutoHyphens/>
              <w:jc w:val="center"/>
              <w:rPr>
                <w:sz w:val="20"/>
                <w:szCs w:val="20"/>
                <w:lang w:val="en-US"/>
              </w:rPr>
            </w:pPr>
          </w:p>
          <w:p w14:paraId="6710C82A" w14:textId="77777777" w:rsidR="00B74C91" w:rsidRPr="00CA43F5" w:rsidRDefault="00B74C91" w:rsidP="006E5F9A">
            <w:pPr>
              <w:pStyle w:val="TableParagraph"/>
              <w:suppressAutoHyphens/>
              <w:jc w:val="center"/>
              <w:rPr>
                <w:sz w:val="20"/>
                <w:szCs w:val="20"/>
                <w:lang w:val="en-US"/>
              </w:rPr>
            </w:pPr>
          </w:p>
          <w:p w14:paraId="09DBD3D8" w14:textId="77777777" w:rsidR="00B74C91" w:rsidRPr="00CA43F5" w:rsidRDefault="00B74C91" w:rsidP="006E5F9A">
            <w:pPr>
              <w:pStyle w:val="TableParagraph"/>
              <w:suppressAutoHyphens/>
              <w:jc w:val="center"/>
              <w:rPr>
                <w:sz w:val="20"/>
                <w:szCs w:val="20"/>
                <w:lang w:val="en-US"/>
              </w:rPr>
            </w:pPr>
          </w:p>
          <w:p w14:paraId="515ABE1D" w14:textId="77777777" w:rsidR="00B74C91" w:rsidRPr="00CA43F5" w:rsidRDefault="00B74C91" w:rsidP="006E5F9A">
            <w:pPr>
              <w:pStyle w:val="TableParagraph"/>
              <w:suppressAutoHyphens/>
              <w:jc w:val="center"/>
              <w:rPr>
                <w:sz w:val="20"/>
                <w:szCs w:val="20"/>
                <w:lang w:val="en-US"/>
              </w:rPr>
            </w:pPr>
          </w:p>
          <w:p w14:paraId="213C44AA" w14:textId="77777777" w:rsidR="00B74C91" w:rsidRPr="00CA43F5" w:rsidRDefault="00B74C91" w:rsidP="006E5F9A">
            <w:pPr>
              <w:pStyle w:val="TableParagraph"/>
              <w:suppressAutoHyphens/>
              <w:jc w:val="center"/>
              <w:rPr>
                <w:sz w:val="20"/>
                <w:szCs w:val="20"/>
                <w:lang w:val="en-US"/>
              </w:rPr>
            </w:pPr>
          </w:p>
          <w:p w14:paraId="2022F757" w14:textId="77777777" w:rsidR="004E6B53" w:rsidRPr="00CA43F5" w:rsidRDefault="004E6B53" w:rsidP="006E5F9A">
            <w:pPr>
              <w:pStyle w:val="TableParagraph"/>
              <w:suppressAutoHyphens/>
              <w:jc w:val="center"/>
              <w:rPr>
                <w:sz w:val="20"/>
                <w:szCs w:val="20"/>
                <w:lang w:val="en-US"/>
              </w:rPr>
            </w:pPr>
          </w:p>
          <w:p w14:paraId="78778651"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p w14:paraId="1C68B6BB" w14:textId="77777777" w:rsidR="00B74C91" w:rsidRPr="00CA43F5" w:rsidRDefault="00B74C91" w:rsidP="006E5F9A">
            <w:pPr>
              <w:pStyle w:val="TableParagraph"/>
              <w:suppressAutoHyphens/>
              <w:jc w:val="center"/>
              <w:rPr>
                <w:i/>
                <w:sz w:val="20"/>
                <w:szCs w:val="20"/>
                <w:lang w:val="en-US"/>
              </w:rPr>
            </w:pPr>
          </w:p>
          <w:p w14:paraId="7836ED96" w14:textId="77777777" w:rsidR="00B74C91" w:rsidRPr="00CA43F5" w:rsidRDefault="00B74C91" w:rsidP="006E5F9A">
            <w:pPr>
              <w:pStyle w:val="TableParagraph"/>
              <w:suppressAutoHyphens/>
              <w:jc w:val="center"/>
              <w:rPr>
                <w:sz w:val="20"/>
                <w:szCs w:val="20"/>
                <w:lang w:val="en-US"/>
              </w:rPr>
            </w:pPr>
          </w:p>
          <w:p w14:paraId="6E458289" w14:textId="77777777" w:rsidR="00B74C91" w:rsidRPr="00CA43F5" w:rsidRDefault="00B74C91" w:rsidP="006E5F9A">
            <w:pPr>
              <w:pStyle w:val="TableParagraph"/>
              <w:suppressAutoHyphens/>
              <w:jc w:val="center"/>
              <w:rPr>
                <w:sz w:val="20"/>
                <w:szCs w:val="20"/>
                <w:lang w:val="en-US"/>
              </w:rPr>
            </w:pPr>
          </w:p>
          <w:p w14:paraId="4F56F47C" w14:textId="77777777" w:rsidR="004E6B53" w:rsidRPr="00CA43F5" w:rsidRDefault="004E6B53" w:rsidP="006E5F9A">
            <w:pPr>
              <w:pStyle w:val="TableParagraph"/>
              <w:suppressAutoHyphens/>
              <w:jc w:val="center"/>
              <w:rPr>
                <w:sz w:val="20"/>
                <w:szCs w:val="20"/>
                <w:lang w:val="en-US"/>
              </w:rPr>
            </w:pPr>
          </w:p>
          <w:p w14:paraId="55EE235E" w14:textId="77777777" w:rsidR="004E6B53" w:rsidRPr="00CA43F5" w:rsidRDefault="004E6B53" w:rsidP="006E5F9A">
            <w:pPr>
              <w:pStyle w:val="TableParagraph"/>
              <w:suppressAutoHyphens/>
              <w:jc w:val="center"/>
              <w:rPr>
                <w:sz w:val="20"/>
                <w:szCs w:val="20"/>
                <w:lang w:val="en-US"/>
              </w:rPr>
            </w:pPr>
          </w:p>
          <w:p w14:paraId="2BCFC3B0" w14:textId="77777777" w:rsidR="00B74C91" w:rsidRPr="00CA43F5" w:rsidRDefault="00B74C91" w:rsidP="006E5F9A">
            <w:pPr>
              <w:pStyle w:val="TableParagraph"/>
              <w:suppressAutoHyphens/>
              <w:jc w:val="center"/>
              <w:rPr>
                <w:sz w:val="20"/>
                <w:szCs w:val="20"/>
                <w:lang w:val="en-US"/>
              </w:rPr>
            </w:pPr>
          </w:p>
          <w:p w14:paraId="5C92F80C"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p w14:paraId="0D42DEA5" w14:textId="77777777" w:rsidR="00B74C91" w:rsidRPr="00CA43F5" w:rsidRDefault="00B74C91" w:rsidP="006E5F9A">
            <w:pPr>
              <w:pStyle w:val="TableParagraph"/>
              <w:suppressAutoHyphens/>
              <w:jc w:val="center"/>
              <w:rPr>
                <w:sz w:val="20"/>
                <w:szCs w:val="20"/>
                <w:lang w:val="en-US"/>
              </w:rPr>
            </w:pPr>
          </w:p>
          <w:p w14:paraId="59642433" w14:textId="77777777" w:rsidR="00B74C91" w:rsidRPr="00CA43F5" w:rsidRDefault="00B74C91" w:rsidP="006E5F9A">
            <w:pPr>
              <w:pStyle w:val="TableParagraph"/>
              <w:suppressAutoHyphens/>
              <w:jc w:val="center"/>
              <w:rPr>
                <w:sz w:val="20"/>
                <w:szCs w:val="20"/>
                <w:lang w:val="en-US"/>
              </w:rPr>
            </w:pPr>
          </w:p>
          <w:p w14:paraId="71CDA492" w14:textId="77777777" w:rsidR="00B74C91" w:rsidRPr="00CA43F5" w:rsidRDefault="00B74C91" w:rsidP="006E5F9A">
            <w:pPr>
              <w:pStyle w:val="TableParagraph"/>
              <w:suppressAutoHyphens/>
              <w:jc w:val="center"/>
              <w:rPr>
                <w:sz w:val="20"/>
                <w:szCs w:val="20"/>
                <w:lang w:val="en-US"/>
              </w:rPr>
            </w:pPr>
          </w:p>
          <w:p w14:paraId="2C446230" w14:textId="77777777" w:rsidR="004E6B53" w:rsidRPr="00CA43F5" w:rsidRDefault="004E6B53" w:rsidP="006E5F9A">
            <w:pPr>
              <w:pStyle w:val="TableParagraph"/>
              <w:suppressAutoHyphens/>
              <w:jc w:val="center"/>
              <w:rPr>
                <w:sz w:val="20"/>
                <w:szCs w:val="20"/>
                <w:lang w:val="en-US"/>
              </w:rPr>
            </w:pPr>
          </w:p>
          <w:p w14:paraId="567788A7" w14:textId="77777777" w:rsidR="004E6B53" w:rsidRPr="00CA43F5" w:rsidRDefault="004E6B53" w:rsidP="006E5F9A">
            <w:pPr>
              <w:pStyle w:val="TableParagraph"/>
              <w:suppressAutoHyphens/>
              <w:jc w:val="center"/>
              <w:rPr>
                <w:sz w:val="20"/>
                <w:szCs w:val="20"/>
                <w:lang w:val="en-US"/>
              </w:rPr>
            </w:pPr>
          </w:p>
          <w:p w14:paraId="42C257DE" w14:textId="77777777" w:rsidR="004E6B53" w:rsidRPr="00CA43F5" w:rsidRDefault="004E6B53" w:rsidP="006E5F9A">
            <w:pPr>
              <w:pStyle w:val="TableParagraph"/>
              <w:suppressAutoHyphens/>
              <w:jc w:val="center"/>
              <w:rPr>
                <w:sz w:val="20"/>
                <w:szCs w:val="20"/>
                <w:lang w:val="en-US"/>
              </w:rPr>
            </w:pPr>
          </w:p>
          <w:p w14:paraId="34B1BA63"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p w14:paraId="21484088" w14:textId="77777777" w:rsidR="00B74C91" w:rsidRPr="00CA43F5" w:rsidRDefault="00B74C91" w:rsidP="006E5F9A">
            <w:pPr>
              <w:pStyle w:val="TableParagraph"/>
              <w:suppressAutoHyphens/>
              <w:jc w:val="center"/>
              <w:rPr>
                <w:sz w:val="20"/>
                <w:szCs w:val="20"/>
                <w:lang w:val="en-US"/>
              </w:rPr>
            </w:pPr>
          </w:p>
          <w:p w14:paraId="6BE06FB4" w14:textId="77777777" w:rsidR="00B74C91" w:rsidRPr="00CA43F5" w:rsidRDefault="00B74C91" w:rsidP="006E5F9A">
            <w:pPr>
              <w:pStyle w:val="TableParagraph"/>
              <w:suppressAutoHyphens/>
              <w:jc w:val="center"/>
              <w:rPr>
                <w:sz w:val="20"/>
                <w:szCs w:val="20"/>
                <w:lang w:val="en-US"/>
              </w:rPr>
            </w:pPr>
          </w:p>
          <w:p w14:paraId="1C2A457A" w14:textId="77777777" w:rsidR="00B74C91" w:rsidRPr="00CA43F5" w:rsidRDefault="00B74C91" w:rsidP="006E5F9A">
            <w:pPr>
              <w:pStyle w:val="TableParagraph"/>
              <w:suppressAutoHyphens/>
              <w:jc w:val="center"/>
              <w:rPr>
                <w:sz w:val="20"/>
                <w:szCs w:val="20"/>
                <w:lang w:val="en-US"/>
              </w:rPr>
            </w:pPr>
          </w:p>
          <w:p w14:paraId="1CB8212E" w14:textId="77777777" w:rsidR="00B74C91" w:rsidRPr="00CA43F5" w:rsidRDefault="00B74C91" w:rsidP="006E5F9A">
            <w:pPr>
              <w:pStyle w:val="TableParagraph"/>
              <w:suppressAutoHyphens/>
              <w:jc w:val="center"/>
              <w:rPr>
                <w:sz w:val="20"/>
                <w:szCs w:val="20"/>
                <w:lang w:val="en-US"/>
              </w:rPr>
            </w:pPr>
          </w:p>
          <w:p w14:paraId="76CDB74E" w14:textId="77777777" w:rsidR="004E6B53" w:rsidRPr="00CA43F5" w:rsidRDefault="004E6B53" w:rsidP="006E5F9A">
            <w:pPr>
              <w:pStyle w:val="TableParagraph"/>
              <w:suppressAutoHyphens/>
              <w:jc w:val="center"/>
              <w:rPr>
                <w:sz w:val="20"/>
                <w:szCs w:val="20"/>
                <w:lang w:val="en-US"/>
              </w:rPr>
            </w:pPr>
          </w:p>
          <w:p w14:paraId="4CFE12BD" w14:textId="77777777" w:rsidR="004E6B53" w:rsidRPr="00CA43F5" w:rsidRDefault="004E6B53" w:rsidP="006E5F9A">
            <w:pPr>
              <w:pStyle w:val="TableParagraph"/>
              <w:suppressAutoHyphens/>
              <w:jc w:val="center"/>
              <w:rPr>
                <w:sz w:val="20"/>
                <w:szCs w:val="20"/>
                <w:lang w:val="en-US"/>
              </w:rPr>
            </w:pPr>
          </w:p>
          <w:p w14:paraId="4A21A99C" w14:textId="77777777" w:rsidR="00B74C91" w:rsidRPr="00CA43F5" w:rsidRDefault="00B74C91" w:rsidP="006E5F9A">
            <w:pPr>
              <w:pStyle w:val="TableParagraph"/>
              <w:suppressAutoHyphens/>
              <w:jc w:val="center"/>
              <w:rPr>
                <w:sz w:val="20"/>
                <w:szCs w:val="20"/>
                <w:lang w:val="en-US"/>
              </w:rPr>
            </w:pPr>
            <w:r w:rsidRPr="00CA43F5">
              <w:rPr>
                <w:sz w:val="20"/>
                <w:szCs w:val="20"/>
                <w:lang w:val="en-US"/>
              </w:rPr>
              <w:t>N/A</w:t>
            </w:r>
          </w:p>
        </w:tc>
        <w:tc>
          <w:tcPr>
            <w:tcW w:w="1701" w:type="dxa"/>
          </w:tcPr>
          <w:p w14:paraId="0874B46B" w14:textId="77777777" w:rsidR="00B74C91" w:rsidRPr="004E6B53" w:rsidRDefault="00B74C91" w:rsidP="006E5F9A">
            <w:pPr>
              <w:pStyle w:val="TableParagraph"/>
              <w:suppressAutoHyphens/>
              <w:jc w:val="center"/>
              <w:rPr>
                <w:sz w:val="20"/>
                <w:szCs w:val="20"/>
              </w:rPr>
            </w:pPr>
            <w:r w:rsidRPr="004E6B53">
              <w:rPr>
                <w:sz w:val="20"/>
                <w:szCs w:val="20"/>
              </w:rPr>
              <w:t>0,23*</w:t>
            </w:r>
          </w:p>
          <w:p w14:paraId="003A322F" w14:textId="77777777" w:rsidR="00B74C91" w:rsidRPr="004E6B53" w:rsidRDefault="00B74C91" w:rsidP="006E5F9A">
            <w:pPr>
              <w:pStyle w:val="TableParagraph"/>
              <w:suppressAutoHyphens/>
              <w:jc w:val="center"/>
              <w:rPr>
                <w:sz w:val="20"/>
                <w:szCs w:val="20"/>
              </w:rPr>
            </w:pPr>
            <w:r w:rsidRPr="004E6B53">
              <w:rPr>
                <w:sz w:val="20"/>
                <w:szCs w:val="20"/>
              </w:rPr>
              <w:t>(0,11, 0,46)</w:t>
            </w:r>
          </w:p>
          <w:p w14:paraId="53A3E939" w14:textId="77777777" w:rsidR="00B74C91" w:rsidRPr="004E6B53" w:rsidRDefault="00B74C91" w:rsidP="006E5F9A">
            <w:pPr>
              <w:pStyle w:val="TableParagraph"/>
              <w:suppressAutoHyphens/>
              <w:jc w:val="center"/>
              <w:rPr>
                <w:sz w:val="20"/>
                <w:szCs w:val="20"/>
              </w:rPr>
            </w:pPr>
          </w:p>
          <w:p w14:paraId="523719BB" w14:textId="77777777" w:rsidR="00B74C91" w:rsidRPr="004E6B53" w:rsidRDefault="00B74C91" w:rsidP="006E5F9A">
            <w:pPr>
              <w:pStyle w:val="TableParagraph"/>
              <w:suppressAutoHyphens/>
              <w:jc w:val="center"/>
              <w:rPr>
                <w:sz w:val="20"/>
                <w:szCs w:val="20"/>
              </w:rPr>
            </w:pPr>
          </w:p>
          <w:p w14:paraId="26E303FC" w14:textId="77777777" w:rsidR="00B74C91" w:rsidRPr="004E6B53" w:rsidRDefault="00B74C91" w:rsidP="006E5F9A">
            <w:pPr>
              <w:pStyle w:val="TableParagraph"/>
              <w:suppressAutoHyphens/>
              <w:jc w:val="center"/>
              <w:rPr>
                <w:sz w:val="20"/>
                <w:szCs w:val="20"/>
              </w:rPr>
            </w:pPr>
          </w:p>
          <w:p w14:paraId="6E1CA759" w14:textId="77777777" w:rsidR="00B74C91" w:rsidRPr="004E6B53" w:rsidRDefault="00B74C91" w:rsidP="006E5F9A">
            <w:pPr>
              <w:pStyle w:val="TableParagraph"/>
              <w:suppressAutoHyphens/>
              <w:jc w:val="center"/>
              <w:rPr>
                <w:sz w:val="20"/>
                <w:szCs w:val="20"/>
              </w:rPr>
            </w:pPr>
          </w:p>
          <w:p w14:paraId="5C4CE223" w14:textId="77777777" w:rsidR="004E6B53" w:rsidRDefault="004E6B53" w:rsidP="006E5F9A">
            <w:pPr>
              <w:pStyle w:val="TableParagraph"/>
              <w:suppressAutoHyphens/>
              <w:jc w:val="center"/>
              <w:rPr>
                <w:sz w:val="20"/>
                <w:szCs w:val="20"/>
              </w:rPr>
            </w:pPr>
          </w:p>
          <w:p w14:paraId="0C8C4CA2" w14:textId="77777777" w:rsidR="00B74C91" w:rsidRPr="004E6B53" w:rsidRDefault="00B74C91" w:rsidP="006E5F9A">
            <w:pPr>
              <w:pStyle w:val="TableParagraph"/>
              <w:suppressAutoHyphens/>
              <w:jc w:val="center"/>
              <w:rPr>
                <w:sz w:val="20"/>
                <w:szCs w:val="20"/>
              </w:rPr>
            </w:pPr>
            <w:r w:rsidRPr="004E6B53">
              <w:rPr>
                <w:sz w:val="20"/>
                <w:szCs w:val="20"/>
              </w:rPr>
              <w:t>0,39**</w:t>
            </w:r>
          </w:p>
          <w:p w14:paraId="7D649640" w14:textId="77777777" w:rsidR="00B74C91" w:rsidRPr="004E6B53" w:rsidRDefault="00B74C91" w:rsidP="006E5F9A">
            <w:pPr>
              <w:pStyle w:val="TableParagraph"/>
              <w:suppressAutoHyphens/>
              <w:jc w:val="center"/>
              <w:rPr>
                <w:sz w:val="20"/>
                <w:szCs w:val="20"/>
              </w:rPr>
            </w:pPr>
            <w:r w:rsidRPr="004E6B53">
              <w:rPr>
                <w:sz w:val="20"/>
                <w:szCs w:val="20"/>
              </w:rPr>
              <w:t>(0,18, 0,82)</w:t>
            </w:r>
          </w:p>
          <w:p w14:paraId="16E50652" w14:textId="77777777" w:rsidR="00B74C91" w:rsidRPr="004E6B53" w:rsidRDefault="00B74C91" w:rsidP="006E5F9A">
            <w:pPr>
              <w:pStyle w:val="TableParagraph"/>
              <w:suppressAutoHyphens/>
              <w:jc w:val="center"/>
              <w:rPr>
                <w:sz w:val="20"/>
                <w:szCs w:val="20"/>
              </w:rPr>
            </w:pPr>
          </w:p>
          <w:p w14:paraId="6B302F02" w14:textId="77777777" w:rsidR="00B74C91" w:rsidRPr="004E6B53" w:rsidRDefault="00B74C91" w:rsidP="006E5F9A">
            <w:pPr>
              <w:pStyle w:val="TableParagraph"/>
              <w:suppressAutoHyphens/>
              <w:jc w:val="center"/>
              <w:rPr>
                <w:sz w:val="20"/>
                <w:szCs w:val="20"/>
              </w:rPr>
            </w:pPr>
          </w:p>
          <w:p w14:paraId="32885AE9" w14:textId="77777777" w:rsidR="00B74C91" w:rsidRPr="004E6B53" w:rsidRDefault="00B74C91" w:rsidP="006E5F9A">
            <w:pPr>
              <w:pStyle w:val="TableParagraph"/>
              <w:suppressAutoHyphens/>
              <w:jc w:val="center"/>
              <w:rPr>
                <w:sz w:val="20"/>
                <w:szCs w:val="20"/>
              </w:rPr>
            </w:pPr>
          </w:p>
          <w:p w14:paraId="341467CC" w14:textId="77777777" w:rsidR="00B74C91" w:rsidRPr="004E6B53" w:rsidRDefault="00B74C91" w:rsidP="006E5F9A">
            <w:pPr>
              <w:pStyle w:val="TableParagraph"/>
              <w:suppressAutoHyphens/>
              <w:jc w:val="center"/>
              <w:rPr>
                <w:sz w:val="20"/>
                <w:szCs w:val="20"/>
              </w:rPr>
            </w:pPr>
          </w:p>
          <w:p w14:paraId="0DDEDE12" w14:textId="77777777" w:rsidR="004E6B53" w:rsidRDefault="004E6B53" w:rsidP="006E5F9A">
            <w:pPr>
              <w:pStyle w:val="TableParagraph"/>
              <w:suppressAutoHyphens/>
              <w:jc w:val="center"/>
              <w:rPr>
                <w:sz w:val="20"/>
                <w:szCs w:val="20"/>
              </w:rPr>
            </w:pPr>
          </w:p>
          <w:p w14:paraId="39FA0DAA" w14:textId="77777777" w:rsidR="00B74C91" w:rsidRPr="004E6B53" w:rsidRDefault="00B74C91" w:rsidP="006E5F9A">
            <w:pPr>
              <w:pStyle w:val="TableParagraph"/>
              <w:suppressAutoHyphens/>
              <w:jc w:val="center"/>
              <w:rPr>
                <w:sz w:val="20"/>
                <w:szCs w:val="20"/>
              </w:rPr>
            </w:pPr>
            <w:r w:rsidRPr="004E6B53">
              <w:rPr>
                <w:sz w:val="20"/>
                <w:szCs w:val="20"/>
              </w:rPr>
              <w:t>0,23***</w:t>
            </w:r>
          </w:p>
          <w:p w14:paraId="48EB0448" w14:textId="77777777" w:rsidR="00B74C91" w:rsidRPr="004E6B53" w:rsidRDefault="00B74C91" w:rsidP="006E5F9A">
            <w:pPr>
              <w:pStyle w:val="TableParagraph"/>
              <w:suppressAutoHyphens/>
              <w:jc w:val="center"/>
              <w:rPr>
                <w:sz w:val="20"/>
                <w:szCs w:val="20"/>
              </w:rPr>
            </w:pPr>
            <w:r w:rsidRPr="004E6B53">
              <w:rPr>
                <w:sz w:val="20"/>
                <w:szCs w:val="20"/>
              </w:rPr>
              <w:t>(0,09, 0,61)</w:t>
            </w:r>
          </w:p>
          <w:p w14:paraId="7B10099B" w14:textId="77777777" w:rsidR="00B74C91" w:rsidRPr="004E6B53" w:rsidRDefault="00B74C91" w:rsidP="006E5F9A">
            <w:pPr>
              <w:pStyle w:val="TableParagraph"/>
              <w:suppressAutoHyphens/>
              <w:jc w:val="center"/>
              <w:rPr>
                <w:sz w:val="20"/>
                <w:szCs w:val="20"/>
              </w:rPr>
            </w:pPr>
          </w:p>
          <w:p w14:paraId="314D7C24" w14:textId="77777777" w:rsidR="00B74C91" w:rsidRDefault="00B74C91" w:rsidP="006E5F9A">
            <w:pPr>
              <w:pStyle w:val="TableParagraph"/>
              <w:suppressAutoHyphens/>
              <w:jc w:val="center"/>
              <w:rPr>
                <w:sz w:val="20"/>
                <w:szCs w:val="20"/>
              </w:rPr>
            </w:pPr>
          </w:p>
          <w:p w14:paraId="12338465" w14:textId="77777777" w:rsidR="004E6B53" w:rsidRDefault="004E6B53" w:rsidP="006E5F9A">
            <w:pPr>
              <w:pStyle w:val="TableParagraph"/>
              <w:suppressAutoHyphens/>
              <w:jc w:val="center"/>
              <w:rPr>
                <w:sz w:val="20"/>
                <w:szCs w:val="20"/>
              </w:rPr>
            </w:pPr>
          </w:p>
          <w:p w14:paraId="5D6ACBD0" w14:textId="77777777" w:rsidR="004E6B53" w:rsidRPr="004E6B53" w:rsidRDefault="004E6B53" w:rsidP="006E5F9A">
            <w:pPr>
              <w:pStyle w:val="TableParagraph"/>
              <w:suppressAutoHyphens/>
              <w:jc w:val="center"/>
              <w:rPr>
                <w:sz w:val="20"/>
                <w:szCs w:val="20"/>
              </w:rPr>
            </w:pPr>
          </w:p>
          <w:p w14:paraId="6519E272" w14:textId="77777777" w:rsidR="00B74C91" w:rsidRPr="004E6B53" w:rsidRDefault="00B74C91" w:rsidP="006E5F9A">
            <w:pPr>
              <w:pStyle w:val="TableParagraph"/>
              <w:suppressAutoHyphens/>
              <w:jc w:val="center"/>
              <w:rPr>
                <w:sz w:val="20"/>
                <w:szCs w:val="20"/>
              </w:rPr>
            </w:pPr>
          </w:p>
          <w:p w14:paraId="2D11213B" w14:textId="77777777" w:rsidR="00B74C91" w:rsidRPr="004E6B53" w:rsidRDefault="00B74C91" w:rsidP="006E5F9A">
            <w:pPr>
              <w:pStyle w:val="TableParagraph"/>
              <w:suppressAutoHyphens/>
              <w:jc w:val="center"/>
              <w:rPr>
                <w:sz w:val="20"/>
                <w:szCs w:val="20"/>
              </w:rPr>
            </w:pPr>
            <w:r w:rsidRPr="004E6B53">
              <w:rPr>
                <w:sz w:val="20"/>
                <w:szCs w:val="20"/>
              </w:rPr>
              <w:t>0,36</w:t>
            </w:r>
          </w:p>
          <w:p w14:paraId="0534AAE8" w14:textId="77777777" w:rsidR="00B74C91" w:rsidRPr="004E6B53" w:rsidRDefault="00B74C91" w:rsidP="006E5F9A">
            <w:pPr>
              <w:pStyle w:val="TableParagraph"/>
              <w:suppressAutoHyphens/>
              <w:jc w:val="center"/>
              <w:rPr>
                <w:sz w:val="20"/>
                <w:szCs w:val="20"/>
              </w:rPr>
            </w:pPr>
            <w:r w:rsidRPr="004E6B53">
              <w:rPr>
                <w:sz w:val="20"/>
                <w:szCs w:val="20"/>
              </w:rPr>
              <w:t>(0,13, 1,00)</w:t>
            </w:r>
          </w:p>
          <w:p w14:paraId="508D2AEC" w14:textId="77777777" w:rsidR="00B74C91" w:rsidRPr="004E6B53" w:rsidRDefault="00B74C91" w:rsidP="006E5F9A">
            <w:pPr>
              <w:pStyle w:val="TableParagraph"/>
              <w:suppressAutoHyphens/>
              <w:jc w:val="center"/>
              <w:rPr>
                <w:sz w:val="20"/>
                <w:szCs w:val="20"/>
              </w:rPr>
            </w:pPr>
          </w:p>
          <w:p w14:paraId="52B472C1" w14:textId="77777777" w:rsidR="00B74C91" w:rsidRPr="004E6B53" w:rsidRDefault="00B74C91" w:rsidP="006E5F9A">
            <w:pPr>
              <w:pStyle w:val="TableParagraph"/>
              <w:suppressAutoHyphens/>
              <w:jc w:val="center"/>
              <w:rPr>
                <w:sz w:val="20"/>
                <w:szCs w:val="20"/>
              </w:rPr>
            </w:pPr>
          </w:p>
          <w:p w14:paraId="63EEE43D" w14:textId="77777777" w:rsidR="004E6B53" w:rsidRDefault="004E6B53" w:rsidP="006E5F9A">
            <w:pPr>
              <w:pStyle w:val="TableParagraph"/>
              <w:suppressAutoHyphens/>
              <w:jc w:val="center"/>
              <w:rPr>
                <w:sz w:val="20"/>
                <w:szCs w:val="20"/>
              </w:rPr>
            </w:pPr>
          </w:p>
          <w:p w14:paraId="5EB6F12B" w14:textId="77777777" w:rsidR="004E6B53" w:rsidRDefault="004E6B53" w:rsidP="006E5F9A">
            <w:pPr>
              <w:pStyle w:val="TableParagraph"/>
              <w:suppressAutoHyphens/>
              <w:jc w:val="center"/>
              <w:rPr>
                <w:sz w:val="20"/>
                <w:szCs w:val="20"/>
              </w:rPr>
            </w:pPr>
          </w:p>
          <w:p w14:paraId="2B4EE5E0" w14:textId="77777777" w:rsidR="004E6B53" w:rsidRDefault="004E6B53" w:rsidP="006E5F9A">
            <w:pPr>
              <w:pStyle w:val="TableParagraph"/>
              <w:suppressAutoHyphens/>
              <w:jc w:val="center"/>
              <w:rPr>
                <w:sz w:val="20"/>
                <w:szCs w:val="20"/>
              </w:rPr>
            </w:pPr>
          </w:p>
          <w:p w14:paraId="0CD58165" w14:textId="77777777" w:rsidR="00B74C91" w:rsidRPr="004E6B53" w:rsidRDefault="00B74C91" w:rsidP="006E5F9A">
            <w:pPr>
              <w:pStyle w:val="TableParagraph"/>
              <w:suppressAutoHyphens/>
              <w:jc w:val="center"/>
              <w:rPr>
                <w:sz w:val="20"/>
                <w:szCs w:val="20"/>
              </w:rPr>
            </w:pPr>
            <w:r w:rsidRPr="004E6B53">
              <w:rPr>
                <w:sz w:val="20"/>
                <w:szCs w:val="20"/>
              </w:rPr>
              <w:t>0,25***</w:t>
            </w:r>
          </w:p>
          <w:p w14:paraId="75D1A9F3" w14:textId="77777777" w:rsidR="00B74C91" w:rsidRPr="004E6B53" w:rsidRDefault="00B74C91" w:rsidP="006E5F9A">
            <w:pPr>
              <w:pStyle w:val="TableParagraph"/>
              <w:suppressAutoHyphens/>
              <w:jc w:val="center"/>
              <w:rPr>
                <w:sz w:val="20"/>
                <w:szCs w:val="20"/>
              </w:rPr>
            </w:pPr>
            <w:r w:rsidRPr="004E6B53">
              <w:rPr>
                <w:sz w:val="20"/>
                <w:szCs w:val="20"/>
              </w:rPr>
              <w:t>(0,09, 0,70)</w:t>
            </w:r>
          </w:p>
          <w:p w14:paraId="0771BA34" w14:textId="77777777" w:rsidR="00B74C91" w:rsidRPr="004E6B53" w:rsidRDefault="00B74C91" w:rsidP="006E5F9A">
            <w:pPr>
              <w:pStyle w:val="TableParagraph"/>
              <w:suppressAutoHyphens/>
              <w:jc w:val="center"/>
              <w:rPr>
                <w:sz w:val="20"/>
                <w:szCs w:val="20"/>
              </w:rPr>
            </w:pPr>
          </w:p>
          <w:p w14:paraId="31011829" w14:textId="77777777" w:rsidR="00B74C91" w:rsidRPr="004E6B53" w:rsidRDefault="00B74C91" w:rsidP="006E5F9A">
            <w:pPr>
              <w:pStyle w:val="TableParagraph"/>
              <w:suppressAutoHyphens/>
              <w:jc w:val="center"/>
              <w:rPr>
                <w:sz w:val="20"/>
                <w:szCs w:val="20"/>
              </w:rPr>
            </w:pPr>
          </w:p>
          <w:p w14:paraId="5C769286" w14:textId="77777777" w:rsidR="004E6B53" w:rsidRDefault="004E6B53" w:rsidP="006E5F9A">
            <w:pPr>
              <w:pStyle w:val="TableParagraph"/>
              <w:suppressAutoHyphens/>
              <w:jc w:val="center"/>
              <w:rPr>
                <w:sz w:val="20"/>
                <w:szCs w:val="20"/>
              </w:rPr>
            </w:pPr>
          </w:p>
          <w:p w14:paraId="35AB212C" w14:textId="77777777" w:rsidR="006725DF" w:rsidRDefault="006725DF" w:rsidP="006E5F9A">
            <w:pPr>
              <w:pStyle w:val="TableParagraph"/>
              <w:suppressAutoHyphens/>
              <w:jc w:val="center"/>
              <w:rPr>
                <w:sz w:val="20"/>
                <w:szCs w:val="20"/>
              </w:rPr>
            </w:pPr>
          </w:p>
          <w:p w14:paraId="2B2F6290" w14:textId="77777777" w:rsidR="006725DF" w:rsidRDefault="006725DF" w:rsidP="006E5F9A">
            <w:pPr>
              <w:pStyle w:val="TableParagraph"/>
              <w:suppressAutoHyphens/>
              <w:jc w:val="center"/>
              <w:rPr>
                <w:sz w:val="20"/>
                <w:szCs w:val="20"/>
              </w:rPr>
            </w:pPr>
          </w:p>
          <w:p w14:paraId="4BDFFBD1" w14:textId="77777777" w:rsidR="00B74C91" w:rsidRPr="004E6B53" w:rsidRDefault="00B74C91" w:rsidP="006E5F9A">
            <w:pPr>
              <w:pStyle w:val="TableParagraph"/>
              <w:suppressAutoHyphens/>
              <w:jc w:val="center"/>
              <w:rPr>
                <w:sz w:val="20"/>
                <w:szCs w:val="20"/>
              </w:rPr>
            </w:pPr>
            <w:r w:rsidRPr="004E6B53">
              <w:rPr>
                <w:sz w:val="20"/>
                <w:szCs w:val="20"/>
              </w:rPr>
              <w:t>0,44</w:t>
            </w:r>
          </w:p>
          <w:p w14:paraId="6ACC524C" w14:textId="77777777" w:rsidR="00B74C91" w:rsidRPr="004E6B53" w:rsidRDefault="00B74C91" w:rsidP="006E5F9A">
            <w:pPr>
              <w:pStyle w:val="TableParagraph"/>
              <w:suppressAutoHyphens/>
              <w:jc w:val="center"/>
              <w:rPr>
                <w:sz w:val="20"/>
                <w:szCs w:val="20"/>
              </w:rPr>
            </w:pPr>
            <w:r w:rsidRPr="004E6B53">
              <w:rPr>
                <w:sz w:val="20"/>
                <w:szCs w:val="20"/>
              </w:rPr>
              <w:t>(0,14, 1,32)</w:t>
            </w:r>
          </w:p>
        </w:tc>
        <w:tc>
          <w:tcPr>
            <w:tcW w:w="1640" w:type="dxa"/>
          </w:tcPr>
          <w:p w14:paraId="3B7E117D" w14:textId="77777777" w:rsidR="00B74C91" w:rsidRPr="004E6B53" w:rsidRDefault="00B74C91" w:rsidP="006E5F9A">
            <w:pPr>
              <w:pStyle w:val="TableParagraph"/>
              <w:suppressAutoHyphens/>
              <w:jc w:val="center"/>
              <w:rPr>
                <w:sz w:val="20"/>
                <w:szCs w:val="20"/>
              </w:rPr>
            </w:pPr>
            <w:r w:rsidRPr="004E6B53">
              <w:rPr>
                <w:sz w:val="20"/>
                <w:szCs w:val="20"/>
              </w:rPr>
              <w:t>0,28**</w:t>
            </w:r>
          </w:p>
          <w:p w14:paraId="6E71C731" w14:textId="77777777" w:rsidR="00B74C91" w:rsidRPr="004E6B53" w:rsidRDefault="00B74C91" w:rsidP="006E5F9A">
            <w:pPr>
              <w:pStyle w:val="TableParagraph"/>
              <w:suppressAutoHyphens/>
              <w:jc w:val="center"/>
              <w:rPr>
                <w:sz w:val="20"/>
                <w:szCs w:val="20"/>
              </w:rPr>
            </w:pPr>
            <w:r w:rsidRPr="004E6B53">
              <w:rPr>
                <w:sz w:val="20"/>
                <w:szCs w:val="20"/>
              </w:rPr>
              <w:t>(0,12, 0,66)</w:t>
            </w:r>
          </w:p>
          <w:p w14:paraId="1DF39A64" w14:textId="77777777" w:rsidR="00B74C91" w:rsidRPr="004E6B53" w:rsidRDefault="00B74C91" w:rsidP="006E5F9A">
            <w:pPr>
              <w:pStyle w:val="TableParagraph"/>
              <w:suppressAutoHyphens/>
              <w:jc w:val="center"/>
              <w:rPr>
                <w:sz w:val="20"/>
                <w:szCs w:val="20"/>
              </w:rPr>
            </w:pPr>
          </w:p>
          <w:p w14:paraId="25769DE9" w14:textId="77777777" w:rsidR="00B74C91" w:rsidRPr="004E6B53" w:rsidRDefault="00B74C91" w:rsidP="006E5F9A">
            <w:pPr>
              <w:pStyle w:val="TableParagraph"/>
              <w:suppressAutoHyphens/>
              <w:jc w:val="center"/>
              <w:rPr>
                <w:sz w:val="20"/>
                <w:szCs w:val="20"/>
              </w:rPr>
            </w:pPr>
          </w:p>
          <w:p w14:paraId="5294B43B" w14:textId="77777777" w:rsidR="00B74C91" w:rsidRPr="004E6B53" w:rsidRDefault="00B74C91" w:rsidP="006E5F9A">
            <w:pPr>
              <w:pStyle w:val="TableParagraph"/>
              <w:suppressAutoHyphens/>
              <w:jc w:val="center"/>
              <w:rPr>
                <w:sz w:val="20"/>
                <w:szCs w:val="20"/>
              </w:rPr>
            </w:pPr>
          </w:p>
          <w:p w14:paraId="2DD32B4E" w14:textId="77777777" w:rsidR="00B74C91" w:rsidRPr="004E6B53" w:rsidRDefault="00B74C91" w:rsidP="006E5F9A">
            <w:pPr>
              <w:pStyle w:val="TableParagraph"/>
              <w:suppressAutoHyphens/>
              <w:jc w:val="center"/>
              <w:rPr>
                <w:sz w:val="20"/>
                <w:szCs w:val="20"/>
              </w:rPr>
            </w:pPr>
          </w:p>
          <w:p w14:paraId="19310A15" w14:textId="77777777" w:rsidR="004E6B53" w:rsidRDefault="004E6B53" w:rsidP="006E5F9A">
            <w:pPr>
              <w:pStyle w:val="TableParagraph"/>
              <w:suppressAutoHyphens/>
              <w:jc w:val="center"/>
              <w:rPr>
                <w:sz w:val="20"/>
                <w:szCs w:val="20"/>
              </w:rPr>
            </w:pPr>
          </w:p>
          <w:p w14:paraId="095C8AB2" w14:textId="77777777" w:rsidR="00B74C91" w:rsidRPr="004E6B53" w:rsidRDefault="00B74C91" w:rsidP="006E5F9A">
            <w:pPr>
              <w:pStyle w:val="TableParagraph"/>
              <w:suppressAutoHyphens/>
              <w:jc w:val="center"/>
              <w:rPr>
                <w:sz w:val="20"/>
                <w:szCs w:val="20"/>
              </w:rPr>
            </w:pPr>
            <w:r w:rsidRPr="004E6B53">
              <w:rPr>
                <w:sz w:val="20"/>
                <w:szCs w:val="20"/>
              </w:rPr>
              <w:t>0,48</w:t>
            </w:r>
          </w:p>
          <w:p w14:paraId="3E417195" w14:textId="77777777" w:rsidR="00B74C91" w:rsidRPr="004E6B53" w:rsidRDefault="00B74C91" w:rsidP="006E5F9A">
            <w:pPr>
              <w:pStyle w:val="TableParagraph"/>
              <w:suppressAutoHyphens/>
              <w:jc w:val="center"/>
              <w:rPr>
                <w:sz w:val="20"/>
                <w:szCs w:val="20"/>
              </w:rPr>
            </w:pPr>
            <w:r w:rsidRPr="004E6B53">
              <w:rPr>
                <w:sz w:val="20"/>
                <w:szCs w:val="20"/>
              </w:rPr>
              <w:t>(0,20, 1,16)</w:t>
            </w:r>
          </w:p>
          <w:p w14:paraId="6FAF2D54" w14:textId="77777777" w:rsidR="00B74C91" w:rsidRPr="004E6B53" w:rsidRDefault="00B74C91" w:rsidP="006E5F9A">
            <w:pPr>
              <w:pStyle w:val="TableParagraph"/>
              <w:suppressAutoHyphens/>
              <w:jc w:val="center"/>
              <w:rPr>
                <w:sz w:val="20"/>
                <w:szCs w:val="20"/>
              </w:rPr>
            </w:pPr>
          </w:p>
          <w:p w14:paraId="2E6AE54E" w14:textId="77777777" w:rsidR="00B74C91" w:rsidRPr="004E6B53" w:rsidRDefault="00B74C91" w:rsidP="006E5F9A">
            <w:pPr>
              <w:pStyle w:val="TableParagraph"/>
              <w:suppressAutoHyphens/>
              <w:jc w:val="center"/>
              <w:rPr>
                <w:sz w:val="20"/>
                <w:szCs w:val="20"/>
              </w:rPr>
            </w:pPr>
          </w:p>
          <w:p w14:paraId="55EBA97E" w14:textId="77777777" w:rsidR="00B74C91" w:rsidRPr="004E6B53" w:rsidRDefault="00B74C91" w:rsidP="006E5F9A">
            <w:pPr>
              <w:pStyle w:val="TableParagraph"/>
              <w:suppressAutoHyphens/>
              <w:jc w:val="center"/>
              <w:rPr>
                <w:sz w:val="20"/>
                <w:szCs w:val="20"/>
              </w:rPr>
            </w:pPr>
          </w:p>
          <w:p w14:paraId="4CD21D8A" w14:textId="77777777" w:rsidR="00B74C91" w:rsidRPr="004E6B53" w:rsidRDefault="00B74C91" w:rsidP="006E5F9A">
            <w:pPr>
              <w:pStyle w:val="TableParagraph"/>
              <w:suppressAutoHyphens/>
              <w:jc w:val="center"/>
              <w:rPr>
                <w:sz w:val="20"/>
                <w:szCs w:val="20"/>
              </w:rPr>
            </w:pPr>
          </w:p>
          <w:p w14:paraId="33C41E03" w14:textId="77777777" w:rsidR="004E6B53" w:rsidRDefault="004E6B53" w:rsidP="006E5F9A">
            <w:pPr>
              <w:pStyle w:val="TableParagraph"/>
              <w:suppressAutoHyphens/>
              <w:jc w:val="center"/>
              <w:rPr>
                <w:sz w:val="20"/>
                <w:szCs w:val="20"/>
              </w:rPr>
            </w:pPr>
          </w:p>
          <w:p w14:paraId="05C01BA1" w14:textId="77777777" w:rsidR="00B74C91" w:rsidRPr="004E6B53" w:rsidRDefault="00B74C91" w:rsidP="006E5F9A">
            <w:pPr>
              <w:pStyle w:val="TableParagraph"/>
              <w:suppressAutoHyphens/>
              <w:jc w:val="center"/>
              <w:rPr>
                <w:sz w:val="20"/>
                <w:szCs w:val="20"/>
              </w:rPr>
            </w:pPr>
            <w:r w:rsidRPr="004E6B53">
              <w:rPr>
                <w:sz w:val="20"/>
                <w:szCs w:val="20"/>
              </w:rPr>
              <w:t>0,42</w:t>
            </w:r>
          </w:p>
          <w:p w14:paraId="35F0AE5B" w14:textId="77777777" w:rsidR="00B74C91" w:rsidRPr="004E6B53" w:rsidRDefault="00B74C91" w:rsidP="006E5F9A">
            <w:pPr>
              <w:pStyle w:val="TableParagraph"/>
              <w:suppressAutoHyphens/>
              <w:jc w:val="center"/>
              <w:rPr>
                <w:sz w:val="20"/>
                <w:szCs w:val="20"/>
              </w:rPr>
            </w:pPr>
            <w:r w:rsidRPr="004E6B53">
              <w:rPr>
                <w:sz w:val="20"/>
                <w:szCs w:val="20"/>
              </w:rPr>
              <w:t>(0,14, 1,28)</w:t>
            </w:r>
          </w:p>
          <w:p w14:paraId="6D5D9BBE" w14:textId="77777777" w:rsidR="00B74C91" w:rsidRPr="004E6B53" w:rsidRDefault="00B74C91" w:rsidP="006E5F9A">
            <w:pPr>
              <w:pStyle w:val="TableParagraph"/>
              <w:suppressAutoHyphens/>
              <w:jc w:val="center"/>
              <w:rPr>
                <w:sz w:val="20"/>
                <w:szCs w:val="20"/>
              </w:rPr>
            </w:pPr>
          </w:p>
          <w:p w14:paraId="3B2CBB30" w14:textId="77777777" w:rsidR="00B74C91" w:rsidRPr="004E6B53" w:rsidRDefault="00B74C91" w:rsidP="006E5F9A">
            <w:pPr>
              <w:pStyle w:val="TableParagraph"/>
              <w:suppressAutoHyphens/>
              <w:jc w:val="center"/>
              <w:rPr>
                <w:sz w:val="20"/>
                <w:szCs w:val="20"/>
              </w:rPr>
            </w:pPr>
          </w:p>
          <w:p w14:paraId="6D3D7B4E" w14:textId="77777777" w:rsidR="004E6B53" w:rsidRDefault="004E6B53" w:rsidP="006E5F9A">
            <w:pPr>
              <w:pStyle w:val="TableParagraph"/>
              <w:suppressAutoHyphens/>
              <w:jc w:val="center"/>
              <w:rPr>
                <w:sz w:val="20"/>
                <w:szCs w:val="20"/>
              </w:rPr>
            </w:pPr>
          </w:p>
          <w:p w14:paraId="6AB05B57" w14:textId="77777777" w:rsidR="004E6B53" w:rsidRDefault="004E6B53" w:rsidP="006E5F9A">
            <w:pPr>
              <w:pStyle w:val="TableParagraph"/>
              <w:suppressAutoHyphens/>
              <w:jc w:val="center"/>
              <w:rPr>
                <w:sz w:val="20"/>
                <w:szCs w:val="20"/>
              </w:rPr>
            </w:pPr>
          </w:p>
          <w:p w14:paraId="0AAD0A20" w14:textId="77777777" w:rsidR="004E6B53" w:rsidRPr="004E6B53" w:rsidRDefault="004E6B53" w:rsidP="006E5F9A">
            <w:pPr>
              <w:pStyle w:val="TableParagraph"/>
              <w:suppressAutoHyphens/>
              <w:jc w:val="center"/>
              <w:rPr>
                <w:sz w:val="20"/>
                <w:szCs w:val="20"/>
              </w:rPr>
            </w:pPr>
          </w:p>
          <w:p w14:paraId="2B6A2838" w14:textId="77777777" w:rsidR="00B74C91" w:rsidRPr="004E6B53" w:rsidRDefault="00B74C91" w:rsidP="006E5F9A">
            <w:pPr>
              <w:pStyle w:val="TableParagraph"/>
              <w:suppressAutoHyphens/>
              <w:jc w:val="center"/>
              <w:rPr>
                <w:sz w:val="20"/>
                <w:szCs w:val="20"/>
              </w:rPr>
            </w:pPr>
            <w:r w:rsidRPr="004E6B53">
              <w:rPr>
                <w:sz w:val="20"/>
                <w:szCs w:val="20"/>
              </w:rPr>
              <w:t>0,67</w:t>
            </w:r>
          </w:p>
          <w:p w14:paraId="2295C7D5" w14:textId="77777777" w:rsidR="00B74C91" w:rsidRPr="004E6B53" w:rsidRDefault="00B74C91" w:rsidP="006E5F9A">
            <w:pPr>
              <w:pStyle w:val="TableParagraph"/>
              <w:suppressAutoHyphens/>
              <w:jc w:val="center"/>
              <w:rPr>
                <w:sz w:val="20"/>
                <w:szCs w:val="20"/>
              </w:rPr>
            </w:pPr>
            <w:r w:rsidRPr="004E6B53">
              <w:rPr>
                <w:sz w:val="20"/>
                <w:szCs w:val="20"/>
              </w:rPr>
              <w:t>(0,21, 2,10)</w:t>
            </w:r>
          </w:p>
          <w:p w14:paraId="672007E6" w14:textId="77777777" w:rsidR="00B74C91" w:rsidRPr="004E6B53" w:rsidRDefault="00B74C91" w:rsidP="006E5F9A">
            <w:pPr>
              <w:pStyle w:val="TableParagraph"/>
              <w:suppressAutoHyphens/>
              <w:jc w:val="center"/>
              <w:rPr>
                <w:sz w:val="20"/>
                <w:szCs w:val="20"/>
              </w:rPr>
            </w:pPr>
          </w:p>
          <w:p w14:paraId="52DBF45F" w14:textId="77777777" w:rsidR="00B74C91" w:rsidRPr="004E6B53" w:rsidRDefault="00B74C91" w:rsidP="006E5F9A">
            <w:pPr>
              <w:pStyle w:val="TableParagraph"/>
              <w:suppressAutoHyphens/>
              <w:jc w:val="center"/>
              <w:rPr>
                <w:sz w:val="20"/>
                <w:szCs w:val="20"/>
              </w:rPr>
            </w:pPr>
          </w:p>
          <w:p w14:paraId="768A862F" w14:textId="77777777" w:rsidR="004E6B53" w:rsidRDefault="004E6B53" w:rsidP="006E5F9A">
            <w:pPr>
              <w:pStyle w:val="TableParagraph"/>
              <w:suppressAutoHyphens/>
              <w:jc w:val="center"/>
              <w:rPr>
                <w:sz w:val="20"/>
                <w:szCs w:val="20"/>
              </w:rPr>
            </w:pPr>
          </w:p>
          <w:p w14:paraId="3B4AB275" w14:textId="77777777" w:rsidR="004E6B53" w:rsidRDefault="004E6B53" w:rsidP="006E5F9A">
            <w:pPr>
              <w:pStyle w:val="TableParagraph"/>
              <w:suppressAutoHyphens/>
              <w:jc w:val="center"/>
              <w:rPr>
                <w:sz w:val="20"/>
                <w:szCs w:val="20"/>
              </w:rPr>
            </w:pPr>
          </w:p>
          <w:p w14:paraId="3BAD163C" w14:textId="77777777" w:rsidR="004E6B53" w:rsidRDefault="004E6B53" w:rsidP="006E5F9A">
            <w:pPr>
              <w:pStyle w:val="TableParagraph"/>
              <w:suppressAutoHyphens/>
              <w:jc w:val="center"/>
              <w:rPr>
                <w:sz w:val="20"/>
                <w:szCs w:val="20"/>
              </w:rPr>
            </w:pPr>
          </w:p>
          <w:p w14:paraId="7A3ACC91" w14:textId="77777777" w:rsidR="00B74C91" w:rsidRPr="004E6B53" w:rsidRDefault="00B74C91" w:rsidP="006E5F9A">
            <w:pPr>
              <w:pStyle w:val="TableParagraph"/>
              <w:suppressAutoHyphens/>
              <w:jc w:val="center"/>
              <w:rPr>
                <w:sz w:val="20"/>
                <w:szCs w:val="20"/>
              </w:rPr>
            </w:pPr>
            <w:r w:rsidRPr="004E6B53">
              <w:rPr>
                <w:sz w:val="20"/>
                <w:szCs w:val="20"/>
              </w:rPr>
              <w:t>0,20***</w:t>
            </w:r>
          </w:p>
          <w:p w14:paraId="3CC6CF89" w14:textId="77777777" w:rsidR="00B74C91" w:rsidRPr="004E6B53" w:rsidRDefault="00B74C91" w:rsidP="006E5F9A">
            <w:pPr>
              <w:pStyle w:val="TableParagraph"/>
              <w:suppressAutoHyphens/>
              <w:jc w:val="center"/>
              <w:rPr>
                <w:sz w:val="20"/>
                <w:szCs w:val="20"/>
              </w:rPr>
            </w:pPr>
            <w:r w:rsidRPr="004E6B53">
              <w:rPr>
                <w:sz w:val="20"/>
                <w:szCs w:val="20"/>
              </w:rPr>
              <w:t>(0,05, 0,76)</w:t>
            </w:r>
          </w:p>
          <w:p w14:paraId="32149429" w14:textId="77777777" w:rsidR="00B74C91" w:rsidRPr="004E6B53" w:rsidRDefault="00B74C91" w:rsidP="006E5F9A">
            <w:pPr>
              <w:pStyle w:val="TableParagraph"/>
              <w:suppressAutoHyphens/>
              <w:jc w:val="center"/>
              <w:rPr>
                <w:sz w:val="20"/>
                <w:szCs w:val="20"/>
              </w:rPr>
            </w:pPr>
          </w:p>
          <w:p w14:paraId="5A84B71E" w14:textId="77777777" w:rsidR="00B74C91" w:rsidRDefault="00B74C91" w:rsidP="006E5F9A">
            <w:pPr>
              <w:pStyle w:val="TableParagraph"/>
              <w:suppressAutoHyphens/>
              <w:jc w:val="center"/>
              <w:rPr>
                <w:sz w:val="20"/>
                <w:szCs w:val="20"/>
              </w:rPr>
            </w:pPr>
          </w:p>
          <w:p w14:paraId="3071EC04" w14:textId="77777777" w:rsidR="00B74C91" w:rsidRDefault="00B74C91" w:rsidP="006E5F9A">
            <w:pPr>
              <w:pStyle w:val="TableParagraph"/>
              <w:suppressAutoHyphens/>
              <w:jc w:val="center"/>
              <w:rPr>
                <w:sz w:val="20"/>
                <w:szCs w:val="20"/>
              </w:rPr>
            </w:pPr>
          </w:p>
          <w:p w14:paraId="6ECD7A09" w14:textId="77777777" w:rsidR="006725DF" w:rsidRDefault="006725DF" w:rsidP="006E5F9A">
            <w:pPr>
              <w:pStyle w:val="TableParagraph"/>
              <w:suppressAutoHyphens/>
              <w:jc w:val="center"/>
              <w:rPr>
                <w:sz w:val="20"/>
                <w:szCs w:val="20"/>
              </w:rPr>
            </w:pPr>
          </w:p>
          <w:p w14:paraId="24A759D8" w14:textId="77777777" w:rsidR="004E6B53" w:rsidRPr="004E6B53" w:rsidRDefault="004E6B53" w:rsidP="006E5F9A">
            <w:pPr>
              <w:pStyle w:val="TableParagraph"/>
              <w:suppressAutoHyphens/>
              <w:jc w:val="center"/>
              <w:rPr>
                <w:sz w:val="20"/>
                <w:szCs w:val="20"/>
              </w:rPr>
            </w:pPr>
          </w:p>
          <w:p w14:paraId="432E87FD" w14:textId="77777777" w:rsidR="00B74C91" w:rsidRPr="004E6B53" w:rsidRDefault="00B74C91" w:rsidP="006E5F9A">
            <w:pPr>
              <w:pStyle w:val="TableParagraph"/>
              <w:suppressAutoHyphens/>
              <w:jc w:val="center"/>
              <w:rPr>
                <w:sz w:val="20"/>
                <w:szCs w:val="20"/>
              </w:rPr>
            </w:pPr>
            <w:r w:rsidRPr="004E6B53">
              <w:rPr>
                <w:sz w:val="20"/>
                <w:szCs w:val="20"/>
              </w:rPr>
              <w:t>0,35</w:t>
            </w:r>
          </w:p>
          <w:p w14:paraId="6B23CA8D" w14:textId="77777777" w:rsidR="00B74C91" w:rsidRPr="004E6B53" w:rsidRDefault="00B74C91" w:rsidP="006E5F9A">
            <w:pPr>
              <w:pStyle w:val="TableParagraph"/>
              <w:suppressAutoHyphens/>
              <w:jc w:val="center"/>
              <w:rPr>
                <w:sz w:val="20"/>
                <w:szCs w:val="20"/>
              </w:rPr>
            </w:pPr>
            <w:r w:rsidRPr="004E6B53">
              <w:rPr>
                <w:sz w:val="20"/>
                <w:szCs w:val="20"/>
              </w:rPr>
              <w:t>(0,09, 1,42)</w:t>
            </w:r>
          </w:p>
        </w:tc>
      </w:tr>
      <w:tr w:rsidR="00B74C91" w:rsidRPr="00777B93" w14:paraId="0141B446" w14:textId="77777777" w:rsidTr="006E4E50">
        <w:trPr>
          <w:cantSplit/>
          <w:trHeight w:val="1656"/>
        </w:trPr>
        <w:tc>
          <w:tcPr>
            <w:tcW w:w="2830" w:type="dxa"/>
          </w:tcPr>
          <w:p w14:paraId="466E77E5" w14:textId="77777777" w:rsidR="00B74C91" w:rsidRPr="004E6B53" w:rsidRDefault="00B74C91" w:rsidP="006E5F9A">
            <w:pPr>
              <w:pStyle w:val="TableParagraph"/>
              <w:suppressAutoHyphens/>
              <w:rPr>
                <w:i/>
                <w:iCs/>
                <w:sz w:val="20"/>
                <w:szCs w:val="20"/>
              </w:rPr>
            </w:pPr>
            <w:r w:rsidRPr="004E6B53">
              <w:rPr>
                <w:i/>
                <w:iCs/>
                <w:sz w:val="20"/>
                <w:szCs w:val="20"/>
              </w:rPr>
              <w:lastRenderedPageBreak/>
              <w:t>Kumulatiivinen glukokortikoidiannos (mg)</w:t>
            </w:r>
          </w:p>
          <w:p w14:paraId="16FA79BD" w14:textId="77777777" w:rsidR="00B74C91" w:rsidRPr="004E6B53" w:rsidRDefault="00B74C91" w:rsidP="00A14525">
            <w:pPr>
              <w:pStyle w:val="TableParagraph"/>
              <w:suppressAutoHyphens/>
              <w:ind w:left="284"/>
              <w:rPr>
                <w:i/>
                <w:iCs/>
                <w:sz w:val="20"/>
                <w:szCs w:val="20"/>
              </w:rPr>
            </w:pPr>
            <w:r w:rsidRPr="004E6B53">
              <w:rPr>
                <w:i/>
                <w:iCs/>
                <w:sz w:val="20"/>
                <w:szCs w:val="20"/>
              </w:rPr>
              <w:t>mediaani viikolla 52 (tosilitsumabiryhmät vs lumevalmiste + 26</w:t>
            </w:r>
            <w:r w:rsidRPr="004E6B53">
              <w:rPr>
                <w:i/>
                <w:iCs/>
                <w:sz w:val="20"/>
                <w:szCs w:val="20"/>
                <w:vertAlign w:val="superscript"/>
              </w:rPr>
              <w:t>2</w:t>
            </w:r>
            <w:r w:rsidRPr="004E6B53">
              <w:rPr>
                <w:i/>
                <w:iCs/>
                <w:sz w:val="20"/>
                <w:szCs w:val="20"/>
              </w:rPr>
              <w:t>)</w:t>
            </w:r>
          </w:p>
          <w:p w14:paraId="221D1091" w14:textId="77777777" w:rsidR="00B74C91" w:rsidRPr="004E6B53" w:rsidRDefault="00B74C91" w:rsidP="00A14525">
            <w:pPr>
              <w:pStyle w:val="TableParagraph"/>
              <w:suppressAutoHyphens/>
              <w:ind w:left="284"/>
              <w:rPr>
                <w:i/>
                <w:iCs/>
                <w:sz w:val="20"/>
                <w:szCs w:val="20"/>
              </w:rPr>
            </w:pPr>
            <w:r w:rsidRPr="004E6B53">
              <w:rPr>
                <w:i/>
                <w:iCs/>
                <w:sz w:val="20"/>
                <w:szCs w:val="20"/>
              </w:rPr>
              <w:t>mediaani viikolla 52 (tosilitsumabiryhmät vs lumevalmiste + 52</w:t>
            </w:r>
            <w:r w:rsidRPr="004E6B53">
              <w:rPr>
                <w:i/>
                <w:iCs/>
                <w:sz w:val="20"/>
                <w:szCs w:val="20"/>
                <w:vertAlign w:val="superscript"/>
              </w:rPr>
              <w:t>2</w:t>
            </w:r>
            <w:r w:rsidRPr="004E6B53">
              <w:rPr>
                <w:i/>
                <w:iCs/>
                <w:sz w:val="20"/>
                <w:szCs w:val="20"/>
              </w:rPr>
              <w:t>)</w:t>
            </w:r>
          </w:p>
        </w:tc>
        <w:tc>
          <w:tcPr>
            <w:tcW w:w="1560" w:type="dxa"/>
          </w:tcPr>
          <w:p w14:paraId="50115A66" w14:textId="77777777" w:rsidR="00B74C91" w:rsidRPr="004E6B53" w:rsidRDefault="00B74C91" w:rsidP="006E5F9A">
            <w:pPr>
              <w:pStyle w:val="TableParagraph"/>
              <w:suppressAutoHyphens/>
              <w:jc w:val="center"/>
              <w:rPr>
                <w:sz w:val="20"/>
                <w:szCs w:val="20"/>
              </w:rPr>
            </w:pPr>
          </w:p>
          <w:p w14:paraId="44C5DF16" w14:textId="77777777" w:rsidR="00B74C91" w:rsidRPr="004E6B53" w:rsidRDefault="00B74C91" w:rsidP="006E5F9A">
            <w:pPr>
              <w:pStyle w:val="TableParagraph"/>
              <w:suppressAutoHyphens/>
              <w:jc w:val="center"/>
              <w:rPr>
                <w:sz w:val="20"/>
                <w:szCs w:val="20"/>
              </w:rPr>
            </w:pPr>
          </w:p>
          <w:p w14:paraId="760C1546" w14:textId="77777777" w:rsidR="00B74C91" w:rsidRPr="004E6B53" w:rsidRDefault="00B74C91" w:rsidP="006E5F9A">
            <w:pPr>
              <w:pStyle w:val="TableParagraph"/>
              <w:suppressAutoHyphens/>
              <w:jc w:val="center"/>
              <w:rPr>
                <w:sz w:val="20"/>
                <w:szCs w:val="20"/>
              </w:rPr>
            </w:pPr>
            <w:r w:rsidRPr="004E6B53">
              <w:rPr>
                <w:sz w:val="20"/>
                <w:szCs w:val="20"/>
              </w:rPr>
              <w:t>3296,00</w:t>
            </w:r>
          </w:p>
          <w:p w14:paraId="489906CE" w14:textId="77777777" w:rsidR="00B74C91" w:rsidRPr="004E6B53" w:rsidRDefault="00B74C91" w:rsidP="006E5F9A">
            <w:pPr>
              <w:pStyle w:val="TableParagraph"/>
              <w:suppressAutoHyphens/>
              <w:jc w:val="center"/>
              <w:rPr>
                <w:sz w:val="20"/>
                <w:szCs w:val="20"/>
              </w:rPr>
            </w:pPr>
          </w:p>
          <w:p w14:paraId="31A6E7BA" w14:textId="77777777" w:rsidR="00B74C91" w:rsidRPr="004E6B53" w:rsidRDefault="00B74C91" w:rsidP="006E5F9A">
            <w:pPr>
              <w:pStyle w:val="TableParagraph"/>
              <w:suppressAutoHyphens/>
              <w:jc w:val="center"/>
              <w:rPr>
                <w:sz w:val="20"/>
                <w:szCs w:val="20"/>
              </w:rPr>
            </w:pPr>
          </w:p>
          <w:p w14:paraId="6B148AB5" w14:textId="77777777" w:rsidR="00B74C91" w:rsidRPr="004E6B53" w:rsidRDefault="00B74C91" w:rsidP="006E5F9A">
            <w:pPr>
              <w:pStyle w:val="TableParagraph"/>
              <w:suppressAutoHyphens/>
              <w:jc w:val="center"/>
              <w:rPr>
                <w:sz w:val="20"/>
                <w:szCs w:val="20"/>
              </w:rPr>
            </w:pPr>
            <w:r w:rsidRPr="004E6B53">
              <w:rPr>
                <w:sz w:val="20"/>
                <w:szCs w:val="20"/>
              </w:rPr>
              <w:t>N/A</w:t>
            </w:r>
          </w:p>
        </w:tc>
        <w:tc>
          <w:tcPr>
            <w:tcW w:w="1701" w:type="dxa"/>
          </w:tcPr>
          <w:p w14:paraId="0E1A2E2E" w14:textId="77777777" w:rsidR="00B74C91" w:rsidRPr="004E6B53" w:rsidRDefault="00B74C91" w:rsidP="006E5F9A">
            <w:pPr>
              <w:pStyle w:val="TableParagraph"/>
              <w:suppressAutoHyphens/>
              <w:jc w:val="center"/>
              <w:rPr>
                <w:sz w:val="20"/>
                <w:szCs w:val="20"/>
              </w:rPr>
            </w:pPr>
          </w:p>
          <w:p w14:paraId="1D6A47E5" w14:textId="77777777" w:rsidR="00B74C91" w:rsidRPr="004E6B53" w:rsidRDefault="00B74C91" w:rsidP="006E5F9A">
            <w:pPr>
              <w:pStyle w:val="TableParagraph"/>
              <w:suppressAutoHyphens/>
              <w:jc w:val="center"/>
              <w:rPr>
                <w:sz w:val="20"/>
                <w:szCs w:val="20"/>
              </w:rPr>
            </w:pPr>
          </w:p>
          <w:p w14:paraId="1154E3FA" w14:textId="77777777" w:rsidR="00B74C91" w:rsidRPr="004E6B53" w:rsidRDefault="00B74C91" w:rsidP="006E5F9A">
            <w:pPr>
              <w:pStyle w:val="TableParagraph"/>
              <w:suppressAutoHyphens/>
              <w:jc w:val="center"/>
              <w:rPr>
                <w:sz w:val="20"/>
                <w:szCs w:val="20"/>
              </w:rPr>
            </w:pPr>
            <w:r w:rsidRPr="004E6B53">
              <w:rPr>
                <w:sz w:val="20"/>
                <w:szCs w:val="20"/>
              </w:rPr>
              <w:t>N/A</w:t>
            </w:r>
          </w:p>
          <w:p w14:paraId="00BAA1C0" w14:textId="77777777" w:rsidR="00B74C91" w:rsidRPr="004E6B53" w:rsidRDefault="00B74C91" w:rsidP="006E5F9A">
            <w:pPr>
              <w:pStyle w:val="TableParagraph"/>
              <w:suppressAutoHyphens/>
              <w:jc w:val="center"/>
              <w:rPr>
                <w:sz w:val="20"/>
                <w:szCs w:val="20"/>
              </w:rPr>
            </w:pPr>
          </w:p>
          <w:p w14:paraId="12DBF182" w14:textId="77777777" w:rsidR="00B74C91" w:rsidRPr="004E6B53" w:rsidRDefault="00B74C91" w:rsidP="006E5F9A">
            <w:pPr>
              <w:pStyle w:val="TableParagraph"/>
              <w:suppressAutoHyphens/>
              <w:jc w:val="center"/>
              <w:rPr>
                <w:sz w:val="20"/>
                <w:szCs w:val="20"/>
              </w:rPr>
            </w:pPr>
          </w:p>
          <w:p w14:paraId="1ACCC8E5" w14:textId="77777777" w:rsidR="00B74C91" w:rsidRPr="004E6B53" w:rsidRDefault="00B74C91" w:rsidP="006E5F9A">
            <w:pPr>
              <w:pStyle w:val="TableParagraph"/>
              <w:suppressAutoHyphens/>
              <w:jc w:val="center"/>
              <w:rPr>
                <w:sz w:val="20"/>
                <w:szCs w:val="20"/>
              </w:rPr>
            </w:pPr>
            <w:r w:rsidRPr="004E6B53">
              <w:rPr>
                <w:sz w:val="20"/>
                <w:szCs w:val="20"/>
              </w:rPr>
              <w:t>3817,50</w:t>
            </w:r>
          </w:p>
        </w:tc>
        <w:tc>
          <w:tcPr>
            <w:tcW w:w="1701" w:type="dxa"/>
          </w:tcPr>
          <w:p w14:paraId="3D43AECE" w14:textId="77777777" w:rsidR="00B74C91" w:rsidRPr="004E6B53" w:rsidRDefault="00B74C91" w:rsidP="006E5F9A">
            <w:pPr>
              <w:pStyle w:val="TableParagraph"/>
              <w:suppressAutoHyphens/>
              <w:jc w:val="center"/>
              <w:rPr>
                <w:sz w:val="20"/>
                <w:szCs w:val="20"/>
              </w:rPr>
            </w:pPr>
          </w:p>
          <w:p w14:paraId="6895DA1B" w14:textId="77777777" w:rsidR="00B74C91" w:rsidRPr="004E6B53" w:rsidRDefault="00B74C91" w:rsidP="006E5F9A">
            <w:pPr>
              <w:pStyle w:val="TableParagraph"/>
              <w:suppressAutoHyphens/>
              <w:jc w:val="center"/>
              <w:rPr>
                <w:sz w:val="20"/>
                <w:szCs w:val="20"/>
              </w:rPr>
            </w:pPr>
          </w:p>
          <w:p w14:paraId="57DD280E" w14:textId="77777777" w:rsidR="00B74C91" w:rsidRPr="004E6B53" w:rsidRDefault="00B74C91" w:rsidP="006E5F9A">
            <w:pPr>
              <w:pStyle w:val="TableParagraph"/>
              <w:suppressAutoHyphens/>
              <w:jc w:val="center"/>
              <w:rPr>
                <w:sz w:val="20"/>
                <w:szCs w:val="20"/>
              </w:rPr>
            </w:pPr>
            <w:r w:rsidRPr="004E6B53">
              <w:rPr>
                <w:sz w:val="20"/>
                <w:szCs w:val="20"/>
              </w:rPr>
              <w:t>1862,00*</w:t>
            </w:r>
          </w:p>
          <w:p w14:paraId="5A5690A7" w14:textId="77777777" w:rsidR="00B74C91" w:rsidRPr="004E6B53" w:rsidRDefault="00B74C91" w:rsidP="006E5F9A">
            <w:pPr>
              <w:pStyle w:val="TableParagraph"/>
              <w:suppressAutoHyphens/>
              <w:jc w:val="center"/>
              <w:rPr>
                <w:sz w:val="20"/>
                <w:szCs w:val="20"/>
              </w:rPr>
            </w:pPr>
          </w:p>
          <w:p w14:paraId="45F84244" w14:textId="77777777" w:rsidR="00B74C91" w:rsidRPr="004E6B53" w:rsidRDefault="00B74C91" w:rsidP="006E5F9A">
            <w:pPr>
              <w:pStyle w:val="TableParagraph"/>
              <w:suppressAutoHyphens/>
              <w:jc w:val="center"/>
              <w:rPr>
                <w:sz w:val="20"/>
                <w:szCs w:val="20"/>
              </w:rPr>
            </w:pPr>
          </w:p>
          <w:p w14:paraId="6012FE3F" w14:textId="77777777" w:rsidR="00B74C91" w:rsidRPr="004E6B53" w:rsidRDefault="00B74C91" w:rsidP="006E5F9A">
            <w:pPr>
              <w:pStyle w:val="TableParagraph"/>
              <w:suppressAutoHyphens/>
              <w:jc w:val="center"/>
              <w:rPr>
                <w:sz w:val="20"/>
                <w:szCs w:val="20"/>
              </w:rPr>
            </w:pPr>
            <w:r w:rsidRPr="004E6B53">
              <w:rPr>
                <w:sz w:val="20"/>
                <w:szCs w:val="20"/>
              </w:rPr>
              <w:t>1862,00*</w:t>
            </w:r>
          </w:p>
        </w:tc>
        <w:tc>
          <w:tcPr>
            <w:tcW w:w="1640" w:type="dxa"/>
          </w:tcPr>
          <w:p w14:paraId="53B0A508" w14:textId="77777777" w:rsidR="00B74C91" w:rsidRPr="004E6B53" w:rsidRDefault="00B74C91" w:rsidP="006E5F9A">
            <w:pPr>
              <w:pStyle w:val="TableParagraph"/>
              <w:suppressAutoHyphens/>
              <w:jc w:val="center"/>
              <w:rPr>
                <w:sz w:val="20"/>
                <w:szCs w:val="20"/>
              </w:rPr>
            </w:pPr>
          </w:p>
          <w:p w14:paraId="3AB7FE32" w14:textId="77777777" w:rsidR="00B74C91" w:rsidRPr="004E6B53" w:rsidRDefault="00B74C91" w:rsidP="006E5F9A">
            <w:pPr>
              <w:pStyle w:val="TableParagraph"/>
              <w:suppressAutoHyphens/>
              <w:jc w:val="center"/>
              <w:rPr>
                <w:sz w:val="20"/>
                <w:szCs w:val="20"/>
              </w:rPr>
            </w:pPr>
          </w:p>
          <w:p w14:paraId="3F9F9948" w14:textId="77777777" w:rsidR="00B74C91" w:rsidRPr="004E6B53" w:rsidRDefault="00B74C91" w:rsidP="006E5F9A">
            <w:pPr>
              <w:pStyle w:val="TableParagraph"/>
              <w:suppressAutoHyphens/>
              <w:jc w:val="center"/>
              <w:rPr>
                <w:sz w:val="20"/>
                <w:szCs w:val="20"/>
              </w:rPr>
            </w:pPr>
            <w:r w:rsidRPr="004E6B53">
              <w:rPr>
                <w:sz w:val="20"/>
                <w:szCs w:val="20"/>
              </w:rPr>
              <w:t>1862,00*</w:t>
            </w:r>
          </w:p>
          <w:p w14:paraId="68C8462E" w14:textId="77777777" w:rsidR="00B74C91" w:rsidRPr="004E6B53" w:rsidRDefault="00B74C91" w:rsidP="006E5F9A">
            <w:pPr>
              <w:pStyle w:val="TableParagraph"/>
              <w:suppressAutoHyphens/>
              <w:jc w:val="center"/>
              <w:rPr>
                <w:sz w:val="20"/>
                <w:szCs w:val="20"/>
              </w:rPr>
            </w:pPr>
          </w:p>
          <w:p w14:paraId="6639498C" w14:textId="77777777" w:rsidR="00B74C91" w:rsidRPr="004E6B53" w:rsidRDefault="00B74C91" w:rsidP="006E5F9A">
            <w:pPr>
              <w:pStyle w:val="TableParagraph"/>
              <w:suppressAutoHyphens/>
              <w:jc w:val="center"/>
              <w:rPr>
                <w:sz w:val="20"/>
                <w:szCs w:val="20"/>
              </w:rPr>
            </w:pPr>
          </w:p>
          <w:p w14:paraId="3EC75CD9" w14:textId="77777777" w:rsidR="00B74C91" w:rsidRPr="004E6B53" w:rsidRDefault="00B74C91" w:rsidP="006E5F9A">
            <w:pPr>
              <w:pStyle w:val="TableParagraph"/>
              <w:suppressAutoHyphens/>
              <w:jc w:val="center"/>
              <w:rPr>
                <w:sz w:val="20"/>
                <w:szCs w:val="20"/>
              </w:rPr>
            </w:pPr>
            <w:r w:rsidRPr="004E6B53">
              <w:rPr>
                <w:sz w:val="20"/>
                <w:szCs w:val="20"/>
              </w:rPr>
              <w:t>1862,00*</w:t>
            </w:r>
          </w:p>
        </w:tc>
      </w:tr>
      <w:tr w:rsidR="003B7027" w:rsidRPr="00777B93" w14:paraId="2B33FC9D" w14:textId="77777777" w:rsidTr="006E4E50">
        <w:trPr>
          <w:cantSplit/>
        </w:trPr>
        <w:tc>
          <w:tcPr>
            <w:tcW w:w="9432" w:type="dxa"/>
            <w:gridSpan w:val="5"/>
          </w:tcPr>
          <w:p w14:paraId="50AD80D3" w14:textId="77777777" w:rsidR="003B7027" w:rsidRPr="004E6B53" w:rsidRDefault="00296A74" w:rsidP="006E4E50">
            <w:pPr>
              <w:pStyle w:val="TableParagraph"/>
              <w:keepNext/>
              <w:suppressAutoHyphens/>
              <w:rPr>
                <w:b/>
                <w:sz w:val="20"/>
                <w:szCs w:val="20"/>
              </w:rPr>
            </w:pPr>
            <w:r w:rsidRPr="004E6B53">
              <w:rPr>
                <w:b/>
                <w:sz w:val="20"/>
                <w:szCs w:val="20"/>
              </w:rPr>
              <w:t>Eksploratiiviset päätetapahtumat</w:t>
            </w:r>
          </w:p>
        </w:tc>
      </w:tr>
      <w:tr w:rsidR="00B74C91" w:rsidRPr="00777B93" w14:paraId="45A608E6" w14:textId="77777777" w:rsidTr="006E4E50">
        <w:trPr>
          <w:cantSplit/>
          <w:trHeight w:val="689"/>
        </w:trPr>
        <w:tc>
          <w:tcPr>
            <w:tcW w:w="2830" w:type="dxa"/>
          </w:tcPr>
          <w:p w14:paraId="046EEFCD" w14:textId="77777777" w:rsidR="00B74C91" w:rsidRPr="004E6B53" w:rsidRDefault="00B74C91" w:rsidP="006E5F9A">
            <w:pPr>
              <w:pStyle w:val="TableParagraph"/>
              <w:suppressAutoHyphens/>
              <w:rPr>
                <w:sz w:val="20"/>
                <w:szCs w:val="20"/>
              </w:rPr>
            </w:pPr>
            <w:r w:rsidRPr="004E6B53">
              <w:rPr>
                <w:sz w:val="20"/>
                <w:szCs w:val="20"/>
              </w:rPr>
              <w:t>Vuotuistettu relapsoitumisluku, viikko 52</w:t>
            </w:r>
            <w:r w:rsidRPr="004E6B53">
              <w:rPr>
                <w:sz w:val="20"/>
                <w:szCs w:val="20"/>
                <w:vertAlign w:val="superscript"/>
              </w:rPr>
              <w:t>§</w:t>
            </w:r>
          </w:p>
          <w:p w14:paraId="2EF23A01" w14:textId="77777777" w:rsidR="00B74C91" w:rsidRPr="004E6B53" w:rsidRDefault="00B74C91" w:rsidP="00A14525">
            <w:pPr>
              <w:pStyle w:val="TableParagraph"/>
              <w:suppressAutoHyphens/>
              <w:ind w:left="284"/>
              <w:rPr>
                <w:sz w:val="20"/>
                <w:szCs w:val="20"/>
              </w:rPr>
            </w:pPr>
            <w:r w:rsidRPr="004E6B53">
              <w:rPr>
                <w:sz w:val="20"/>
                <w:szCs w:val="20"/>
              </w:rPr>
              <w:t>Keskiarvo (keskihajonta)</w:t>
            </w:r>
          </w:p>
        </w:tc>
        <w:tc>
          <w:tcPr>
            <w:tcW w:w="1560" w:type="dxa"/>
          </w:tcPr>
          <w:p w14:paraId="1DA80A7D" w14:textId="77777777" w:rsidR="00B74C91" w:rsidRDefault="00B74C91" w:rsidP="006E5F9A">
            <w:pPr>
              <w:pStyle w:val="TableParagraph"/>
              <w:suppressAutoHyphens/>
              <w:jc w:val="center"/>
              <w:rPr>
                <w:sz w:val="20"/>
                <w:szCs w:val="20"/>
              </w:rPr>
            </w:pPr>
          </w:p>
          <w:p w14:paraId="52A713E2" w14:textId="77777777" w:rsidR="004E6B53" w:rsidRPr="004E6B53" w:rsidRDefault="004E6B53" w:rsidP="006E5F9A">
            <w:pPr>
              <w:pStyle w:val="TableParagraph"/>
              <w:suppressAutoHyphens/>
              <w:jc w:val="center"/>
              <w:rPr>
                <w:sz w:val="20"/>
                <w:szCs w:val="20"/>
              </w:rPr>
            </w:pPr>
          </w:p>
          <w:p w14:paraId="6EB2A0F6" w14:textId="77777777" w:rsidR="00B74C91" w:rsidRPr="004E6B53" w:rsidRDefault="00B74C91" w:rsidP="006E5F9A">
            <w:pPr>
              <w:pStyle w:val="TableParagraph"/>
              <w:suppressAutoHyphens/>
              <w:jc w:val="center"/>
              <w:rPr>
                <w:sz w:val="20"/>
                <w:szCs w:val="20"/>
              </w:rPr>
            </w:pPr>
            <w:r w:rsidRPr="004E6B53">
              <w:rPr>
                <w:sz w:val="20"/>
                <w:szCs w:val="20"/>
              </w:rPr>
              <w:t>1,74</w:t>
            </w:r>
          </w:p>
          <w:p w14:paraId="55D5F1BB" w14:textId="77777777" w:rsidR="00B74C91" w:rsidRPr="004E6B53" w:rsidRDefault="00B74C91" w:rsidP="006E5F9A">
            <w:pPr>
              <w:pStyle w:val="TableParagraph"/>
              <w:suppressAutoHyphens/>
              <w:jc w:val="center"/>
              <w:rPr>
                <w:sz w:val="20"/>
                <w:szCs w:val="20"/>
              </w:rPr>
            </w:pPr>
            <w:r w:rsidRPr="004E6B53">
              <w:rPr>
                <w:sz w:val="20"/>
                <w:szCs w:val="20"/>
              </w:rPr>
              <w:t>(2,18)</w:t>
            </w:r>
          </w:p>
        </w:tc>
        <w:tc>
          <w:tcPr>
            <w:tcW w:w="1701" w:type="dxa"/>
          </w:tcPr>
          <w:p w14:paraId="0BA77039" w14:textId="77777777" w:rsidR="00B74C91" w:rsidRPr="004E6B53" w:rsidRDefault="00B74C91" w:rsidP="006E5F9A">
            <w:pPr>
              <w:pStyle w:val="TableParagraph"/>
              <w:suppressAutoHyphens/>
              <w:jc w:val="center"/>
              <w:rPr>
                <w:sz w:val="20"/>
                <w:szCs w:val="20"/>
              </w:rPr>
            </w:pPr>
          </w:p>
          <w:p w14:paraId="3188F3A7" w14:textId="77777777" w:rsidR="004E6B53" w:rsidRDefault="004E6B53" w:rsidP="006E5F9A">
            <w:pPr>
              <w:pStyle w:val="TableParagraph"/>
              <w:suppressAutoHyphens/>
              <w:jc w:val="center"/>
              <w:rPr>
                <w:sz w:val="20"/>
                <w:szCs w:val="20"/>
              </w:rPr>
            </w:pPr>
          </w:p>
          <w:p w14:paraId="6DF8294E" w14:textId="77777777" w:rsidR="00B74C91" w:rsidRPr="004E6B53" w:rsidRDefault="00B74C91" w:rsidP="006E5F9A">
            <w:pPr>
              <w:pStyle w:val="TableParagraph"/>
              <w:suppressAutoHyphens/>
              <w:jc w:val="center"/>
              <w:rPr>
                <w:sz w:val="20"/>
                <w:szCs w:val="20"/>
              </w:rPr>
            </w:pPr>
            <w:r w:rsidRPr="004E6B53">
              <w:rPr>
                <w:sz w:val="20"/>
                <w:szCs w:val="20"/>
              </w:rPr>
              <w:t>1,30</w:t>
            </w:r>
          </w:p>
          <w:p w14:paraId="645574CB" w14:textId="77777777" w:rsidR="00B74C91" w:rsidRPr="004E6B53" w:rsidRDefault="00B74C91" w:rsidP="006E5F9A">
            <w:pPr>
              <w:pStyle w:val="TableParagraph"/>
              <w:suppressAutoHyphens/>
              <w:jc w:val="center"/>
              <w:rPr>
                <w:sz w:val="20"/>
                <w:szCs w:val="20"/>
              </w:rPr>
            </w:pPr>
            <w:r w:rsidRPr="004E6B53">
              <w:rPr>
                <w:sz w:val="20"/>
                <w:szCs w:val="20"/>
              </w:rPr>
              <w:t>(1,84)</w:t>
            </w:r>
          </w:p>
        </w:tc>
        <w:tc>
          <w:tcPr>
            <w:tcW w:w="1701" w:type="dxa"/>
          </w:tcPr>
          <w:p w14:paraId="3D6E7978" w14:textId="77777777" w:rsidR="00B74C91" w:rsidRPr="004E6B53" w:rsidRDefault="00B74C91" w:rsidP="006E5F9A">
            <w:pPr>
              <w:pStyle w:val="TableParagraph"/>
              <w:suppressAutoHyphens/>
              <w:jc w:val="center"/>
              <w:rPr>
                <w:sz w:val="20"/>
                <w:szCs w:val="20"/>
              </w:rPr>
            </w:pPr>
          </w:p>
          <w:p w14:paraId="5236D5BF" w14:textId="77777777" w:rsidR="004E6B53" w:rsidRDefault="004E6B53" w:rsidP="006E5F9A">
            <w:pPr>
              <w:pStyle w:val="TableParagraph"/>
              <w:suppressAutoHyphens/>
              <w:jc w:val="center"/>
              <w:rPr>
                <w:sz w:val="20"/>
                <w:szCs w:val="20"/>
              </w:rPr>
            </w:pPr>
          </w:p>
          <w:p w14:paraId="1CB2E278" w14:textId="77777777" w:rsidR="00B74C91" w:rsidRPr="004E6B53" w:rsidRDefault="00B74C91" w:rsidP="006E5F9A">
            <w:pPr>
              <w:pStyle w:val="TableParagraph"/>
              <w:suppressAutoHyphens/>
              <w:jc w:val="center"/>
              <w:rPr>
                <w:sz w:val="20"/>
                <w:szCs w:val="20"/>
              </w:rPr>
            </w:pPr>
            <w:r w:rsidRPr="004E6B53">
              <w:rPr>
                <w:sz w:val="20"/>
                <w:szCs w:val="20"/>
              </w:rPr>
              <w:t>0,41</w:t>
            </w:r>
          </w:p>
          <w:p w14:paraId="15A6E685" w14:textId="77777777" w:rsidR="00B74C91" w:rsidRPr="004E6B53" w:rsidRDefault="00B74C91" w:rsidP="006E5F9A">
            <w:pPr>
              <w:pStyle w:val="TableParagraph"/>
              <w:suppressAutoHyphens/>
              <w:jc w:val="center"/>
              <w:rPr>
                <w:sz w:val="20"/>
                <w:szCs w:val="20"/>
              </w:rPr>
            </w:pPr>
            <w:r w:rsidRPr="004E6B53">
              <w:rPr>
                <w:sz w:val="20"/>
                <w:szCs w:val="20"/>
              </w:rPr>
              <w:t>(0,78)</w:t>
            </w:r>
          </w:p>
        </w:tc>
        <w:tc>
          <w:tcPr>
            <w:tcW w:w="1640" w:type="dxa"/>
          </w:tcPr>
          <w:p w14:paraId="3EE63663" w14:textId="77777777" w:rsidR="00B74C91" w:rsidRPr="004E6B53" w:rsidRDefault="00B74C91" w:rsidP="006E5F9A">
            <w:pPr>
              <w:pStyle w:val="TableParagraph"/>
              <w:suppressAutoHyphens/>
              <w:jc w:val="center"/>
              <w:rPr>
                <w:sz w:val="20"/>
                <w:szCs w:val="20"/>
              </w:rPr>
            </w:pPr>
          </w:p>
          <w:p w14:paraId="20C1450A" w14:textId="77777777" w:rsidR="004E6B53" w:rsidRDefault="004E6B53" w:rsidP="006E5F9A">
            <w:pPr>
              <w:pStyle w:val="TableParagraph"/>
              <w:suppressAutoHyphens/>
              <w:jc w:val="center"/>
              <w:rPr>
                <w:sz w:val="20"/>
                <w:szCs w:val="20"/>
              </w:rPr>
            </w:pPr>
          </w:p>
          <w:p w14:paraId="318258A4" w14:textId="77777777" w:rsidR="00B74C91" w:rsidRPr="004E6B53" w:rsidRDefault="00B74C91" w:rsidP="006E5F9A">
            <w:pPr>
              <w:pStyle w:val="TableParagraph"/>
              <w:suppressAutoHyphens/>
              <w:jc w:val="center"/>
              <w:rPr>
                <w:sz w:val="20"/>
                <w:szCs w:val="20"/>
              </w:rPr>
            </w:pPr>
            <w:r w:rsidRPr="004E6B53">
              <w:rPr>
                <w:sz w:val="20"/>
                <w:szCs w:val="20"/>
              </w:rPr>
              <w:t>0,67</w:t>
            </w:r>
          </w:p>
          <w:p w14:paraId="708F5468" w14:textId="77777777" w:rsidR="00B74C91" w:rsidRPr="004E6B53" w:rsidRDefault="00B74C91" w:rsidP="006E5F9A">
            <w:pPr>
              <w:pStyle w:val="TableParagraph"/>
              <w:suppressAutoHyphens/>
              <w:jc w:val="center"/>
              <w:rPr>
                <w:sz w:val="20"/>
                <w:szCs w:val="20"/>
              </w:rPr>
            </w:pPr>
            <w:r w:rsidRPr="004E6B53">
              <w:rPr>
                <w:sz w:val="20"/>
                <w:szCs w:val="20"/>
              </w:rPr>
              <w:t>(1,10)</w:t>
            </w:r>
          </w:p>
        </w:tc>
      </w:tr>
    </w:tbl>
    <w:p w14:paraId="0DB047C9" w14:textId="77777777" w:rsidR="003B7027" w:rsidRPr="00B74C91" w:rsidRDefault="00296A74" w:rsidP="006E5F9A">
      <w:pPr>
        <w:rPr>
          <w:sz w:val="18"/>
          <w:szCs w:val="18"/>
        </w:rPr>
      </w:pPr>
      <w:r w:rsidRPr="00B74C91">
        <w:rPr>
          <w:sz w:val="18"/>
          <w:szCs w:val="18"/>
        </w:rPr>
        <w:t>* p &lt; 0,0001</w:t>
      </w:r>
    </w:p>
    <w:p w14:paraId="3EBE9088" w14:textId="77777777" w:rsidR="003B7027" w:rsidRPr="00CA43F5" w:rsidRDefault="00296A74" w:rsidP="006E5F9A">
      <w:pPr>
        <w:rPr>
          <w:sz w:val="18"/>
          <w:szCs w:val="18"/>
          <w:lang w:val="fi-FI"/>
        </w:rPr>
      </w:pPr>
      <w:r w:rsidRPr="00CA43F5">
        <w:rPr>
          <w:sz w:val="18"/>
          <w:szCs w:val="18"/>
          <w:lang w:val="fi-FI"/>
        </w:rPr>
        <w:t>** p &lt; 0,005 (paremmuuden osoittavien ensisijaisten ja keskeisten toissijaisten testien merkitsevyyden raja-arvo)</w:t>
      </w:r>
    </w:p>
    <w:p w14:paraId="2FBB992F" w14:textId="77777777" w:rsidR="003B7027" w:rsidRPr="00CA43F5" w:rsidRDefault="00296A74" w:rsidP="006E5F9A">
      <w:pPr>
        <w:rPr>
          <w:sz w:val="18"/>
          <w:szCs w:val="18"/>
          <w:lang w:val="fi-FI"/>
        </w:rPr>
      </w:pPr>
      <w:r w:rsidRPr="00CA43F5">
        <w:rPr>
          <w:sz w:val="18"/>
          <w:szCs w:val="18"/>
          <w:lang w:val="fi-FI"/>
        </w:rPr>
        <w:t>*** deskriptiivinen p-arvo &lt; 0,005</w:t>
      </w:r>
    </w:p>
    <w:p w14:paraId="4AF06981" w14:textId="58E95A06" w:rsidR="003B7027" w:rsidRPr="00CA43F5" w:rsidRDefault="00296A74" w:rsidP="006E5F9A">
      <w:pPr>
        <w:rPr>
          <w:sz w:val="18"/>
          <w:szCs w:val="18"/>
          <w:lang w:val="fi-FI"/>
        </w:rPr>
      </w:pPr>
      <w:r w:rsidRPr="00CA43F5">
        <w:rPr>
          <w:sz w:val="18"/>
          <w:szCs w:val="18"/>
          <w:lang w:val="fi-FI"/>
        </w:rPr>
        <w:t xml:space="preserve">****Sairauden pahenemisvaihe: jättisoluarteriitin toistuvia oireita ja löydöksiä ja/tai lasko </w:t>
      </w:r>
      <w:r w:rsidRPr="00CA43F5">
        <w:rPr>
          <w:rFonts w:hint="eastAsia"/>
          <w:sz w:val="18"/>
          <w:szCs w:val="18"/>
          <w:lang w:val="fi-FI"/>
        </w:rPr>
        <w:t>≥</w:t>
      </w:r>
      <w:r w:rsidRPr="00CA43F5">
        <w:rPr>
          <w:sz w:val="18"/>
          <w:szCs w:val="18"/>
          <w:lang w:val="fi-FI"/>
        </w:rPr>
        <w:t xml:space="preserve"> 30 mm/h,</w:t>
      </w:r>
      <w:r w:rsidR="00B74C91" w:rsidRPr="00CA43F5">
        <w:rPr>
          <w:sz w:val="18"/>
          <w:szCs w:val="18"/>
          <w:lang w:val="fi-FI"/>
        </w:rPr>
        <w:t xml:space="preserve"> </w:t>
      </w:r>
      <w:r w:rsidRPr="00CA43F5">
        <w:rPr>
          <w:sz w:val="18"/>
          <w:szCs w:val="18"/>
          <w:lang w:val="fi-FI"/>
        </w:rPr>
        <w:t>prednisoniannosta tarpeen suurentaa</w:t>
      </w:r>
      <w:r w:rsidR="001327AB" w:rsidRPr="00CA43F5">
        <w:rPr>
          <w:sz w:val="18"/>
          <w:szCs w:val="18"/>
          <w:lang w:val="fi-FI"/>
        </w:rPr>
        <w:t xml:space="preserve"> </w:t>
      </w:r>
    </w:p>
    <w:p w14:paraId="040C5402" w14:textId="77777777" w:rsidR="003B7027" w:rsidRPr="00CA43F5" w:rsidRDefault="00296A74" w:rsidP="006E5F9A">
      <w:pPr>
        <w:rPr>
          <w:sz w:val="18"/>
          <w:szCs w:val="18"/>
          <w:lang w:val="fi-FI"/>
        </w:rPr>
      </w:pPr>
      <w:r w:rsidRPr="00CA43F5">
        <w:rPr>
          <w:sz w:val="18"/>
          <w:szCs w:val="18"/>
          <w:lang w:val="fi-FI"/>
        </w:rPr>
        <w:t>Remissio: ei sairauden pahenemisvaihetta ja CRP normalisoitunut</w:t>
      </w:r>
    </w:p>
    <w:p w14:paraId="67FF718B" w14:textId="77777777" w:rsidR="003B7027" w:rsidRPr="00CA43F5" w:rsidRDefault="00296A74" w:rsidP="006E5F9A">
      <w:pPr>
        <w:rPr>
          <w:sz w:val="18"/>
          <w:szCs w:val="18"/>
          <w:lang w:val="fi-FI"/>
        </w:rPr>
      </w:pPr>
      <w:r w:rsidRPr="00CA43F5">
        <w:rPr>
          <w:sz w:val="18"/>
          <w:szCs w:val="18"/>
          <w:lang w:val="fi-FI"/>
        </w:rPr>
        <w:t>Pitkäkestoinen remissio: remissio viikosta 12 viikkoon 52,</w:t>
      </w:r>
      <w:r w:rsidRPr="00CA43F5">
        <w:rPr>
          <w:b/>
          <w:sz w:val="18"/>
          <w:szCs w:val="18"/>
          <w:lang w:val="fi-FI"/>
        </w:rPr>
        <w:t xml:space="preserve"> </w:t>
      </w:r>
      <w:r w:rsidRPr="00CA43F5">
        <w:rPr>
          <w:sz w:val="18"/>
          <w:szCs w:val="18"/>
          <w:lang w:val="fi-FI"/>
        </w:rPr>
        <w:t>potilaiden on noudatettava tutkimussuunnitelmassa määriteltyä prednisonihoidon asteittaista lopettamista</w:t>
      </w:r>
    </w:p>
    <w:p w14:paraId="4DB3D0C4" w14:textId="77777777" w:rsidR="003B7027" w:rsidRPr="00CA43F5" w:rsidRDefault="00296A74" w:rsidP="006E5F9A">
      <w:pPr>
        <w:rPr>
          <w:sz w:val="18"/>
          <w:szCs w:val="18"/>
          <w:lang w:val="fi-FI"/>
        </w:rPr>
      </w:pPr>
      <w:r w:rsidRPr="00CA43F5">
        <w:rPr>
          <w:sz w:val="18"/>
          <w:szCs w:val="18"/>
          <w:lang w:val="fi-FI"/>
        </w:rPr>
        <w:t>¹ analyysi kliinisen remission ja sairauden ensimmäisen pahenemisvaiheen välisestä ajasta (päivää)</w:t>
      </w:r>
    </w:p>
    <w:p w14:paraId="065CBEEE" w14:textId="77777777" w:rsidR="003B7027" w:rsidRPr="00CA43F5" w:rsidRDefault="00296A74" w:rsidP="006E5F9A">
      <w:pPr>
        <w:rPr>
          <w:sz w:val="18"/>
          <w:szCs w:val="18"/>
          <w:lang w:val="fi-FI"/>
        </w:rPr>
      </w:pPr>
      <w:r w:rsidRPr="00CA43F5">
        <w:rPr>
          <w:sz w:val="18"/>
          <w:szCs w:val="18"/>
          <w:vertAlign w:val="superscript"/>
          <w:lang w:val="fi-FI"/>
        </w:rPr>
        <w:t>2</w:t>
      </w:r>
      <w:r w:rsidRPr="00CA43F5">
        <w:rPr>
          <w:sz w:val="18"/>
          <w:szCs w:val="18"/>
          <w:lang w:val="fi-FI"/>
        </w:rPr>
        <w:t xml:space="preserve"> parametrittömien tietojen p-arvot määriteltiin Van Elterenin analyysillä</w:t>
      </w:r>
    </w:p>
    <w:p w14:paraId="2F156E21" w14:textId="77777777" w:rsidR="00B74C91" w:rsidRPr="00CA43F5" w:rsidRDefault="00296A74" w:rsidP="006E5F9A">
      <w:pPr>
        <w:rPr>
          <w:sz w:val="18"/>
          <w:szCs w:val="18"/>
          <w:lang w:val="fi-FI"/>
        </w:rPr>
      </w:pPr>
      <w:r w:rsidRPr="00CA43F5">
        <w:rPr>
          <w:sz w:val="18"/>
          <w:szCs w:val="18"/>
          <w:lang w:val="fi-FI"/>
        </w:rPr>
        <w:t xml:space="preserve">§ tilastollisia analyysejä ei ole tehty </w:t>
      </w:r>
    </w:p>
    <w:p w14:paraId="642EAE45" w14:textId="77777777" w:rsidR="003B7027" w:rsidRPr="00CA43F5" w:rsidRDefault="00296A74" w:rsidP="006E5F9A">
      <w:pPr>
        <w:rPr>
          <w:sz w:val="18"/>
          <w:szCs w:val="18"/>
          <w:lang w:val="fi-FI"/>
        </w:rPr>
      </w:pPr>
      <w:r w:rsidRPr="00CA43F5">
        <w:rPr>
          <w:sz w:val="18"/>
          <w:szCs w:val="18"/>
          <w:lang w:val="fi-FI"/>
        </w:rPr>
        <w:t>N/A= ei oleellinen (Not applicable)</w:t>
      </w:r>
    </w:p>
    <w:p w14:paraId="6DE07570" w14:textId="77777777" w:rsidR="003B7027" w:rsidRPr="0028514E" w:rsidRDefault="003B7027" w:rsidP="006E5F9A">
      <w:pPr>
        <w:pStyle w:val="a4"/>
        <w:ind w:left="0"/>
        <w:rPr>
          <w:sz w:val="18"/>
        </w:rPr>
      </w:pPr>
    </w:p>
    <w:p w14:paraId="57064ADD" w14:textId="77777777" w:rsidR="003B7027" w:rsidRPr="00CA43F5" w:rsidRDefault="00296A74" w:rsidP="006E5F9A">
      <w:pPr>
        <w:rPr>
          <w:i/>
          <w:lang w:val="fi-FI"/>
        </w:rPr>
      </w:pPr>
      <w:r w:rsidRPr="00CA43F5">
        <w:rPr>
          <w:i/>
          <w:lang w:val="fi-FI"/>
        </w:rPr>
        <w:t>Elämänlaatua koskevat päätetapahtumat</w:t>
      </w:r>
    </w:p>
    <w:p w14:paraId="2772DFD2" w14:textId="77777777" w:rsidR="003B7027" w:rsidRPr="0028514E" w:rsidRDefault="003B7027" w:rsidP="006E5F9A">
      <w:pPr>
        <w:pStyle w:val="a4"/>
        <w:ind w:left="0"/>
        <w:rPr>
          <w:i/>
        </w:rPr>
      </w:pPr>
    </w:p>
    <w:p w14:paraId="7D014577" w14:textId="4601E21A" w:rsidR="003B7027" w:rsidRPr="0028514E" w:rsidRDefault="00296A74" w:rsidP="006E5F9A">
      <w:pPr>
        <w:pStyle w:val="a4"/>
        <w:ind w:left="0"/>
      </w:pPr>
      <w:r w:rsidRPr="0028514E">
        <w:t xml:space="preserve">Tutkimuksen (WA28119) SF-36-tuloksissa eriteltiin fyysisen (PCS) ja mentaalisen (MCS) osa-alueen yhdistelmäpisteet. Fyysisen osa-alueen pisteiden keskimääräinen muutos lähtötilanteesta viikkoon 52 oli suurempi (osoittaa suurempaa paranemista) </w:t>
      </w:r>
      <w:r w:rsidR="00E415D5">
        <w:t xml:space="preserve">tosilitsumabia </w:t>
      </w:r>
      <w:r w:rsidRPr="0028514E">
        <w:t xml:space="preserve">viikoittain ja joka toinen viikko saaneissa ryhmissä (viikoittain: 4,10; joka toinen viikko: 2,76) kuin kahdessa lumeryhmässä (lumevalmiste ja 26 viikon aikana asteittain lopetettu hoito: -0,28; lumevalmiste ja 52 viikon aikana asteittain lopetettu hoito: -1,49), mutta vain vertailussa </w:t>
      </w:r>
      <w:r w:rsidR="00E415D5">
        <w:t xml:space="preserve">tosilitsumabin </w:t>
      </w:r>
      <w:r w:rsidRPr="0028514E">
        <w:t xml:space="preserve">viikoittain ja 26 viikon aikana asteittain lopetettavan prednisonihoidon yhdistelmää ja lumevalmisteen ja 52 viikon aikana asteittain lopetettavan prednisonihoidon yhdistelmää saaneiden ryhmän (5,59, 99 %:n luottamusväli: 8,6, 10,32) välillä todettiin tilastollisesti merkitsevä ero (p = 0,0024). Mentaalisen osa-alueen pisteiden keskimääräinen muutos lähtötilanteesta viikkoon 52 sekä </w:t>
      </w:r>
      <w:r w:rsidR="00E415D5">
        <w:t xml:space="preserve">tosilitsumabia </w:t>
      </w:r>
      <w:r w:rsidRPr="0028514E">
        <w:t>viikoittain että joka toinen viikko saaneissa ryhmissä (viikoittain: 7,28; joka toinen viikko: 6,12) oli suurempi kuin lumevalmisteen ja 52 viikon aikana asteittain lopetettavan prednisonihoidon yhdistelmää saaneessa ryhmässä (2,84) (mutta ero ei ollut tilastollisesti merkitsevä [viikoittain: p = 0,0252; joka toinen viikko: p = 0,1468]) ja samankaltainen kuin lumevalmisteen ja 26 viikon aikana asteittain lopetettavan prednisonihoidon yhdistelmää saaneessa ryhmässä (6,67).</w:t>
      </w:r>
    </w:p>
    <w:p w14:paraId="34D2DFB1" w14:textId="77777777" w:rsidR="003B7027" w:rsidRPr="0028514E" w:rsidRDefault="003B7027" w:rsidP="006E5F9A">
      <w:pPr>
        <w:pStyle w:val="a4"/>
        <w:ind w:left="0"/>
      </w:pPr>
    </w:p>
    <w:p w14:paraId="18DC4DB7" w14:textId="6323F67D" w:rsidR="003B7027" w:rsidRPr="0028514E" w:rsidRDefault="00296A74" w:rsidP="006E5F9A">
      <w:pPr>
        <w:pStyle w:val="a4"/>
        <w:ind w:left="0"/>
      </w:pPr>
      <w:r w:rsidRPr="0028514E">
        <w:t xml:space="preserve">Sairauden aktiivisuuden kokonaisarvio (Patient’s Global Assessment) tehtiin 0–100 mm:n VAS- asteikolla (Visual Analogue Scale). VAS-asteikkoon perustuvan potilaan kokonaisarvion keskimääräinen muutos lähtötilanteesta viikkoon 52 oli pienempi (osoittaa suurempaa paranemista) </w:t>
      </w:r>
      <w:r w:rsidR="00E415D5">
        <w:t xml:space="preserve">tosilitsumabia </w:t>
      </w:r>
      <w:r w:rsidRPr="0028514E">
        <w:t xml:space="preserve">viikoittain (-19,0) ja joka toinen viikko (-25,3) saaneissa ryhmissä kuin kummassakaan lumevalmistetta (lumevalmiste ja 26 viikon aikana asteittain lopetettava hoito: -3,4, lumevalmiste ja 52 viikon aikana asteittain lopetettava hoito: -7,2) saaneessa ryhmässä, mutta vain </w:t>
      </w:r>
      <w:r w:rsidR="00E415D5">
        <w:t xml:space="preserve">tosilitsumabia </w:t>
      </w:r>
      <w:r w:rsidRPr="0028514E">
        <w:t xml:space="preserve">joka toinen viikko yhdistelmänä 26 viikon aikana asteittain lopetettavan prednisonihoidon kanssa saaneilla </w:t>
      </w:r>
      <w:r w:rsidRPr="0028514E">
        <w:lastRenderedPageBreak/>
        <w:t>osoitettiin tilastollisesti merkitsevä ero lumehoitoon verrattuna [lumevalmisteen ja 26 viikon aikana asteittain lopetettavan hoidon yhdistelmän p = 0,0059, ja lumevalmisteen ja 52 viikon aikana asteittain lopetettavan hoidon yhdistelmän p = 0,0081].</w:t>
      </w:r>
    </w:p>
    <w:p w14:paraId="569E12BC" w14:textId="77777777" w:rsidR="001C544B" w:rsidRPr="0028514E" w:rsidRDefault="001C544B" w:rsidP="006E5F9A">
      <w:pPr>
        <w:pStyle w:val="a4"/>
        <w:ind w:left="0"/>
      </w:pPr>
    </w:p>
    <w:p w14:paraId="0941AB6A" w14:textId="1370B0F6" w:rsidR="003B7027" w:rsidRPr="0028514E" w:rsidRDefault="00296A74" w:rsidP="006E5F9A">
      <w:pPr>
        <w:pStyle w:val="a4"/>
        <w:ind w:left="0"/>
      </w:pPr>
      <w:r w:rsidRPr="0028514E">
        <w:t xml:space="preserve">FACIT-F-mittarin (FACIT-fatigue) muutosta lähtötilanteesta viikkoon 52 osoittavat indeksiluvut laskettiin kaikista ryhmistä. Indeksilukujen muutoksen keskiarvot (keskihajonta) olivat seuraavat: </w:t>
      </w:r>
      <w:r w:rsidR="00E415D5">
        <w:t xml:space="preserve">tosilitsumabi </w:t>
      </w:r>
      <w:r w:rsidRPr="0028514E">
        <w:t xml:space="preserve">viikoittain ja 26 viikon aikana asteittain lopetettava hoito: 5,61 (10,115); </w:t>
      </w:r>
      <w:r w:rsidR="00E415D5">
        <w:t xml:space="preserve">tosilitsumabi </w:t>
      </w:r>
      <w:r w:rsidRPr="0028514E">
        <w:t>joka toinen viikko ja 26 viikon aikana asteittain lopetettava hoito: 1,81 (8,836); lumevalmiste ja 26 viikon aikana asteittain lopetettava hoito: 0,26 (10,702); ja lumevalmiste ja 52 viikon aikana asteittain lopetettava hoito: -1,63 (6,753).</w:t>
      </w:r>
    </w:p>
    <w:p w14:paraId="3759B150" w14:textId="77777777" w:rsidR="003B7027" w:rsidRPr="0028514E" w:rsidRDefault="003B7027" w:rsidP="006E5F9A">
      <w:pPr>
        <w:pStyle w:val="a4"/>
        <w:ind w:left="0"/>
      </w:pPr>
    </w:p>
    <w:p w14:paraId="06F41F8F" w14:textId="1C1E39F9" w:rsidR="003B7027" w:rsidRPr="0028514E" w:rsidRDefault="00296A74" w:rsidP="006E5F9A">
      <w:pPr>
        <w:pStyle w:val="a4"/>
        <w:ind w:left="0"/>
      </w:pPr>
      <w:r w:rsidRPr="0028514E">
        <w:t xml:space="preserve">EQ-5D-mittarin indeksiluvun muutos lähtötilanteesta viikkoon 52 oli </w:t>
      </w:r>
      <w:r w:rsidR="00E415D5">
        <w:t xml:space="preserve">tosilitsumabia </w:t>
      </w:r>
      <w:r w:rsidRPr="0028514E">
        <w:t xml:space="preserve">viikoittain yhdistelmänä 26 viikon aikana asteittain lopetettavan hoidon kanssa saaneilla 0,10 (0,198), </w:t>
      </w:r>
      <w:r w:rsidR="00E415D5">
        <w:t xml:space="preserve">tosilitsumabia </w:t>
      </w:r>
      <w:r w:rsidRPr="0028514E">
        <w:t>joka toinen viikko yhdistelmänä 26 viikon aikana asteittain lopetettavan hoidon kanssa saaneilla 0,05 (0,215), lumevalmistetta yhdistelmänä 26 viikon aikana asteittain lopetettavan hoidon kanssa saaneilla 0,07 (0,293) sekä lumevalmistetta yhdistelmänä 52 viikon aikana asteittain lopetettavan hoidon kanssa saaneilla -0,02 [0,159].</w:t>
      </w:r>
    </w:p>
    <w:p w14:paraId="5E6B6E17" w14:textId="77777777" w:rsidR="001C544B" w:rsidRPr="0028514E" w:rsidRDefault="001C544B" w:rsidP="006E5F9A">
      <w:pPr>
        <w:pStyle w:val="a4"/>
        <w:ind w:left="0"/>
      </w:pPr>
    </w:p>
    <w:p w14:paraId="5A6B4A96" w14:textId="77777777" w:rsidR="001C544B" w:rsidRPr="0028514E" w:rsidRDefault="00296A74" w:rsidP="006E5F9A">
      <w:pPr>
        <w:pStyle w:val="a4"/>
        <w:ind w:left="0"/>
      </w:pPr>
      <w:r w:rsidRPr="0028514E">
        <w:t>Sekä FACIT-F- että EQ-5D-mittarin suurempi indeksiluku osoittaa tilan paranemista.</w:t>
      </w:r>
    </w:p>
    <w:p w14:paraId="61193B5A" w14:textId="77777777" w:rsidR="001C544B" w:rsidRPr="0028514E" w:rsidRDefault="001C544B" w:rsidP="006E5F9A">
      <w:pPr>
        <w:pStyle w:val="a4"/>
        <w:ind w:left="0"/>
      </w:pPr>
    </w:p>
    <w:p w14:paraId="2006C3E3" w14:textId="77777777" w:rsidR="003B7027" w:rsidRPr="0028514E" w:rsidRDefault="00296A74" w:rsidP="004F5142">
      <w:pPr>
        <w:pStyle w:val="a4"/>
        <w:keepNext/>
        <w:ind w:left="0"/>
      </w:pPr>
      <w:r w:rsidRPr="0028514E">
        <w:rPr>
          <w:u w:val="single"/>
        </w:rPr>
        <w:t>Laskimonsisäinen annostelu</w:t>
      </w:r>
    </w:p>
    <w:p w14:paraId="3E95AD49" w14:textId="77777777" w:rsidR="003B7027" w:rsidRPr="00CA43F5" w:rsidRDefault="00296A74" w:rsidP="004F5142">
      <w:pPr>
        <w:keepNext/>
        <w:rPr>
          <w:b/>
          <w:lang w:val="fi-FI"/>
        </w:rPr>
      </w:pPr>
      <w:r w:rsidRPr="00CA43F5">
        <w:rPr>
          <w:b/>
          <w:u w:val="single"/>
          <w:lang w:val="fi-FI"/>
        </w:rPr>
        <w:t>Nivelreuma</w:t>
      </w:r>
    </w:p>
    <w:p w14:paraId="0F25B0D9" w14:textId="77777777" w:rsidR="003B7027" w:rsidRPr="0028514E" w:rsidRDefault="00296A74" w:rsidP="004F5142">
      <w:pPr>
        <w:pStyle w:val="a4"/>
        <w:keepNext/>
        <w:ind w:left="0"/>
      </w:pPr>
      <w:r w:rsidRPr="0028514E">
        <w:rPr>
          <w:u w:val="single"/>
        </w:rPr>
        <w:t>Kliininen teho</w:t>
      </w:r>
    </w:p>
    <w:p w14:paraId="33FE3AD1" w14:textId="4EA2BEC7" w:rsidR="003B7027" w:rsidRPr="0028514E" w:rsidRDefault="000C4216" w:rsidP="006E5F9A">
      <w:pPr>
        <w:pStyle w:val="a4"/>
        <w:ind w:left="0"/>
      </w:pPr>
      <w:r>
        <w:t xml:space="preserve">Tosilitsumabin </w:t>
      </w:r>
      <w:r w:rsidR="00296A74" w:rsidRPr="0028514E">
        <w:t xml:space="preserve">tehoa arvioitiin viidessä satunnaistetussa kaksoissokkoutetussa monikeskustutkimuksessa nivelreuman oireiden lievittymisen perusteella. Tutkimuksiin I–V otettiin </w:t>
      </w:r>
      <w:r w:rsidR="00296A74" w:rsidRPr="0028514E">
        <w:rPr>
          <w:rFonts w:ascii="Symbol" w:hAnsi="Symbol"/>
        </w:rPr>
        <w:t></w:t>
      </w:r>
      <w:r w:rsidR="00296A74" w:rsidRPr="0028514E">
        <w:t xml:space="preserve"> 18-vuotiaita potilaita, joilla oli ACR-kriteerien (American College of Rheumatology) mukaan diagnosoitu aktiivinen nivelreuma ja lähtötilanteessa vähintään kahdeksan aristavaa ja kuusi turvonnutta niveltä.</w:t>
      </w:r>
    </w:p>
    <w:p w14:paraId="3B23306E" w14:textId="77777777" w:rsidR="001C544B" w:rsidRPr="0028514E" w:rsidRDefault="001C544B" w:rsidP="006E5F9A">
      <w:pPr>
        <w:pStyle w:val="a4"/>
        <w:ind w:left="0"/>
      </w:pPr>
    </w:p>
    <w:p w14:paraId="5005B0E5" w14:textId="22130016" w:rsidR="003B7027" w:rsidRPr="0028514E" w:rsidRDefault="00296A74" w:rsidP="006E5F9A">
      <w:pPr>
        <w:pStyle w:val="a4"/>
        <w:ind w:left="0"/>
      </w:pPr>
      <w:r w:rsidRPr="0028514E">
        <w:t xml:space="preserve">Tutkimuksessa I </w:t>
      </w:r>
      <w:r w:rsidR="000C4216">
        <w:t xml:space="preserve">tosilitsumabi </w:t>
      </w:r>
      <w:r w:rsidRPr="0028514E">
        <w:t xml:space="preserve">annettiin laskimoon neljän viikon välein monoterapiana. Tutkimuksissa II, III ja V </w:t>
      </w:r>
      <w:r w:rsidR="000C4216">
        <w:t xml:space="preserve">tosilitsumabi </w:t>
      </w:r>
      <w:r w:rsidRPr="0028514E">
        <w:t xml:space="preserve">annettiin laskimoon neljän viikon välein yhdessä MTX:n kanssa. Vertailuna käytettiin lumevalmisteen ja MTX:n yhdistelmää. Tutkimuksessa IV </w:t>
      </w:r>
      <w:r w:rsidR="000C4216">
        <w:t xml:space="preserve">tosilitsumabi </w:t>
      </w:r>
      <w:r w:rsidRPr="0028514E">
        <w:t>annettiin laskimoon neljän viikon välein yhdessä muiden DMARDien kanssa. Vertailuna käytettiin lumevalmisteen ja muiden DMARDien yhdistelmää. Kaikissa viidessä tutkimuksessa ensisijainen päätetapahtuma oli niiden potilaiden osuus, jotka saavuttivat ACR20-vasteen viikkoon 24 mennessä.</w:t>
      </w:r>
    </w:p>
    <w:p w14:paraId="05601F3B" w14:textId="77777777" w:rsidR="001C544B" w:rsidRPr="0028514E" w:rsidRDefault="001C544B" w:rsidP="006E5F9A">
      <w:pPr>
        <w:pStyle w:val="a4"/>
        <w:ind w:left="0"/>
      </w:pPr>
    </w:p>
    <w:p w14:paraId="539ACC56" w14:textId="4DF711C0" w:rsidR="003B7027" w:rsidRPr="0028514E" w:rsidRDefault="00296A74" w:rsidP="006E5F9A">
      <w:pPr>
        <w:pStyle w:val="a4"/>
        <w:ind w:left="0"/>
      </w:pPr>
      <w:r w:rsidRPr="0028514E">
        <w:t xml:space="preserve">Tutkimuksessa I arvioitiin 673 potilasta, jotka eivät olleet saaneet MTX:a satunnaistamista edeltäneiden kuuden kuukauden aikana ja joiden aikaisempaa MTX-hoitoa ei oltu keskeytetty kliinisesti merkittävien toksisten vaikutusten tai hoidon tehottomuuden vuoksi. Valtaosa (67 %) potilaista ei ollut aikaisemmin saanut MTX:a. </w:t>
      </w:r>
      <w:r w:rsidR="000C4216">
        <w:t xml:space="preserve">Tosilitsumabia </w:t>
      </w:r>
      <w:r w:rsidRPr="0028514E">
        <w:t>annettiin 8 mg/kg neljän viikon välein</w:t>
      </w:r>
      <w:r w:rsidR="001C544B" w:rsidRPr="0028514E">
        <w:t xml:space="preserve"> </w:t>
      </w:r>
      <w:r w:rsidRPr="0028514E">
        <w:t>monoterapiana. Vertailuryhmä sai MTX:a viikon välein (viikkoannos titrattiin 7,5 mg:sta enintään 20 mg:aan kahdeksan viikon jakson aikana).</w:t>
      </w:r>
    </w:p>
    <w:p w14:paraId="749DD808" w14:textId="77777777" w:rsidR="003B7027" w:rsidRPr="0028514E" w:rsidRDefault="003B7027" w:rsidP="006E5F9A">
      <w:pPr>
        <w:pStyle w:val="a4"/>
        <w:ind w:left="0"/>
      </w:pPr>
    </w:p>
    <w:p w14:paraId="46D9B4E5" w14:textId="283A6A6C" w:rsidR="003B7027" w:rsidRPr="0028514E" w:rsidRDefault="00296A74" w:rsidP="001941FD">
      <w:pPr>
        <w:pStyle w:val="a4"/>
        <w:ind w:left="0"/>
      </w:pPr>
      <w:r w:rsidRPr="0028514E">
        <w:t>Tutkimus II kesti kaksi vuotta, ja siihen kuului suunniteltu analyysi viikkojen 24, 52 ja 104 kohdalla. Tutkimuksessa arvioitiin 1196 potilasta, joille MTX ei ollut tuottanut riittävää hoitovastetta.</w:t>
      </w:r>
      <w:r w:rsidR="001941FD">
        <w:t xml:space="preserve"> </w:t>
      </w:r>
      <w:r w:rsidR="000C4216">
        <w:t>Tosilitsumabi</w:t>
      </w:r>
      <w:r w:rsidRPr="0028514E">
        <w:t xml:space="preserve">annos 4 mg/kg tai 8 mg/kg tai lumevalmiste annettiin sokkoutetusti neljän viikon välein 52 viikon ajan yhdistettynä vakaaseen MTX-annokseen (10–25 mg viikossa). Avoimessa vaiheessa, viikon 52 jälkeen, kaikilla potilailla oli mahdollisuus saada </w:t>
      </w:r>
      <w:r w:rsidR="000C4216">
        <w:t>tosilitsumabi</w:t>
      </w:r>
      <w:r w:rsidRPr="0028514E">
        <w:t xml:space="preserve">hoitoa 8 mg/kg. Niistä potilaista, jotka olivat mukana tutkimuksen loppuun asti ja jotka oli satunnaistettu saamaan lumevalmistetta ja MTX:a, 86 % sai avoimessa vaiheessa </w:t>
      </w:r>
      <w:r w:rsidR="000C4216">
        <w:t xml:space="preserve">tosilitsumabia </w:t>
      </w:r>
      <w:r w:rsidRPr="0028514E">
        <w:t>8 mg/kg tutkimuksen toisena vuonna. Ensisijainen päätetapahtuma 24 viikon kohdalla tehdyssä analyysissä oli ACR20-vasteen kriteerit täyttävien potilaiden suhteellinen osuus. Viikoilla 52 ja 104 muut ensisijaiset päätetapahtumat olivat nivelvaurioiden estyminen ja fyysisen toimintakyvyn paraneminen.</w:t>
      </w:r>
    </w:p>
    <w:p w14:paraId="28FD7E2C" w14:textId="77777777" w:rsidR="001C544B" w:rsidRPr="0028514E" w:rsidRDefault="001C544B" w:rsidP="006E5F9A">
      <w:pPr>
        <w:pStyle w:val="a4"/>
        <w:ind w:left="0"/>
      </w:pPr>
    </w:p>
    <w:p w14:paraId="1FDE34AE" w14:textId="64116DB3" w:rsidR="003B7027" w:rsidRPr="0028514E" w:rsidRDefault="00296A74" w:rsidP="006E5F9A">
      <w:pPr>
        <w:pStyle w:val="a4"/>
        <w:ind w:left="0"/>
      </w:pPr>
      <w:r w:rsidRPr="0028514E">
        <w:t xml:space="preserve">Tutkimuksessa III arvioitiin 623 potilasta, joille MTX ei ollut tuonut riittävää hoitovastetta. </w:t>
      </w:r>
      <w:r w:rsidR="000C4216">
        <w:t>Tosilitsumabi</w:t>
      </w:r>
      <w:r w:rsidRPr="0028514E">
        <w:t>annos 4 mg/kg tai 8 mg/kg tai lumevalmiste annettiin neljän viikon välein yhdistettynä vakaaseen MTX-annokseen (10–25 mg viikossa).</w:t>
      </w:r>
    </w:p>
    <w:p w14:paraId="2A97B0C2" w14:textId="77777777" w:rsidR="003B7027" w:rsidRPr="0028514E" w:rsidRDefault="003B7027" w:rsidP="006E5F9A">
      <w:pPr>
        <w:pStyle w:val="a4"/>
        <w:ind w:left="0"/>
      </w:pPr>
    </w:p>
    <w:p w14:paraId="1864C923" w14:textId="0BAA5C46" w:rsidR="003B7027" w:rsidRPr="0028514E" w:rsidRDefault="00296A74" w:rsidP="006E5F9A">
      <w:pPr>
        <w:pStyle w:val="a4"/>
        <w:ind w:left="0"/>
      </w:pPr>
      <w:r w:rsidRPr="0028514E">
        <w:t xml:space="preserve">Tutkimuksessa IV arvioitiin 1220 potilasta, jotka eivät olleet saavuttaneet riittävää hoitovastetta nykyisellä reumalääkityksellään, johon kuului vähintään yksi DMARD. </w:t>
      </w:r>
      <w:r w:rsidR="000C4216">
        <w:t>Tosilitsumabi</w:t>
      </w:r>
      <w:r w:rsidRPr="0028514E">
        <w:t>annos 8 mg/kg tai lumevalmiste annettiin neljän viikon välein yhdistettynä DMARDien vakaaseen annokseen.</w:t>
      </w:r>
    </w:p>
    <w:p w14:paraId="6D850234" w14:textId="77777777" w:rsidR="001C544B" w:rsidRPr="0028514E" w:rsidRDefault="001C544B" w:rsidP="006E5F9A">
      <w:pPr>
        <w:pStyle w:val="a4"/>
        <w:ind w:left="0"/>
      </w:pPr>
    </w:p>
    <w:p w14:paraId="22B27177" w14:textId="21A2A0A7" w:rsidR="003B7027" w:rsidRPr="0028514E" w:rsidRDefault="00296A74" w:rsidP="006E5F9A">
      <w:pPr>
        <w:pStyle w:val="a4"/>
        <w:ind w:left="0"/>
      </w:pPr>
      <w:r w:rsidRPr="0028514E">
        <w:t xml:space="preserve">Tutkimuksessa V arvioitiin 499 potilasta, joille yksi tai useampi TNF-estäjä ei ollut tuonut riittävää hoitovastetta tai jotka eivät sietäneet näitä lääkkeitä. Hoito TNF-estäjillä lopetettiin ennen satunnaistamista. </w:t>
      </w:r>
      <w:r w:rsidR="000C4216">
        <w:t>Tosilitsumabi</w:t>
      </w:r>
      <w:r w:rsidRPr="0028514E">
        <w:t>annos 4 mg/kg tai 8 mg/kg tai lumevalmiste annettiin neljän viikon välein yhdistettynä vakaaseen MTX-annokseen (10–25 mg viikossa).</w:t>
      </w:r>
    </w:p>
    <w:p w14:paraId="32B79D5A" w14:textId="77777777" w:rsidR="003B7027" w:rsidRPr="0028514E" w:rsidRDefault="003B7027" w:rsidP="006E5F9A">
      <w:pPr>
        <w:pStyle w:val="a4"/>
        <w:ind w:left="0"/>
      </w:pPr>
    </w:p>
    <w:p w14:paraId="491C453C" w14:textId="77777777" w:rsidR="003B7027" w:rsidRPr="0028514E" w:rsidRDefault="00296A74" w:rsidP="006E5F9A">
      <w:pPr>
        <w:pStyle w:val="a4"/>
        <w:ind w:left="0"/>
      </w:pPr>
      <w:r w:rsidRPr="0028514E">
        <w:rPr>
          <w:u w:val="single"/>
        </w:rPr>
        <w:t>Kliininen vaste</w:t>
      </w:r>
    </w:p>
    <w:p w14:paraId="5C98E9D5" w14:textId="6F31B590" w:rsidR="003B7027" w:rsidRPr="0028514E" w:rsidRDefault="00296A74" w:rsidP="006E5F9A">
      <w:pPr>
        <w:pStyle w:val="a4"/>
        <w:ind w:left="0"/>
      </w:pPr>
      <w:r w:rsidRPr="0028514E">
        <w:t xml:space="preserve">Kaikissa tutkimuksissa kuuden kuukauden ACR20-, ACR50- ja ACR70-vasteet olivat tilastollisesti merkitsevästi suuremmat </w:t>
      </w:r>
      <w:r w:rsidR="000C4216">
        <w:t xml:space="preserve">tosilitsumabia </w:t>
      </w:r>
      <w:r w:rsidRPr="0028514E">
        <w:t xml:space="preserve">8 mg/kg saaneiden potilaiden ryhmissä kuin vertailuryhmissä (taulukko 5). Tutkimuksessa I </w:t>
      </w:r>
      <w:r w:rsidR="000C4216">
        <w:t xml:space="preserve">tosilitsumabi </w:t>
      </w:r>
      <w:r w:rsidRPr="0028514E">
        <w:t>8 mg/kg todettiin tehokkaammaksi kuin vaikuttava vertailuaine MTX.</w:t>
      </w:r>
    </w:p>
    <w:p w14:paraId="714F84D1" w14:textId="77777777" w:rsidR="001C544B" w:rsidRPr="0028514E" w:rsidRDefault="001C544B" w:rsidP="006E5F9A">
      <w:pPr>
        <w:pStyle w:val="a4"/>
        <w:ind w:left="0"/>
      </w:pPr>
    </w:p>
    <w:p w14:paraId="12A72A1C" w14:textId="77777777" w:rsidR="003B7027" w:rsidRPr="0028514E" w:rsidRDefault="00296A74" w:rsidP="006E5F9A">
      <w:pPr>
        <w:pStyle w:val="a4"/>
        <w:ind w:left="0"/>
      </w:pPr>
      <w:r w:rsidRPr="0028514E">
        <w:t>Hoitoteho oli sama riippumatta potilaiden reumatekijästatuksesta, iästä, sukupuolesta, etnisestä taustasta, aikaisempien hoitojen lukumäärästä tai taudin tilasta. Vaikutus alkoi nopeasti (jo toisella hoitoviikolla), ja vaste suureni jatkuvasti hoidon keston myötä. Vielä keskeneräisissä avoimissa jatkotutkimuksissa vasteen on todettu kestävän yli 3 vuotta.</w:t>
      </w:r>
    </w:p>
    <w:p w14:paraId="3207221B" w14:textId="77777777" w:rsidR="001C544B" w:rsidRPr="0028514E" w:rsidRDefault="001C544B" w:rsidP="006E5F9A">
      <w:pPr>
        <w:pStyle w:val="a4"/>
        <w:ind w:left="0"/>
      </w:pPr>
    </w:p>
    <w:p w14:paraId="56B4268C" w14:textId="610F3658" w:rsidR="003B7027" w:rsidRPr="0028514E" w:rsidRDefault="00296A74" w:rsidP="006E5F9A">
      <w:pPr>
        <w:pStyle w:val="a4"/>
        <w:ind w:left="0"/>
      </w:pPr>
      <w:r w:rsidRPr="0028514E">
        <w:t xml:space="preserve">Kaikissa tutkimuksissa </w:t>
      </w:r>
      <w:r w:rsidR="000C4216">
        <w:t>tosilitsumabi</w:t>
      </w:r>
      <w:r w:rsidRPr="0028514E">
        <w:t>annosta 8 mg/kg saaneilla potilailla todettiin merkitsevää paranemista ACR-vasteen kaikissa yksittäisissä osatekijöissä (aristavien ja turvonneiden nivelten lukumäärä, potilaan ja lääkärin yleisarvio, toimintakykyä mittaava pistearvo, kivun arviointi ja CRP- arvo) verrattuna potilaisiin, jotka saivat lumevalmistetta yhdessä MTX:in tai muiden DMARDien kanssa.</w:t>
      </w:r>
    </w:p>
    <w:p w14:paraId="5837A04D" w14:textId="77777777" w:rsidR="001C544B" w:rsidRPr="0028514E" w:rsidRDefault="001C544B" w:rsidP="006E5F9A">
      <w:pPr>
        <w:pStyle w:val="a4"/>
        <w:ind w:left="0"/>
      </w:pPr>
    </w:p>
    <w:p w14:paraId="690D82D6" w14:textId="0C13F2DF" w:rsidR="003B7027" w:rsidRPr="0028514E" w:rsidRDefault="00296A74" w:rsidP="006E5F9A">
      <w:pPr>
        <w:pStyle w:val="a4"/>
        <w:ind w:left="0"/>
      </w:pPr>
      <w:r w:rsidRPr="0028514E">
        <w:t xml:space="preserve">Tutkimuksissa I–V potilaiden keskimääräinen DAS28 (Disease Activity Score) -indeksi hoidon alussa oli 6,5–6,8. DAS28-indeksin merkitsevää laskua (keskimääräinen parannus) havaittiin </w:t>
      </w:r>
      <w:r w:rsidR="000C4216">
        <w:t xml:space="preserve">tosilitsumabilla </w:t>
      </w:r>
      <w:r w:rsidRPr="0028514E">
        <w:t xml:space="preserve">hoidetuilla potilailla verrattuna kontrolliryhmän potilaisiin. Tosilitsumabilla hoidetuilla potilailla DAS28 laski 3,1–3,4 yksikköä ja kontrolliryhmässä 1,3–2,1 yksikköä. </w:t>
      </w:r>
      <w:r w:rsidR="000C4216">
        <w:t>Tosilitsumabi</w:t>
      </w:r>
      <w:r w:rsidRPr="0028514E">
        <w:t>hoitoa saaneista potilaista 28–34 % saavutti DAS28-remission viikolla 24 (DAS28 &lt; 2,6). Osuus oli huomattavasti suurempi kuin kontrolliryhmässä, jossa vastaava luku oli 1–12 %. Tutkimuksessa II, 65 % potilaista saavutti DAS28 &lt;2,6 viikolla 104. Vastaava luku viikolla 52 oli 48 % ja viikolla 24 33 %.</w:t>
      </w:r>
    </w:p>
    <w:p w14:paraId="466135EA" w14:textId="77777777" w:rsidR="003B7027" w:rsidRPr="0028514E" w:rsidRDefault="003B7027" w:rsidP="006E5F9A">
      <w:pPr>
        <w:pStyle w:val="a4"/>
        <w:ind w:left="0"/>
      </w:pPr>
    </w:p>
    <w:p w14:paraId="1A5E3A9C" w14:textId="000FA4CB" w:rsidR="003B7027" w:rsidRPr="0028514E" w:rsidRDefault="00296A74" w:rsidP="006E5F9A">
      <w:pPr>
        <w:pStyle w:val="a4"/>
        <w:ind w:left="0"/>
      </w:pPr>
      <w:r w:rsidRPr="0028514E">
        <w:t xml:space="preserve">Tutkimusten II, III ja IV yhdistetyssä analyysissä ACR20-, ACR50- ja ACR70-vasteiden saavuttaneiden potilaiden osuus oli merkitsevästi suurempi ryhmässä, joka sai </w:t>
      </w:r>
      <w:r w:rsidR="000C4216">
        <w:t xml:space="preserve">tosilitsumabia </w:t>
      </w:r>
      <w:r w:rsidRPr="0028514E">
        <w:t xml:space="preserve">8 mg/kg yhdessä DMARDien kanssa (59 %, 37 % ja 18 %), kuin ryhmässä, joka sai </w:t>
      </w:r>
      <w:r w:rsidR="000C4216">
        <w:t xml:space="preserve">tosilitsumabia </w:t>
      </w:r>
      <w:r w:rsidRPr="0028514E">
        <w:t>4 mg/kg yhdessä DMARDien kanssa (50 %, 27 % ja 11 %; p &lt; 0.03). Vastaavasti DAS28-remission (DAS28</w:t>
      </w:r>
      <w:r w:rsidR="001C544B" w:rsidRPr="0028514E">
        <w:t xml:space="preserve"> </w:t>
      </w:r>
      <w:r w:rsidRPr="0028514E">
        <w:t xml:space="preserve">&lt; 2,6) saavuttaneiden potilaiden osuus oli merkitsevästi suurempi </w:t>
      </w:r>
      <w:r w:rsidR="000C4216">
        <w:t xml:space="preserve">tosilitsumabia </w:t>
      </w:r>
      <w:r w:rsidRPr="0028514E">
        <w:t>8 mg/kg ja DMARDeja</w:t>
      </w:r>
      <w:r w:rsidR="001C544B" w:rsidRPr="0028514E">
        <w:t xml:space="preserve"> </w:t>
      </w:r>
      <w:r w:rsidRPr="0028514E">
        <w:t xml:space="preserve">saaneessa ryhmässä (31 %) kuin </w:t>
      </w:r>
      <w:r w:rsidR="000C4216">
        <w:t xml:space="preserve">tosilitsumabia </w:t>
      </w:r>
      <w:r w:rsidRPr="0028514E">
        <w:t>4 mg/kg ja DMARDeja saaneessa ryhmässä (16 %, p &lt; 0.0001).</w:t>
      </w:r>
    </w:p>
    <w:p w14:paraId="2BFB3C07" w14:textId="77777777" w:rsidR="003B7027" w:rsidRPr="0028514E" w:rsidRDefault="003B7027" w:rsidP="006E5F9A">
      <w:pPr>
        <w:pStyle w:val="a4"/>
        <w:ind w:left="0"/>
      </w:pPr>
    </w:p>
    <w:p w14:paraId="603AABB6" w14:textId="77777777" w:rsidR="003B7027" w:rsidRPr="00CA43F5" w:rsidRDefault="00296A74" w:rsidP="004F5142">
      <w:pPr>
        <w:pStyle w:val="Tabletitle"/>
        <w:rPr>
          <w:lang w:val="fi-FI"/>
        </w:rPr>
      </w:pPr>
      <w:r w:rsidRPr="00CA43F5">
        <w:rPr>
          <w:lang w:val="fi-FI"/>
        </w:rPr>
        <w:t>Taulukko 5.</w:t>
      </w:r>
      <w:r w:rsidR="001C544B" w:rsidRPr="00CA43F5">
        <w:rPr>
          <w:lang w:val="fi-FI"/>
        </w:rPr>
        <w:tab/>
      </w:r>
      <w:r w:rsidRPr="00CA43F5">
        <w:rPr>
          <w:lang w:val="fi-FI"/>
        </w:rPr>
        <w:t>ACR-vasteet kontrolloiduissa tutkimuksissa, joissa vertailuaineina olivat lumevalmiste / MTX / DMARDit, (% potilaista)</w:t>
      </w:r>
    </w:p>
    <w:p w14:paraId="45DA56C9" w14:textId="77777777" w:rsidR="008A3DEA" w:rsidRPr="00CA43F5" w:rsidRDefault="008A3DEA" w:rsidP="004F5142">
      <w:pPr>
        <w:rPr>
          <w:lang w:val="fi-FI"/>
        </w:rPr>
      </w:pPr>
    </w:p>
    <w:tbl>
      <w:tblPr>
        <w:tblW w:w="500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8" w:type="dxa"/>
          <w:bottom w:w="29" w:type="dxa"/>
          <w:right w:w="28" w:type="dxa"/>
        </w:tblCellMar>
        <w:tblLook w:val="01E0" w:firstRow="1" w:lastRow="1" w:firstColumn="1" w:lastColumn="1" w:noHBand="0" w:noVBand="0"/>
      </w:tblPr>
      <w:tblGrid>
        <w:gridCol w:w="579"/>
        <w:gridCol w:w="931"/>
        <w:gridCol w:w="674"/>
        <w:gridCol w:w="968"/>
        <w:gridCol w:w="710"/>
        <w:gridCol w:w="974"/>
        <w:gridCol w:w="705"/>
        <w:gridCol w:w="923"/>
        <w:gridCol w:w="918"/>
        <w:gridCol w:w="924"/>
        <w:gridCol w:w="758"/>
      </w:tblGrid>
      <w:tr w:rsidR="003B7027" w:rsidRPr="00C428D4" w14:paraId="633DC00C" w14:textId="77777777" w:rsidTr="00C428D4">
        <w:trPr>
          <w:cantSplit/>
          <w:tblHeader/>
        </w:trPr>
        <w:tc>
          <w:tcPr>
            <w:tcW w:w="594" w:type="dxa"/>
          </w:tcPr>
          <w:p w14:paraId="6440258C" w14:textId="77777777" w:rsidR="003B7027" w:rsidRPr="00C428D4" w:rsidRDefault="003B7027" w:rsidP="006E5F9A">
            <w:pPr>
              <w:pStyle w:val="TableParagraph"/>
              <w:suppressAutoHyphens/>
              <w:rPr>
                <w:sz w:val="18"/>
                <w:szCs w:val="18"/>
              </w:rPr>
            </w:pPr>
          </w:p>
        </w:tc>
        <w:tc>
          <w:tcPr>
            <w:tcW w:w="1644" w:type="dxa"/>
            <w:gridSpan w:val="2"/>
          </w:tcPr>
          <w:p w14:paraId="0BED6579" w14:textId="77777777" w:rsidR="003B7027" w:rsidRPr="00C428D4" w:rsidRDefault="00296A74" w:rsidP="006E5F9A">
            <w:pPr>
              <w:pStyle w:val="TableParagraph"/>
              <w:suppressAutoHyphens/>
              <w:jc w:val="center"/>
              <w:rPr>
                <w:b/>
                <w:sz w:val="18"/>
                <w:szCs w:val="18"/>
              </w:rPr>
            </w:pPr>
            <w:r w:rsidRPr="00C428D4">
              <w:rPr>
                <w:b/>
                <w:sz w:val="18"/>
                <w:szCs w:val="18"/>
              </w:rPr>
              <w:t>Tutkimus I AMBITION</w:t>
            </w:r>
          </w:p>
        </w:tc>
        <w:tc>
          <w:tcPr>
            <w:tcW w:w="1720" w:type="dxa"/>
            <w:gridSpan w:val="2"/>
          </w:tcPr>
          <w:p w14:paraId="2D5A7EDE" w14:textId="77777777" w:rsidR="003B7027" w:rsidRPr="00C428D4" w:rsidRDefault="00296A74" w:rsidP="006E5F9A">
            <w:pPr>
              <w:pStyle w:val="TableParagraph"/>
              <w:suppressAutoHyphens/>
              <w:jc w:val="center"/>
              <w:rPr>
                <w:b/>
                <w:sz w:val="18"/>
                <w:szCs w:val="18"/>
              </w:rPr>
            </w:pPr>
            <w:r w:rsidRPr="00C428D4">
              <w:rPr>
                <w:b/>
                <w:sz w:val="18"/>
                <w:szCs w:val="18"/>
              </w:rPr>
              <w:t>Tutkimus II LITHE</w:t>
            </w:r>
          </w:p>
        </w:tc>
        <w:tc>
          <w:tcPr>
            <w:tcW w:w="1721" w:type="dxa"/>
            <w:gridSpan w:val="2"/>
          </w:tcPr>
          <w:p w14:paraId="03C1CF10" w14:textId="77777777" w:rsidR="003B7027" w:rsidRPr="00C428D4" w:rsidRDefault="00296A74" w:rsidP="006E5F9A">
            <w:pPr>
              <w:pStyle w:val="TableParagraph"/>
              <w:suppressAutoHyphens/>
              <w:jc w:val="center"/>
              <w:rPr>
                <w:b/>
                <w:sz w:val="18"/>
                <w:szCs w:val="18"/>
              </w:rPr>
            </w:pPr>
            <w:r w:rsidRPr="00C428D4">
              <w:rPr>
                <w:b/>
                <w:sz w:val="18"/>
                <w:szCs w:val="18"/>
              </w:rPr>
              <w:t>Tutkimus III OPTION</w:t>
            </w:r>
          </w:p>
        </w:tc>
        <w:tc>
          <w:tcPr>
            <w:tcW w:w="1887" w:type="dxa"/>
            <w:gridSpan w:val="2"/>
          </w:tcPr>
          <w:p w14:paraId="3D314612" w14:textId="77777777" w:rsidR="003B7027" w:rsidRPr="00C428D4" w:rsidRDefault="00296A74" w:rsidP="006E5F9A">
            <w:pPr>
              <w:pStyle w:val="TableParagraph"/>
              <w:suppressAutoHyphens/>
              <w:jc w:val="center"/>
              <w:rPr>
                <w:b/>
                <w:sz w:val="18"/>
                <w:szCs w:val="18"/>
              </w:rPr>
            </w:pPr>
            <w:r w:rsidRPr="00C428D4">
              <w:rPr>
                <w:b/>
                <w:sz w:val="18"/>
                <w:szCs w:val="18"/>
              </w:rPr>
              <w:t>Tutkimus IV TOWARD</w:t>
            </w:r>
          </w:p>
        </w:tc>
        <w:tc>
          <w:tcPr>
            <w:tcW w:w="1724" w:type="dxa"/>
            <w:gridSpan w:val="2"/>
          </w:tcPr>
          <w:p w14:paraId="2659EF4A" w14:textId="77777777" w:rsidR="003B7027" w:rsidRPr="00C428D4" w:rsidRDefault="00296A74" w:rsidP="006E5F9A">
            <w:pPr>
              <w:pStyle w:val="TableParagraph"/>
              <w:suppressAutoHyphens/>
              <w:jc w:val="center"/>
              <w:rPr>
                <w:b/>
                <w:sz w:val="18"/>
                <w:szCs w:val="18"/>
              </w:rPr>
            </w:pPr>
            <w:r w:rsidRPr="00C428D4">
              <w:rPr>
                <w:b/>
                <w:sz w:val="18"/>
                <w:szCs w:val="18"/>
              </w:rPr>
              <w:t>Tutkimus V RADIATE</w:t>
            </w:r>
          </w:p>
        </w:tc>
      </w:tr>
      <w:tr w:rsidR="003B7027" w:rsidRPr="00C428D4" w14:paraId="2C95D098" w14:textId="77777777" w:rsidTr="00C428D4">
        <w:trPr>
          <w:cantSplit/>
          <w:tblHeader/>
        </w:trPr>
        <w:tc>
          <w:tcPr>
            <w:tcW w:w="594" w:type="dxa"/>
          </w:tcPr>
          <w:p w14:paraId="52FD8837" w14:textId="77777777" w:rsidR="003B7027" w:rsidRPr="00C428D4" w:rsidRDefault="00296A74" w:rsidP="006E5F9A">
            <w:pPr>
              <w:pStyle w:val="TableParagraph"/>
              <w:suppressAutoHyphens/>
              <w:jc w:val="center"/>
              <w:rPr>
                <w:b/>
                <w:sz w:val="18"/>
                <w:szCs w:val="18"/>
              </w:rPr>
            </w:pPr>
            <w:r w:rsidRPr="00C428D4">
              <w:rPr>
                <w:b/>
                <w:sz w:val="18"/>
                <w:szCs w:val="18"/>
              </w:rPr>
              <w:t>Vko</w:t>
            </w:r>
          </w:p>
        </w:tc>
        <w:tc>
          <w:tcPr>
            <w:tcW w:w="954" w:type="dxa"/>
          </w:tcPr>
          <w:p w14:paraId="635F897C" w14:textId="77777777" w:rsidR="003B7027" w:rsidRPr="00C428D4" w:rsidRDefault="00296A74" w:rsidP="006E5F9A">
            <w:pPr>
              <w:pStyle w:val="TableParagraph"/>
              <w:suppressAutoHyphens/>
              <w:jc w:val="center"/>
              <w:rPr>
                <w:b/>
                <w:sz w:val="18"/>
                <w:szCs w:val="18"/>
              </w:rPr>
            </w:pPr>
            <w:r w:rsidRPr="00C428D4">
              <w:rPr>
                <w:b/>
                <w:sz w:val="18"/>
                <w:szCs w:val="18"/>
              </w:rPr>
              <w:t>TCZ</w:t>
            </w:r>
          </w:p>
          <w:p w14:paraId="632A3C47" w14:textId="77777777" w:rsidR="003B7027" w:rsidRPr="00C428D4" w:rsidRDefault="00296A74" w:rsidP="006E5F9A">
            <w:pPr>
              <w:pStyle w:val="TableParagraph"/>
              <w:suppressAutoHyphens/>
              <w:jc w:val="center"/>
              <w:rPr>
                <w:b/>
                <w:sz w:val="18"/>
                <w:szCs w:val="18"/>
              </w:rPr>
            </w:pPr>
            <w:r w:rsidRPr="00C428D4">
              <w:rPr>
                <w:b/>
                <w:sz w:val="18"/>
                <w:szCs w:val="18"/>
              </w:rPr>
              <w:t>8 mg/kg</w:t>
            </w:r>
          </w:p>
        </w:tc>
        <w:tc>
          <w:tcPr>
            <w:tcW w:w="690" w:type="dxa"/>
          </w:tcPr>
          <w:p w14:paraId="66574EA6" w14:textId="77777777" w:rsidR="003B7027" w:rsidRPr="00C428D4" w:rsidRDefault="00296A74" w:rsidP="006E5F9A">
            <w:pPr>
              <w:pStyle w:val="TableParagraph"/>
              <w:suppressAutoHyphens/>
              <w:jc w:val="center"/>
              <w:rPr>
                <w:b/>
                <w:sz w:val="18"/>
                <w:szCs w:val="18"/>
              </w:rPr>
            </w:pPr>
            <w:r w:rsidRPr="00C428D4">
              <w:rPr>
                <w:b/>
                <w:sz w:val="18"/>
                <w:szCs w:val="18"/>
              </w:rPr>
              <w:t>MTX</w:t>
            </w:r>
          </w:p>
        </w:tc>
        <w:tc>
          <w:tcPr>
            <w:tcW w:w="993" w:type="dxa"/>
          </w:tcPr>
          <w:p w14:paraId="3E7134DC" w14:textId="77777777" w:rsidR="003B7027" w:rsidRPr="00C428D4" w:rsidRDefault="00296A74" w:rsidP="006E5F9A">
            <w:pPr>
              <w:pStyle w:val="TableParagraph"/>
              <w:suppressAutoHyphens/>
              <w:jc w:val="center"/>
              <w:rPr>
                <w:b/>
                <w:sz w:val="18"/>
                <w:szCs w:val="18"/>
              </w:rPr>
            </w:pPr>
            <w:r w:rsidRPr="00C428D4">
              <w:rPr>
                <w:b/>
                <w:sz w:val="18"/>
                <w:szCs w:val="18"/>
              </w:rPr>
              <w:t>TCZ</w:t>
            </w:r>
          </w:p>
          <w:p w14:paraId="1805ADBF" w14:textId="77777777" w:rsidR="003B7027" w:rsidRPr="00C428D4" w:rsidRDefault="00296A74" w:rsidP="006E5F9A">
            <w:pPr>
              <w:pStyle w:val="TableParagraph"/>
              <w:suppressAutoHyphens/>
              <w:jc w:val="center"/>
              <w:rPr>
                <w:b/>
                <w:sz w:val="18"/>
                <w:szCs w:val="18"/>
              </w:rPr>
            </w:pPr>
            <w:r w:rsidRPr="00C428D4">
              <w:rPr>
                <w:b/>
                <w:sz w:val="18"/>
                <w:szCs w:val="18"/>
              </w:rPr>
              <w:t>8 mg/kg + MTX</w:t>
            </w:r>
          </w:p>
        </w:tc>
        <w:tc>
          <w:tcPr>
            <w:tcW w:w="727" w:type="dxa"/>
          </w:tcPr>
          <w:p w14:paraId="2CE7395A" w14:textId="77777777" w:rsidR="003B7027" w:rsidRPr="00C428D4" w:rsidRDefault="00296A74" w:rsidP="006E5F9A">
            <w:pPr>
              <w:pStyle w:val="TableParagraph"/>
              <w:suppressAutoHyphens/>
              <w:jc w:val="center"/>
              <w:rPr>
                <w:b/>
                <w:sz w:val="18"/>
                <w:szCs w:val="18"/>
              </w:rPr>
            </w:pPr>
            <w:r w:rsidRPr="00C428D4">
              <w:rPr>
                <w:b/>
                <w:sz w:val="18"/>
                <w:szCs w:val="18"/>
              </w:rPr>
              <w:t>Lume</w:t>
            </w:r>
          </w:p>
          <w:p w14:paraId="3D8FF7AE" w14:textId="77777777" w:rsidR="003B7027" w:rsidRPr="00C428D4" w:rsidRDefault="00296A74" w:rsidP="006E5F9A">
            <w:pPr>
              <w:pStyle w:val="TableParagraph"/>
              <w:suppressAutoHyphens/>
              <w:jc w:val="center"/>
              <w:rPr>
                <w:b/>
                <w:sz w:val="18"/>
                <w:szCs w:val="18"/>
              </w:rPr>
            </w:pPr>
            <w:r w:rsidRPr="00C428D4">
              <w:rPr>
                <w:b/>
                <w:sz w:val="18"/>
                <w:szCs w:val="18"/>
              </w:rPr>
              <w:t>+ MTX</w:t>
            </w:r>
          </w:p>
        </w:tc>
        <w:tc>
          <w:tcPr>
            <w:tcW w:w="999" w:type="dxa"/>
          </w:tcPr>
          <w:p w14:paraId="571D9AB6" w14:textId="77777777" w:rsidR="003B7027" w:rsidRPr="00C428D4" w:rsidRDefault="00296A74" w:rsidP="006E5F9A">
            <w:pPr>
              <w:pStyle w:val="TableParagraph"/>
              <w:suppressAutoHyphens/>
              <w:jc w:val="center"/>
              <w:rPr>
                <w:b/>
                <w:sz w:val="18"/>
                <w:szCs w:val="18"/>
              </w:rPr>
            </w:pPr>
            <w:r w:rsidRPr="00C428D4">
              <w:rPr>
                <w:b/>
                <w:sz w:val="18"/>
                <w:szCs w:val="18"/>
              </w:rPr>
              <w:t>TCZ</w:t>
            </w:r>
          </w:p>
          <w:p w14:paraId="25C5236B" w14:textId="77777777" w:rsidR="003B7027" w:rsidRPr="00C428D4" w:rsidRDefault="00296A74" w:rsidP="006E5F9A">
            <w:pPr>
              <w:pStyle w:val="TableParagraph"/>
              <w:suppressAutoHyphens/>
              <w:jc w:val="center"/>
              <w:rPr>
                <w:b/>
                <w:sz w:val="18"/>
                <w:szCs w:val="18"/>
              </w:rPr>
            </w:pPr>
            <w:r w:rsidRPr="00C428D4">
              <w:rPr>
                <w:b/>
                <w:sz w:val="18"/>
                <w:szCs w:val="18"/>
              </w:rPr>
              <w:t>8 mg/kg</w:t>
            </w:r>
          </w:p>
          <w:p w14:paraId="16EC778C" w14:textId="77777777" w:rsidR="003B7027" w:rsidRPr="00C428D4" w:rsidRDefault="00296A74" w:rsidP="006E5F9A">
            <w:pPr>
              <w:pStyle w:val="TableParagraph"/>
              <w:suppressAutoHyphens/>
              <w:jc w:val="center"/>
              <w:rPr>
                <w:b/>
                <w:sz w:val="18"/>
                <w:szCs w:val="18"/>
              </w:rPr>
            </w:pPr>
            <w:r w:rsidRPr="00C428D4">
              <w:rPr>
                <w:b/>
                <w:sz w:val="18"/>
                <w:szCs w:val="18"/>
              </w:rPr>
              <w:t>+ MTX</w:t>
            </w:r>
          </w:p>
        </w:tc>
        <w:tc>
          <w:tcPr>
            <w:tcW w:w="722" w:type="dxa"/>
          </w:tcPr>
          <w:p w14:paraId="08B2E7C4" w14:textId="77777777" w:rsidR="003B7027" w:rsidRPr="00C428D4" w:rsidRDefault="00296A74" w:rsidP="006E5F9A">
            <w:pPr>
              <w:pStyle w:val="TableParagraph"/>
              <w:suppressAutoHyphens/>
              <w:jc w:val="center"/>
              <w:rPr>
                <w:b/>
                <w:sz w:val="18"/>
                <w:szCs w:val="18"/>
              </w:rPr>
            </w:pPr>
            <w:r w:rsidRPr="00C428D4">
              <w:rPr>
                <w:b/>
                <w:sz w:val="18"/>
                <w:szCs w:val="18"/>
              </w:rPr>
              <w:t>Lume + MTX</w:t>
            </w:r>
          </w:p>
        </w:tc>
        <w:tc>
          <w:tcPr>
            <w:tcW w:w="946" w:type="dxa"/>
          </w:tcPr>
          <w:p w14:paraId="5271FCA1" w14:textId="77777777" w:rsidR="003B7027" w:rsidRPr="00C428D4" w:rsidRDefault="00296A74" w:rsidP="006E5F9A">
            <w:pPr>
              <w:pStyle w:val="TableParagraph"/>
              <w:suppressAutoHyphens/>
              <w:jc w:val="center"/>
              <w:rPr>
                <w:b/>
                <w:sz w:val="18"/>
                <w:szCs w:val="18"/>
              </w:rPr>
            </w:pPr>
            <w:r w:rsidRPr="00C428D4">
              <w:rPr>
                <w:b/>
                <w:sz w:val="18"/>
                <w:szCs w:val="18"/>
              </w:rPr>
              <w:t>TCZ</w:t>
            </w:r>
          </w:p>
          <w:p w14:paraId="79F58FB1" w14:textId="77777777" w:rsidR="003B7027" w:rsidRPr="00C428D4" w:rsidRDefault="00296A74" w:rsidP="006E5F9A">
            <w:pPr>
              <w:pStyle w:val="TableParagraph"/>
              <w:suppressAutoHyphens/>
              <w:jc w:val="center"/>
              <w:rPr>
                <w:b/>
                <w:sz w:val="18"/>
                <w:szCs w:val="18"/>
              </w:rPr>
            </w:pPr>
            <w:r w:rsidRPr="00C428D4">
              <w:rPr>
                <w:b/>
                <w:sz w:val="18"/>
                <w:szCs w:val="18"/>
              </w:rPr>
              <w:t>8 mg/kg + DMARD</w:t>
            </w:r>
          </w:p>
        </w:tc>
        <w:tc>
          <w:tcPr>
            <w:tcW w:w="941" w:type="dxa"/>
          </w:tcPr>
          <w:p w14:paraId="5C966605" w14:textId="77777777" w:rsidR="003B7027" w:rsidRPr="00C428D4" w:rsidRDefault="00296A74" w:rsidP="006E5F9A">
            <w:pPr>
              <w:pStyle w:val="TableParagraph"/>
              <w:suppressAutoHyphens/>
              <w:jc w:val="center"/>
              <w:rPr>
                <w:b/>
                <w:sz w:val="18"/>
                <w:szCs w:val="18"/>
              </w:rPr>
            </w:pPr>
            <w:r w:rsidRPr="00C428D4">
              <w:rPr>
                <w:b/>
                <w:sz w:val="18"/>
                <w:szCs w:val="18"/>
              </w:rPr>
              <w:t>Lume+ DMARD</w:t>
            </w:r>
          </w:p>
        </w:tc>
        <w:tc>
          <w:tcPr>
            <w:tcW w:w="947" w:type="dxa"/>
          </w:tcPr>
          <w:p w14:paraId="10D4BD3D" w14:textId="77777777" w:rsidR="003B7027" w:rsidRPr="00C428D4" w:rsidRDefault="00296A74" w:rsidP="006E5F9A">
            <w:pPr>
              <w:pStyle w:val="TableParagraph"/>
              <w:suppressAutoHyphens/>
              <w:jc w:val="center"/>
              <w:rPr>
                <w:b/>
                <w:sz w:val="18"/>
                <w:szCs w:val="18"/>
              </w:rPr>
            </w:pPr>
            <w:r w:rsidRPr="00C428D4">
              <w:rPr>
                <w:b/>
                <w:sz w:val="18"/>
                <w:szCs w:val="18"/>
              </w:rPr>
              <w:t>TCZ</w:t>
            </w:r>
          </w:p>
          <w:p w14:paraId="4C6C8475" w14:textId="77777777" w:rsidR="003B7027" w:rsidRPr="00C428D4" w:rsidRDefault="00296A74" w:rsidP="006E5F9A">
            <w:pPr>
              <w:pStyle w:val="TableParagraph"/>
              <w:suppressAutoHyphens/>
              <w:jc w:val="center"/>
              <w:rPr>
                <w:b/>
                <w:sz w:val="18"/>
                <w:szCs w:val="18"/>
              </w:rPr>
            </w:pPr>
            <w:r w:rsidRPr="00C428D4">
              <w:rPr>
                <w:b/>
                <w:sz w:val="18"/>
                <w:szCs w:val="18"/>
              </w:rPr>
              <w:t>8 mg/kg</w:t>
            </w:r>
          </w:p>
          <w:p w14:paraId="7A22584A" w14:textId="77777777" w:rsidR="003B7027" w:rsidRPr="00C428D4" w:rsidRDefault="00296A74" w:rsidP="006E5F9A">
            <w:pPr>
              <w:pStyle w:val="TableParagraph"/>
              <w:suppressAutoHyphens/>
              <w:jc w:val="center"/>
              <w:rPr>
                <w:b/>
                <w:sz w:val="18"/>
                <w:szCs w:val="18"/>
              </w:rPr>
            </w:pPr>
            <w:r w:rsidRPr="00C428D4">
              <w:rPr>
                <w:b/>
                <w:sz w:val="18"/>
                <w:szCs w:val="18"/>
              </w:rPr>
              <w:t>+ MTX</w:t>
            </w:r>
          </w:p>
        </w:tc>
        <w:tc>
          <w:tcPr>
            <w:tcW w:w="777" w:type="dxa"/>
          </w:tcPr>
          <w:p w14:paraId="12A1FC48" w14:textId="77777777" w:rsidR="003B7027" w:rsidRPr="00C428D4" w:rsidRDefault="00296A74" w:rsidP="006E5F9A">
            <w:pPr>
              <w:pStyle w:val="TableParagraph"/>
              <w:suppressAutoHyphens/>
              <w:jc w:val="center"/>
              <w:rPr>
                <w:b/>
                <w:sz w:val="18"/>
                <w:szCs w:val="18"/>
              </w:rPr>
            </w:pPr>
            <w:r w:rsidRPr="00C428D4">
              <w:rPr>
                <w:b/>
                <w:sz w:val="18"/>
                <w:szCs w:val="18"/>
              </w:rPr>
              <w:t>Lume</w:t>
            </w:r>
          </w:p>
          <w:p w14:paraId="6B58111F" w14:textId="77777777" w:rsidR="003B7027" w:rsidRPr="00C428D4" w:rsidRDefault="00296A74" w:rsidP="006E5F9A">
            <w:pPr>
              <w:pStyle w:val="TableParagraph"/>
              <w:suppressAutoHyphens/>
              <w:jc w:val="center"/>
              <w:rPr>
                <w:b/>
                <w:sz w:val="18"/>
                <w:szCs w:val="18"/>
              </w:rPr>
            </w:pPr>
            <w:r w:rsidRPr="00C428D4">
              <w:rPr>
                <w:b/>
                <w:sz w:val="18"/>
                <w:szCs w:val="18"/>
              </w:rPr>
              <w:t>+ MTX</w:t>
            </w:r>
          </w:p>
        </w:tc>
      </w:tr>
      <w:tr w:rsidR="003B7027" w:rsidRPr="00C428D4" w14:paraId="22FCD4EE" w14:textId="77777777" w:rsidTr="00C428D4">
        <w:trPr>
          <w:cantSplit/>
          <w:tblHeader/>
        </w:trPr>
        <w:tc>
          <w:tcPr>
            <w:tcW w:w="594" w:type="dxa"/>
          </w:tcPr>
          <w:p w14:paraId="0A70144A" w14:textId="77777777" w:rsidR="003B7027" w:rsidRPr="00C428D4" w:rsidRDefault="003B7027" w:rsidP="006E5F9A">
            <w:pPr>
              <w:pStyle w:val="TableParagraph"/>
              <w:suppressAutoHyphens/>
              <w:rPr>
                <w:sz w:val="18"/>
                <w:szCs w:val="18"/>
              </w:rPr>
            </w:pPr>
          </w:p>
        </w:tc>
        <w:tc>
          <w:tcPr>
            <w:tcW w:w="954" w:type="dxa"/>
          </w:tcPr>
          <w:p w14:paraId="08C70FC9" w14:textId="77777777" w:rsidR="003B7027" w:rsidRPr="00C428D4" w:rsidRDefault="00296A74" w:rsidP="006E5F9A">
            <w:pPr>
              <w:pStyle w:val="TableParagraph"/>
              <w:suppressAutoHyphens/>
              <w:rPr>
                <w:b/>
                <w:sz w:val="18"/>
                <w:szCs w:val="18"/>
              </w:rPr>
            </w:pPr>
            <w:r w:rsidRPr="00C428D4">
              <w:rPr>
                <w:b/>
                <w:sz w:val="18"/>
                <w:szCs w:val="18"/>
              </w:rPr>
              <w:t>N = 286</w:t>
            </w:r>
          </w:p>
        </w:tc>
        <w:tc>
          <w:tcPr>
            <w:tcW w:w="690" w:type="dxa"/>
          </w:tcPr>
          <w:p w14:paraId="57B54EA3" w14:textId="77777777" w:rsidR="003B7027" w:rsidRPr="00C428D4" w:rsidRDefault="00296A74" w:rsidP="006E5F9A">
            <w:pPr>
              <w:pStyle w:val="TableParagraph"/>
              <w:suppressAutoHyphens/>
              <w:rPr>
                <w:b/>
                <w:sz w:val="18"/>
                <w:szCs w:val="18"/>
              </w:rPr>
            </w:pPr>
            <w:r w:rsidRPr="00C428D4">
              <w:rPr>
                <w:b/>
                <w:sz w:val="18"/>
                <w:szCs w:val="18"/>
              </w:rPr>
              <w:t>N = 284</w:t>
            </w:r>
          </w:p>
        </w:tc>
        <w:tc>
          <w:tcPr>
            <w:tcW w:w="993" w:type="dxa"/>
          </w:tcPr>
          <w:p w14:paraId="61969B07" w14:textId="77777777" w:rsidR="003B7027" w:rsidRPr="00C428D4" w:rsidRDefault="00296A74" w:rsidP="006E5F9A">
            <w:pPr>
              <w:pStyle w:val="TableParagraph"/>
              <w:suppressAutoHyphens/>
              <w:rPr>
                <w:b/>
                <w:sz w:val="18"/>
                <w:szCs w:val="18"/>
              </w:rPr>
            </w:pPr>
            <w:r w:rsidRPr="00C428D4">
              <w:rPr>
                <w:b/>
                <w:sz w:val="18"/>
                <w:szCs w:val="18"/>
              </w:rPr>
              <w:t>N = 398</w:t>
            </w:r>
          </w:p>
        </w:tc>
        <w:tc>
          <w:tcPr>
            <w:tcW w:w="727" w:type="dxa"/>
          </w:tcPr>
          <w:p w14:paraId="69C6573F" w14:textId="77777777" w:rsidR="003B7027" w:rsidRPr="00C428D4" w:rsidRDefault="00296A74" w:rsidP="006E5F9A">
            <w:pPr>
              <w:pStyle w:val="TableParagraph"/>
              <w:suppressAutoHyphens/>
              <w:rPr>
                <w:b/>
                <w:sz w:val="18"/>
                <w:szCs w:val="18"/>
              </w:rPr>
            </w:pPr>
            <w:r w:rsidRPr="00C428D4">
              <w:rPr>
                <w:b/>
                <w:sz w:val="18"/>
                <w:szCs w:val="18"/>
              </w:rPr>
              <w:t>N = 393</w:t>
            </w:r>
          </w:p>
        </w:tc>
        <w:tc>
          <w:tcPr>
            <w:tcW w:w="999" w:type="dxa"/>
          </w:tcPr>
          <w:p w14:paraId="790E07D1" w14:textId="77777777" w:rsidR="003B7027" w:rsidRPr="00C428D4" w:rsidRDefault="00296A74" w:rsidP="006E5F9A">
            <w:pPr>
              <w:pStyle w:val="TableParagraph"/>
              <w:suppressAutoHyphens/>
              <w:rPr>
                <w:b/>
                <w:sz w:val="18"/>
                <w:szCs w:val="18"/>
              </w:rPr>
            </w:pPr>
            <w:r w:rsidRPr="00C428D4">
              <w:rPr>
                <w:b/>
                <w:sz w:val="18"/>
                <w:szCs w:val="18"/>
              </w:rPr>
              <w:t>N = 205</w:t>
            </w:r>
          </w:p>
        </w:tc>
        <w:tc>
          <w:tcPr>
            <w:tcW w:w="722" w:type="dxa"/>
          </w:tcPr>
          <w:p w14:paraId="2A4EC767" w14:textId="77777777" w:rsidR="003B7027" w:rsidRPr="00C428D4" w:rsidRDefault="00296A74" w:rsidP="006E5F9A">
            <w:pPr>
              <w:pStyle w:val="TableParagraph"/>
              <w:suppressAutoHyphens/>
              <w:rPr>
                <w:b/>
                <w:sz w:val="18"/>
                <w:szCs w:val="18"/>
              </w:rPr>
            </w:pPr>
            <w:r w:rsidRPr="00C428D4">
              <w:rPr>
                <w:b/>
                <w:sz w:val="18"/>
                <w:szCs w:val="18"/>
              </w:rPr>
              <w:t>N = 204</w:t>
            </w:r>
          </w:p>
        </w:tc>
        <w:tc>
          <w:tcPr>
            <w:tcW w:w="946" w:type="dxa"/>
          </w:tcPr>
          <w:p w14:paraId="2B44723E" w14:textId="77777777" w:rsidR="003B7027" w:rsidRPr="00C428D4" w:rsidRDefault="00296A74" w:rsidP="006E5F9A">
            <w:pPr>
              <w:pStyle w:val="TableParagraph"/>
              <w:suppressAutoHyphens/>
              <w:rPr>
                <w:b/>
                <w:sz w:val="18"/>
                <w:szCs w:val="18"/>
              </w:rPr>
            </w:pPr>
            <w:r w:rsidRPr="00C428D4">
              <w:rPr>
                <w:b/>
                <w:sz w:val="18"/>
                <w:szCs w:val="18"/>
              </w:rPr>
              <w:t>N = 803</w:t>
            </w:r>
          </w:p>
        </w:tc>
        <w:tc>
          <w:tcPr>
            <w:tcW w:w="941" w:type="dxa"/>
          </w:tcPr>
          <w:p w14:paraId="7BDF745C" w14:textId="77777777" w:rsidR="003B7027" w:rsidRPr="00C428D4" w:rsidRDefault="00296A74" w:rsidP="006E5F9A">
            <w:pPr>
              <w:pStyle w:val="TableParagraph"/>
              <w:suppressAutoHyphens/>
              <w:rPr>
                <w:b/>
                <w:sz w:val="18"/>
                <w:szCs w:val="18"/>
              </w:rPr>
            </w:pPr>
            <w:r w:rsidRPr="00C428D4">
              <w:rPr>
                <w:b/>
                <w:sz w:val="18"/>
                <w:szCs w:val="18"/>
              </w:rPr>
              <w:t>N = 413</w:t>
            </w:r>
          </w:p>
        </w:tc>
        <w:tc>
          <w:tcPr>
            <w:tcW w:w="947" w:type="dxa"/>
          </w:tcPr>
          <w:p w14:paraId="467FE455" w14:textId="77777777" w:rsidR="003B7027" w:rsidRPr="00C428D4" w:rsidRDefault="00296A74" w:rsidP="006E5F9A">
            <w:pPr>
              <w:pStyle w:val="TableParagraph"/>
              <w:suppressAutoHyphens/>
              <w:rPr>
                <w:b/>
                <w:sz w:val="18"/>
                <w:szCs w:val="18"/>
              </w:rPr>
            </w:pPr>
            <w:r w:rsidRPr="00C428D4">
              <w:rPr>
                <w:b/>
                <w:sz w:val="18"/>
                <w:szCs w:val="18"/>
              </w:rPr>
              <w:t>N = 170</w:t>
            </w:r>
          </w:p>
        </w:tc>
        <w:tc>
          <w:tcPr>
            <w:tcW w:w="777" w:type="dxa"/>
          </w:tcPr>
          <w:p w14:paraId="336774E9" w14:textId="77777777" w:rsidR="003B7027" w:rsidRPr="00C428D4" w:rsidRDefault="00296A74" w:rsidP="006E5F9A">
            <w:pPr>
              <w:pStyle w:val="TableParagraph"/>
              <w:suppressAutoHyphens/>
              <w:rPr>
                <w:b/>
                <w:sz w:val="18"/>
                <w:szCs w:val="18"/>
              </w:rPr>
            </w:pPr>
            <w:r w:rsidRPr="00C428D4">
              <w:rPr>
                <w:b/>
                <w:sz w:val="18"/>
                <w:szCs w:val="18"/>
              </w:rPr>
              <w:t>N = 158</w:t>
            </w:r>
          </w:p>
        </w:tc>
      </w:tr>
      <w:tr w:rsidR="003B7027" w:rsidRPr="00C428D4" w14:paraId="78C4ACC4" w14:textId="77777777" w:rsidTr="00C428D4">
        <w:trPr>
          <w:cantSplit/>
        </w:trPr>
        <w:tc>
          <w:tcPr>
            <w:tcW w:w="9290" w:type="dxa"/>
            <w:gridSpan w:val="11"/>
          </w:tcPr>
          <w:p w14:paraId="58817079" w14:textId="77777777" w:rsidR="003B7027" w:rsidRPr="00C428D4" w:rsidRDefault="00296A74" w:rsidP="006E5F9A">
            <w:pPr>
              <w:pStyle w:val="TableParagraph"/>
              <w:suppressAutoHyphens/>
              <w:jc w:val="center"/>
              <w:rPr>
                <w:b/>
                <w:sz w:val="18"/>
                <w:szCs w:val="18"/>
              </w:rPr>
            </w:pPr>
            <w:r w:rsidRPr="00C428D4">
              <w:rPr>
                <w:b/>
                <w:sz w:val="18"/>
                <w:szCs w:val="18"/>
              </w:rPr>
              <w:t>ACR 20</w:t>
            </w:r>
          </w:p>
        </w:tc>
      </w:tr>
      <w:tr w:rsidR="003B7027" w:rsidRPr="00C428D4" w14:paraId="06AB3EA7" w14:textId="77777777" w:rsidTr="00C428D4">
        <w:trPr>
          <w:cantSplit/>
        </w:trPr>
        <w:tc>
          <w:tcPr>
            <w:tcW w:w="594" w:type="dxa"/>
          </w:tcPr>
          <w:p w14:paraId="2C24E11A" w14:textId="77777777" w:rsidR="003B7027" w:rsidRPr="00C428D4" w:rsidRDefault="00296A74" w:rsidP="006E5F9A">
            <w:pPr>
              <w:pStyle w:val="TableParagraph"/>
              <w:suppressAutoHyphens/>
              <w:jc w:val="center"/>
              <w:rPr>
                <w:sz w:val="18"/>
                <w:szCs w:val="18"/>
              </w:rPr>
            </w:pPr>
            <w:r w:rsidRPr="00C428D4">
              <w:rPr>
                <w:sz w:val="18"/>
                <w:szCs w:val="18"/>
              </w:rPr>
              <w:t>24</w:t>
            </w:r>
          </w:p>
        </w:tc>
        <w:tc>
          <w:tcPr>
            <w:tcW w:w="954" w:type="dxa"/>
          </w:tcPr>
          <w:p w14:paraId="1DDC6CB4" w14:textId="77777777" w:rsidR="003B7027" w:rsidRPr="00C428D4" w:rsidRDefault="00296A74" w:rsidP="006E5F9A">
            <w:pPr>
              <w:pStyle w:val="TableParagraph"/>
              <w:suppressAutoHyphens/>
              <w:jc w:val="center"/>
              <w:rPr>
                <w:sz w:val="18"/>
                <w:szCs w:val="18"/>
              </w:rPr>
            </w:pPr>
            <w:r w:rsidRPr="00C428D4">
              <w:rPr>
                <w:sz w:val="18"/>
                <w:szCs w:val="18"/>
              </w:rPr>
              <w:t>70 %***</w:t>
            </w:r>
          </w:p>
        </w:tc>
        <w:tc>
          <w:tcPr>
            <w:tcW w:w="690" w:type="dxa"/>
          </w:tcPr>
          <w:p w14:paraId="2C42E918" w14:textId="77777777" w:rsidR="003B7027" w:rsidRPr="00C428D4" w:rsidRDefault="00296A74" w:rsidP="006E5F9A">
            <w:pPr>
              <w:pStyle w:val="TableParagraph"/>
              <w:suppressAutoHyphens/>
              <w:jc w:val="center"/>
              <w:rPr>
                <w:sz w:val="18"/>
                <w:szCs w:val="18"/>
              </w:rPr>
            </w:pPr>
            <w:r w:rsidRPr="00C428D4">
              <w:rPr>
                <w:sz w:val="18"/>
                <w:szCs w:val="18"/>
              </w:rPr>
              <w:t>52 %</w:t>
            </w:r>
          </w:p>
        </w:tc>
        <w:tc>
          <w:tcPr>
            <w:tcW w:w="993" w:type="dxa"/>
          </w:tcPr>
          <w:p w14:paraId="1DF4FDEF" w14:textId="77777777" w:rsidR="003B7027" w:rsidRPr="00C428D4" w:rsidRDefault="00296A74" w:rsidP="006E5F9A">
            <w:pPr>
              <w:pStyle w:val="TableParagraph"/>
              <w:suppressAutoHyphens/>
              <w:jc w:val="center"/>
              <w:rPr>
                <w:sz w:val="18"/>
                <w:szCs w:val="18"/>
              </w:rPr>
            </w:pPr>
            <w:r w:rsidRPr="00C428D4">
              <w:rPr>
                <w:sz w:val="18"/>
                <w:szCs w:val="18"/>
              </w:rPr>
              <w:t>56 %***</w:t>
            </w:r>
          </w:p>
        </w:tc>
        <w:tc>
          <w:tcPr>
            <w:tcW w:w="727" w:type="dxa"/>
          </w:tcPr>
          <w:p w14:paraId="5ABE86D9" w14:textId="77777777" w:rsidR="003B7027" w:rsidRPr="00C428D4" w:rsidRDefault="00296A74" w:rsidP="006E5F9A">
            <w:pPr>
              <w:pStyle w:val="TableParagraph"/>
              <w:suppressAutoHyphens/>
              <w:jc w:val="center"/>
              <w:rPr>
                <w:sz w:val="18"/>
                <w:szCs w:val="18"/>
              </w:rPr>
            </w:pPr>
            <w:r w:rsidRPr="00C428D4">
              <w:rPr>
                <w:sz w:val="18"/>
                <w:szCs w:val="18"/>
              </w:rPr>
              <w:t>27 %</w:t>
            </w:r>
          </w:p>
        </w:tc>
        <w:tc>
          <w:tcPr>
            <w:tcW w:w="999" w:type="dxa"/>
          </w:tcPr>
          <w:p w14:paraId="5A48288B" w14:textId="77777777" w:rsidR="003B7027" w:rsidRPr="00C428D4" w:rsidRDefault="00296A74" w:rsidP="006E5F9A">
            <w:pPr>
              <w:pStyle w:val="TableParagraph"/>
              <w:suppressAutoHyphens/>
              <w:jc w:val="center"/>
              <w:rPr>
                <w:sz w:val="18"/>
                <w:szCs w:val="18"/>
              </w:rPr>
            </w:pPr>
            <w:r w:rsidRPr="00C428D4">
              <w:rPr>
                <w:sz w:val="18"/>
                <w:szCs w:val="18"/>
              </w:rPr>
              <w:t>59 %***</w:t>
            </w:r>
          </w:p>
        </w:tc>
        <w:tc>
          <w:tcPr>
            <w:tcW w:w="722" w:type="dxa"/>
          </w:tcPr>
          <w:p w14:paraId="1D48440D" w14:textId="77777777" w:rsidR="003B7027" w:rsidRPr="00C428D4" w:rsidRDefault="00296A74" w:rsidP="006E5F9A">
            <w:pPr>
              <w:pStyle w:val="TableParagraph"/>
              <w:suppressAutoHyphens/>
              <w:jc w:val="center"/>
              <w:rPr>
                <w:sz w:val="18"/>
                <w:szCs w:val="18"/>
              </w:rPr>
            </w:pPr>
            <w:r w:rsidRPr="00C428D4">
              <w:rPr>
                <w:sz w:val="18"/>
                <w:szCs w:val="18"/>
              </w:rPr>
              <w:t>26 %</w:t>
            </w:r>
          </w:p>
        </w:tc>
        <w:tc>
          <w:tcPr>
            <w:tcW w:w="946" w:type="dxa"/>
          </w:tcPr>
          <w:p w14:paraId="78675B3F" w14:textId="77777777" w:rsidR="003B7027" w:rsidRPr="00C428D4" w:rsidRDefault="00296A74" w:rsidP="006E5F9A">
            <w:pPr>
              <w:pStyle w:val="TableParagraph"/>
              <w:suppressAutoHyphens/>
              <w:jc w:val="center"/>
              <w:rPr>
                <w:sz w:val="18"/>
                <w:szCs w:val="18"/>
              </w:rPr>
            </w:pPr>
            <w:r w:rsidRPr="00C428D4">
              <w:rPr>
                <w:sz w:val="18"/>
                <w:szCs w:val="18"/>
              </w:rPr>
              <w:t>61 %***</w:t>
            </w:r>
          </w:p>
        </w:tc>
        <w:tc>
          <w:tcPr>
            <w:tcW w:w="941" w:type="dxa"/>
          </w:tcPr>
          <w:p w14:paraId="30246664" w14:textId="77777777" w:rsidR="003B7027" w:rsidRPr="00C428D4" w:rsidRDefault="00296A74" w:rsidP="006E5F9A">
            <w:pPr>
              <w:pStyle w:val="TableParagraph"/>
              <w:suppressAutoHyphens/>
              <w:jc w:val="center"/>
              <w:rPr>
                <w:sz w:val="18"/>
                <w:szCs w:val="18"/>
              </w:rPr>
            </w:pPr>
            <w:r w:rsidRPr="00C428D4">
              <w:rPr>
                <w:sz w:val="18"/>
                <w:szCs w:val="18"/>
              </w:rPr>
              <w:t>24 %</w:t>
            </w:r>
          </w:p>
        </w:tc>
        <w:tc>
          <w:tcPr>
            <w:tcW w:w="947" w:type="dxa"/>
          </w:tcPr>
          <w:p w14:paraId="7F78D062" w14:textId="77777777" w:rsidR="003B7027" w:rsidRPr="00C428D4" w:rsidRDefault="00296A74" w:rsidP="006E5F9A">
            <w:pPr>
              <w:pStyle w:val="TableParagraph"/>
              <w:suppressAutoHyphens/>
              <w:jc w:val="center"/>
              <w:rPr>
                <w:sz w:val="18"/>
                <w:szCs w:val="18"/>
              </w:rPr>
            </w:pPr>
            <w:r w:rsidRPr="00C428D4">
              <w:rPr>
                <w:sz w:val="18"/>
                <w:szCs w:val="18"/>
              </w:rPr>
              <w:t>50 %***</w:t>
            </w:r>
          </w:p>
        </w:tc>
        <w:tc>
          <w:tcPr>
            <w:tcW w:w="777" w:type="dxa"/>
          </w:tcPr>
          <w:p w14:paraId="58DF396F" w14:textId="77777777" w:rsidR="003B7027" w:rsidRPr="00C428D4" w:rsidRDefault="00296A74" w:rsidP="006E5F9A">
            <w:pPr>
              <w:pStyle w:val="TableParagraph"/>
              <w:suppressAutoHyphens/>
              <w:jc w:val="center"/>
              <w:rPr>
                <w:sz w:val="18"/>
                <w:szCs w:val="18"/>
              </w:rPr>
            </w:pPr>
            <w:r w:rsidRPr="00C428D4">
              <w:rPr>
                <w:sz w:val="18"/>
                <w:szCs w:val="18"/>
              </w:rPr>
              <w:t>10 %</w:t>
            </w:r>
          </w:p>
        </w:tc>
      </w:tr>
      <w:tr w:rsidR="003B7027" w:rsidRPr="00C428D4" w14:paraId="69A96F56" w14:textId="77777777" w:rsidTr="00C428D4">
        <w:trPr>
          <w:cantSplit/>
        </w:trPr>
        <w:tc>
          <w:tcPr>
            <w:tcW w:w="594" w:type="dxa"/>
          </w:tcPr>
          <w:p w14:paraId="728F52A6" w14:textId="77777777" w:rsidR="003B7027" w:rsidRPr="00C428D4" w:rsidRDefault="00296A74" w:rsidP="006E5F9A">
            <w:pPr>
              <w:pStyle w:val="TableParagraph"/>
              <w:suppressAutoHyphens/>
              <w:jc w:val="center"/>
              <w:rPr>
                <w:sz w:val="18"/>
                <w:szCs w:val="18"/>
              </w:rPr>
            </w:pPr>
            <w:r w:rsidRPr="00C428D4">
              <w:rPr>
                <w:sz w:val="18"/>
                <w:szCs w:val="18"/>
              </w:rPr>
              <w:t>52</w:t>
            </w:r>
          </w:p>
        </w:tc>
        <w:tc>
          <w:tcPr>
            <w:tcW w:w="954" w:type="dxa"/>
          </w:tcPr>
          <w:p w14:paraId="7F629D2B" w14:textId="77777777" w:rsidR="003B7027" w:rsidRPr="00C428D4" w:rsidRDefault="003B7027" w:rsidP="006E5F9A">
            <w:pPr>
              <w:pStyle w:val="TableParagraph"/>
              <w:suppressAutoHyphens/>
              <w:rPr>
                <w:sz w:val="18"/>
                <w:szCs w:val="18"/>
              </w:rPr>
            </w:pPr>
          </w:p>
        </w:tc>
        <w:tc>
          <w:tcPr>
            <w:tcW w:w="690" w:type="dxa"/>
          </w:tcPr>
          <w:p w14:paraId="053465FF" w14:textId="77777777" w:rsidR="003B7027" w:rsidRPr="00C428D4" w:rsidRDefault="003B7027" w:rsidP="006E5F9A">
            <w:pPr>
              <w:pStyle w:val="TableParagraph"/>
              <w:suppressAutoHyphens/>
              <w:rPr>
                <w:sz w:val="18"/>
                <w:szCs w:val="18"/>
              </w:rPr>
            </w:pPr>
          </w:p>
        </w:tc>
        <w:tc>
          <w:tcPr>
            <w:tcW w:w="993" w:type="dxa"/>
          </w:tcPr>
          <w:p w14:paraId="4639A65A" w14:textId="77777777" w:rsidR="003B7027" w:rsidRPr="00C428D4" w:rsidRDefault="00296A74" w:rsidP="006E5F9A">
            <w:pPr>
              <w:pStyle w:val="TableParagraph"/>
              <w:suppressAutoHyphens/>
              <w:jc w:val="center"/>
              <w:rPr>
                <w:sz w:val="18"/>
                <w:szCs w:val="18"/>
              </w:rPr>
            </w:pPr>
            <w:r w:rsidRPr="00C428D4">
              <w:rPr>
                <w:sz w:val="18"/>
                <w:szCs w:val="18"/>
              </w:rPr>
              <w:t>56 %***</w:t>
            </w:r>
          </w:p>
        </w:tc>
        <w:tc>
          <w:tcPr>
            <w:tcW w:w="727" w:type="dxa"/>
          </w:tcPr>
          <w:p w14:paraId="2CAFA5CF" w14:textId="77777777" w:rsidR="003B7027" w:rsidRPr="00C428D4" w:rsidRDefault="00296A74" w:rsidP="006E5F9A">
            <w:pPr>
              <w:pStyle w:val="TableParagraph"/>
              <w:suppressAutoHyphens/>
              <w:jc w:val="center"/>
              <w:rPr>
                <w:sz w:val="18"/>
                <w:szCs w:val="18"/>
              </w:rPr>
            </w:pPr>
            <w:r w:rsidRPr="00C428D4">
              <w:rPr>
                <w:sz w:val="18"/>
                <w:szCs w:val="18"/>
              </w:rPr>
              <w:t>25 %</w:t>
            </w:r>
          </w:p>
        </w:tc>
        <w:tc>
          <w:tcPr>
            <w:tcW w:w="999" w:type="dxa"/>
          </w:tcPr>
          <w:p w14:paraId="6978CB3E" w14:textId="77777777" w:rsidR="003B7027" w:rsidRPr="00C428D4" w:rsidRDefault="003B7027" w:rsidP="006E5F9A">
            <w:pPr>
              <w:pStyle w:val="TableParagraph"/>
              <w:suppressAutoHyphens/>
              <w:rPr>
                <w:sz w:val="18"/>
                <w:szCs w:val="18"/>
              </w:rPr>
            </w:pPr>
          </w:p>
        </w:tc>
        <w:tc>
          <w:tcPr>
            <w:tcW w:w="722" w:type="dxa"/>
          </w:tcPr>
          <w:p w14:paraId="5A19E995" w14:textId="77777777" w:rsidR="003B7027" w:rsidRPr="00C428D4" w:rsidRDefault="003B7027" w:rsidP="006E5F9A">
            <w:pPr>
              <w:pStyle w:val="TableParagraph"/>
              <w:suppressAutoHyphens/>
              <w:rPr>
                <w:sz w:val="18"/>
                <w:szCs w:val="18"/>
              </w:rPr>
            </w:pPr>
          </w:p>
        </w:tc>
        <w:tc>
          <w:tcPr>
            <w:tcW w:w="946" w:type="dxa"/>
          </w:tcPr>
          <w:p w14:paraId="2F22CDB9" w14:textId="77777777" w:rsidR="003B7027" w:rsidRPr="00C428D4" w:rsidRDefault="003B7027" w:rsidP="006E5F9A">
            <w:pPr>
              <w:pStyle w:val="TableParagraph"/>
              <w:suppressAutoHyphens/>
              <w:rPr>
                <w:sz w:val="18"/>
                <w:szCs w:val="18"/>
              </w:rPr>
            </w:pPr>
          </w:p>
        </w:tc>
        <w:tc>
          <w:tcPr>
            <w:tcW w:w="941" w:type="dxa"/>
          </w:tcPr>
          <w:p w14:paraId="653B0ED1" w14:textId="77777777" w:rsidR="003B7027" w:rsidRPr="00C428D4" w:rsidRDefault="003B7027" w:rsidP="006E5F9A">
            <w:pPr>
              <w:pStyle w:val="TableParagraph"/>
              <w:suppressAutoHyphens/>
              <w:rPr>
                <w:sz w:val="18"/>
                <w:szCs w:val="18"/>
              </w:rPr>
            </w:pPr>
          </w:p>
        </w:tc>
        <w:tc>
          <w:tcPr>
            <w:tcW w:w="947" w:type="dxa"/>
          </w:tcPr>
          <w:p w14:paraId="25B45540" w14:textId="77777777" w:rsidR="003B7027" w:rsidRPr="00C428D4" w:rsidRDefault="003B7027" w:rsidP="006E5F9A">
            <w:pPr>
              <w:pStyle w:val="TableParagraph"/>
              <w:suppressAutoHyphens/>
              <w:rPr>
                <w:sz w:val="18"/>
                <w:szCs w:val="18"/>
              </w:rPr>
            </w:pPr>
          </w:p>
        </w:tc>
        <w:tc>
          <w:tcPr>
            <w:tcW w:w="777" w:type="dxa"/>
          </w:tcPr>
          <w:p w14:paraId="12372C41" w14:textId="77777777" w:rsidR="003B7027" w:rsidRPr="00C428D4" w:rsidRDefault="003B7027" w:rsidP="006E5F9A">
            <w:pPr>
              <w:pStyle w:val="TableParagraph"/>
              <w:suppressAutoHyphens/>
              <w:rPr>
                <w:sz w:val="18"/>
                <w:szCs w:val="18"/>
              </w:rPr>
            </w:pPr>
          </w:p>
        </w:tc>
      </w:tr>
      <w:tr w:rsidR="003B7027" w:rsidRPr="00C428D4" w14:paraId="24CE97A8" w14:textId="77777777" w:rsidTr="00C428D4">
        <w:trPr>
          <w:cantSplit/>
        </w:trPr>
        <w:tc>
          <w:tcPr>
            <w:tcW w:w="9290" w:type="dxa"/>
            <w:gridSpan w:val="11"/>
          </w:tcPr>
          <w:p w14:paraId="24211926" w14:textId="77777777" w:rsidR="003B7027" w:rsidRPr="00C428D4" w:rsidRDefault="00296A74" w:rsidP="00CA43F5">
            <w:pPr>
              <w:pStyle w:val="TableParagraph"/>
              <w:keepNext/>
              <w:suppressAutoHyphens/>
              <w:jc w:val="center"/>
              <w:rPr>
                <w:b/>
                <w:sz w:val="18"/>
                <w:szCs w:val="18"/>
              </w:rPr>
            </w:pPr>
            <w:r w:rsidRPr="00C428D4">
              <w:rPr>
                <w:b/>
                <w:sz w:val="18"/>
                <w:szCs w:val="18"/>
              </w:rPr>
              <w:lastRenderedPageBreak/>
              <w:t>ACR 50</w:t>
            </w:r>
          </w:p>
        </w:tc>
      </w:tr>
      <w:tr w:rsidR="003B7027" w:rsidRPr="00C428D4" w14:paraId="7C649C8D" w14:textId="77777777" w:rsidTr="00C428D4">
        <w:trPr>
          <w:cantSplit/>
        </w:trPr>
        <w:tc>
          <w:tcPr>
            <w:tcW w:w="594" w:type="dxa"/>
          </w:tcPr>
          <w:p w14:paraId="249CBB22" w14:textId="77777777" w:rsidR="003B7027" w:rsidRPr="00C428D4" w:rsidRDefault="00296A74" w:rsidP="00CA43F5">
            <w:pPr>
              <w:pStyle w:val="TableParagraph"/>
              <w:keepNext/>
              <w:suppressAutoHyphens/>
              <w:jc w:val="center"/>
              <w:rPr>
                <w:sz w:val="18"/>
                <w:szCs w:val="18"/>
              </w:rPr>
            </w:pPr>
            <w:r w:rsidRPr="00C428D4">
              <w:rPr>
                <w:sz w:val="18"/>
                <w:szCs w:val="18"/>
              </w:rPr>
              <w:t>24</w:t>
            </w:r>
          </w:p>
        </w:tc>
        <w:tc>
          <w:tcPr>
            <w:tcW w:w="954" w:type="dxa"/>
          </w:tcPr>
          <w:p w14:paraId="2BC3DC8C" w14:textId="77777777" w:rsidR="003B7027" w:rsidRPr="00C428D4" w:rsidRDefault="00296A74" w:rsidP="00CA43F5">
            <w:pPr>
              <w:pStyle w:val="TableParagraph"/>
              <w:keepNext/>
              <w:suppressAutoHyphens/>
              <w:jc w:val="center"/>
              <w:rPr>
                <w:sz w:val="18"/>
                <w:szCs w:val="18"/>
              </w:rPr>
            </w:pPr>
            <w:r w:rsidRPr="00C428D4">
              <w:rPr>
                <w:sz w:val="18"/>
                <w:szCs w:val="18"/>
              </w:rPr>
              <w:t>44 %**</w:t>
            </w:r>
          </w:p>
        </w:tc>
        <w:tc>
          <w:tcPr>
            <w:tcW w:w="690" w:type="dxa"/>
          </w:tcPr>
          <w:p w14:paraId="13F0AE7E" w14:textId="77777777" w:rsidR="003B7027" w:rsidRPr="00C428D4" w:rsidRDefault="00296A74" w:rsidP="00CA43F5">
            <w:pPr>
              <w:pStyle w:val="TableParagraph"/>
              <w:keepNext/>
              <w:suppressAutoHyphens/>
              <w:jc w:val="center"/>
              <w:rPr>
                <w:sz w:val="18"/>
                <w:szCs w:val="18"/>
              </w:rPr>
            </w:pPr>
            <w:r w:rsidRPr="00C428D4">
              <w:rPr>
                <w:sz w:val="18"/>
                <w:szCs w:val="18"/>
              </w:rPr>
              <w:t>33 %</w:t>
            </w:r>
          </w:p>
        </w:tc>
        <w:tc>
          <w:tcPr>
            <w:tcW w:w="993" w:type="dxa"/>
          </w:tcPr>
          <w:p w14:paraId="1362E421" w14:textId="77777777" w:rsidR="003B7027" w:rsidRPr="00C428D4" w:rsidRDefault="00296A74" w:rsidP="00CA43F5">
            <w:pPr>
              <w:pStyle w:val="TableParagraph"/>
              <w:keepNext/>
              <w:suppressAutoHyphens/>
              <w:jc w:val="center"/>
              <w:rPr>
                <w:sz w:val="18"/>
                <w:szCs w:val="18"/>
              </w:rPr>
            </w:pPr>
            <w:r w:rsidRPr="00C428D4">
              <w:rPr>
                <w:sz w:val="18"/>
                <w:szCs w:val="18"/>
              </w:rPr>
              <w:t>32 %***</w:t>
            </w:r>
          </w:p>
        </w:tc>
        <w:tc>
          <w:tcPr>
            <w:tcW w:w="727" w:type="dxa"/>
          </w:tcPr>
          <w:p w14:paraId="53D67CFC" w14:textId="77777777" w:rsidR="003B7027" w:rsidRPr="00C428D4" w:rsidRDefault="00296A74" w:rsidP="00CA43F5">
            <w:pPr>
              <w:pStyle w:val="TableParagraph"/>
              <w:keepNext/>
              <w:suppressAutoHyphens/>
              <w:jc w:val="center"/>
              <w:rPr>
                <w:sz w:val="18"/>
                <w:szCs w:val="18"/>
              </w:rPr>
            </w:pPr>
            <w:r w:rsidRPr="00C428D4">
              <w:rPr>
                <w:sz w:val="18"/>
                <w:szCs w:val="18"/>
              </w:rPr>
              <w:t>10 %</w:t>
            </w:r>
          </w:p>
        </w:tc>
        <w:tc>
          <w:tcPr>
            <w:tcW w:w="999" w:type="dxa"/>
          </w:tcPr>
          <w:p w14:paraId="6685B5D2" w14:textId="77777777" w:rsidR="003B7027" w:rsidRPr="00C428D4" w:rsidRDefault="00296A74" w:rsidP="00CA43F5">
            <w:pPr>
              <w:pStyle w:val="TableParagraph"/>
              <w:keepNext/>
              <w:suppressAutoHyphens/>
              <w:jc w:val="center"/>
              <w:rPr>
                <w:sz w:val="18"/>
                <w:szCs w:val="18"/>
              </w:rPr>
            </w:pPr>
            <w:r w:rsidRPr="00C428D4">
              <w:rPr>
                <w:sz w:val="18"/>
                <w:szCs w:val="18"/>
              </w:rPr>
              <w:t>44 %***</w:t>
            </w:r>
          </w:p>
        </w:tc>
        <w:tc>
          <w:tcPr>
            <w:tcW w:w="722" w:type="dxa"/>
          </w:tcPr>
          <w:p w14:paraId="329D372B" w14:textId="77777777" w:rsidR="003B7027" w:rsidRPr="00C428D4" w:rsidRDefault="00296A74" w:rsidP="00CA43F5">
            <w:pPr>
              <w:pStyle w:val="TableParagraph"/>
              <w:keepNext/>
              <w:suppressAutoHyphens/>
              <w:jc w:val="center"/>
              <w:rPr>
                <w:sz w:val="18"/>
                <w:szCs w:val="18"/>
              </w:rPr>
            </w:pPr>
            <w:r w:rsidRPr="00C428D4">
              <w:rPr>
                <w:sz w:val="18"/>
                <w:szCs w:val="18"/>
              </w:rPr>
              <w:t>11 %</w:t>
            </w:r>
          </w:p>
        </w:tc>
        <w:tc>
          <w:tcPr>
            <w:tcW w:w="946" w:type="dxa"/>
          </w:tcPr>
          <w:p w14:paraId="545A4C74" w14:textId="77777777" w:rsidR="003B7027" w:rsidRPr="00C428D4" w:rsidRDefault="00296A74" w:rsidP="00CA43F5">
            <w:pPr>
              <w:pStyle w:val="TableParagraph"/>
              <w:keepNext/>
              <w:suppressAutoHyphens/>
              <w:jc w:val="center"/>
              <w:rPr>
                <w:sz w:val="18"/>
                <w:szCs w:val="18"/>
              </w:rPr>
            </w:pPr>
            <w:r w:rsidRPr="00C428D4">
              <w:rPr>
                <w:sz w:val="18"/>
                <w:szCs w:val="18"/>
              </w:rPr>
              <w:t>38 %***</w:t>
            </w:r>
          </w:p>
        </w:tc>
        <w:tc>
          <w:tcPr>
            <w:tcW w:w="941" w:type="dxa"/>
          </w:tcPr>
          <w:p w14:paraId="2733E432" w14:textId="77777777" w:rsidR="003B7027" w:rsidRPr="00C428D4" w:rsidRDefault="00296A74" w:rsidP="00CA43F5">
            <w:pPr>
              <w:pStyle w:val="TableParagraph"/>
              <w:keepNext/>
              <w:suppressAutoHyphens/>
              <w:jc w:val="center"/>
              <w:rPr>
                <w:sz w:val="18"/>
                <w:szCs w:val="18"/>
              </w:rPr>
            </w:pPr>
            <w:r w:rsidRPr="00C428D4">
              <w:rPr>
                <w:sz w:val="18"/>
                <w:szCs w:val="18"/>
              </w:rPr>
              <w:t>9 %</w:t>
            </w:r>
          </w:p>
        </w:tc>
        <w:tc>
          <w:tcPr>
            <w:tcW w:w="947" w:type="dxa"/>
          </w:tcPr>
          <w:p w14:paraId="0CC614C7" w14:textId="77777777" w:rsidR="003B7027" w:rsidRPr="00C428D4" w:rsidRDefault="00296A74" w:rsidP="00CA43F5">
            <w:pPr>
              <w:pStyle w:val="TableParagraph"/>
              <w:keepNext/>
              <w:suppressAutoHyphens/>
              <w:jc w:val="center"/>
              <w:rPr>
                <w:sz w:val="18"/>
                <w:szCs w:val="18"/>
              </w:rPr>
            </w:pPr>
            <w:r w:rsidRPr="00C428D4">
              <w:rPr>
                <w:sz w:val="18"/>
                <w:szCs w:val="18"/>
              </w:rPr>
              <w:t>29 %***</w:t>
            </w:r>
          </w:p>
        </w:tc>
        <w:tc>
          <w:tcPr>
            <w:tcW w:w="777" w:type="dxa"/>
          </w:tcPr>
          <w:p w14:paraId="2617DC21" w14:textId="77777777" w:rsidR="003B7027" w:rsidRPr="00C428D4" w:rsidRDefault="00296A74" w:rsidP="00CA43F5">
            <w:pPr>
              <w:pStyle w:val="TableParagraph"/>
              <w:keepNext/>
              <w:suppressAutoHyphens/>
              <w:jc w:val="center"/>
              <w:rPr>
                <w:sz w:val="18"/>
                <w:szCs w:val="18"/>
              </w:rPr>
            </w:pPr>
            <w:r w:rsidRPr="00C428D4">
              <w:rPr>
                <w:sz w:val="18"/>
                <w:szCs w:val="18"/>
              </w:rPr>
              <w:t>4 %</w:t>
            </w:r>
          </w:p>
        </w:tc>
      </w:tr>
      <w:tr w:rsidR="003B7027" w:rsidRPr="00C428D4" w14:paraId="48DA8E80" w14:textId="77777777" w:rsidTr="00C428D4">
        <w:trPr>
          <w:cantSplit/>
        </w:trPr>
        <w:tc>
          <w:tcPr>
            <w:tcW w:w="594" w:type="dxa"/>
          </w:tcPr>
          <w:p w14:paraId="3AD6C0C3" w14:textId="77777777" w:rsidR="003B7027" w:rsidRPr="00C428D4" w:rsidRDefault="00296A74" w:rsidP="006E5F9A">
            <w:pPr>
              <w:pStyle w:val="TableParagraph"/>
              <w:suppressAutoHyphens/>
              <w:jc w:val="center"/>
              <w:rPr>
                <w:sz w:val="18"/>
                <w:szCs w:val="18"/>
              </w:rPr>
            </w:pPr>
            <w:r w:rsidRPr="00C428D4">
              <w:rPr>
                <w:sz w:val="18"/>
                <w:szCs w:val="18"/>
              </w:rPr>
              <w:t>52</w:t>
            </w:r>
          </w:p>
        </w:tc>
        <w:tc>
          <w:tcPr>
            <w:tcW w:w="954" w:type="dxa"/>
          </w:tcPr>
          <w:p w14:paraId="5BADD646" w14:textId="77777777" w:rsidR="003B7027" w:rsidRPr="00C428D4" w:rsidRDefault="003B7027" w:rsidP="006E5F9A">
            <w:pPr>
              <w:pStyle w:val="TableParagraph"/>
              <w:suppressAutoHyphens/>
              <w:rPr>
                <w:sz w:val="18"/>
                <w:szCs w:val="18"/>
              </w:rPr>
            </w:pPr>
          </w:p>
        </w:tc>
        <w:tc>
          <w:tcPr>
            <w:tcW w:w="690" w:type="dxa"/>
          </w:tcPr>
          <w:p w14:paraId="370228AD" w14:textId="77777777" w:rsidR="003B7027" w:rsidRPr="00C428D4" w:rsidRDefault="003B7027" w:rsidP="006E5F9A">
            <w:pPr>
              <w:pStyle w:val="TableParagraph"/>
              <w:suppressAutoHyphens/>
              <w:rPr>
                <w:sz w:val="18"/>
                <w:szCs w:val="18"/>
              </w:rPr>
            </w:pPr>
          </w:p>
        </w:tc>
        <w:tc>
          <w:tcPr>
            <w:tcW w:w="993" w:type="dxa"/>
          </w:tcPr>
          <w:p w14:paraId="68DF483E" w14:textId="77777777" w:rsidR="003B7027" w:rsidRPr="00C428D4" w:rsidRDefault="00296A74" w:rsidP="006E5F9A">
            <w:pPr>
              <w:pStyle w:val="TableParagraph"/>
              <w:suppressAutoHyphens/>
              <w:jc w:val="center"/>
              <w:rPr>
                <w:sz w:val="18"/>
                <w:szCs w:val="18"/>
              </w:rPr>
            </w:pPr>
            <w:r w:rsidRPr="00C428D4">
              <w:rPr>
                <w:sz w:val="18"/>
                <w:szCs w:val="18"/>
              </w:rPr>
              <w:t>36 %***</w:t>
            </w:r>
          </w:p>
        </w:tc>
        <w:tc>
          <w:tcPr>
            <w:tcW w:w="727" w:type="dxa"/>
          </w:tcPr>
          <w:p w14:paraId="58E352BB" w14:textId="77777777" w:rsidR="003B7027" w:rsidRPr="00C428D4" w:rsidRDefault="00296A74" w:rsidP="006E5F9A">
            <w:pPr>
              <w:pStyle w:val="TableParagraph"/>
              <w:suppressAutoHyphens/>
              <w:jc w:val="center"/>
              <w:rPr>
                <w:sz w:val="18"/>
                <w:szCs w:val="18"/>
              </w:rPr>
            </w:pPr>
            <w:r w:rsidRPr="00C428D4">
              <w:rPr>
                <w:sz w:val="18"/>
                <w:szCs w:val="18"/>
              </w:rPr>
              <w:t>10 %</w:t>
            </w:r>
          </w:p>
        </w:tc>
        <w:tc>
          <w:tcPr>
            <w:tcW w:w="999" w:type="dxa"/>
          </w:tcPr>
          <w:p w14:paraId="23E9B277" w14:textId="77777777" w:rsidR="003B7027" w:rsidRPr="00C428D4" w:rsidRDefault="003B7027" w:rsidP="006E5F9A">
            <w:pPr>
              <w:pStyle w:val="TableParagraph"/>
              <w:suppressAutoHyphens/>
              <w:rPr>
                <w:sz w:val="18"/>
                <w:szCs w:val="18"/>
              </w:rPr>
            </w:pPr>
          </w:p>
        </w:tc>
        <w:tc>
          <w:tcPr>
            <w:tcW w:w="722" w:type="dxa"/>
          </w:tcPr>
          <w:p w14:paraId="57705399" w14:textId="77777777" w:rsidR="003B7027" w:rsidRPr="00C428D4" w:rsidRDefault="003B7027" w:rsidP="006E5F9A">
            <w:pPr>
              <w:pStyle w:val="TableParagraph"/>
              <w:suppressAutoHyphens/>
              <w:rPr>
                <w:sz w:val="18"/>
                <w:szCs w:val="18"/>
              </w:rPr>
            </w:pPr>
          </w:p>
        </w:tc>
        <w:tc>
          <w:tcPr>
            <w:tcW w:w="946" w:type="dxa"/>
          </w:tcPr>
          <w:p w14:paraId="0B4402A8" w14:textId="77777777" w:rsidR="003B7027" w:rsidRPr="00C428D4" w:rsidRDefault="003B7027" w:rsidP="006E5F9A">
            <w:pPr>
              <w:pStyle w:val="TableParagraph"/>
              <w:suppressAutoHyphens/>
              <w:rPr>
                <w:sz w:val="18"/>
                <w:szCs w:val="18"/>
              </w:rPr>
            </w:pPr>
          </w:p>
        </w:tc>
        <w:tc>
          <w:tcPr>
            <w:tcW w:w="941" w:type="dxa"/>
          </w:tcPr>
          <w:p w14:paraId="4B2693FD" w14:textId="77777777" w:rsidR="003B7027" w:rsidRPr="00C428D4" w:rsidRDefault="003B7027" w:rsidP="006E5F9A">
            <w:pPr>
              <w:pStyle w:val="TableParagraph"/>
              <w:suppressAutoHyphens/>
              <w:rPr>
                <w:sz w:val="18"/>
                <w:szCs w:val="18"/>
              </w:rPr>
            </w:pPr>
          </w:p>
        </w:tc>
        <w:tc>
          <w:tcPr>
            <w:tcW w:w="947" w:type="dxa"/>
          </w:tcPr>
          <w:p w14:paraId="22082A27" w14:textId="77777777" w:rsidR="003B7027" w:rsidRPr="00C428D4" w:rsidRDefault="003B7027" w:rsidP="006E5F9A">
            <w:pPr>
              <w:pStyle w:val="TableParagraph"/>
              <w:suppressAutoHyphens/>
              <w:rPr>
                <w:sz w:val="18"/>
                <w:szCs w:val="18"/>
              </w:rPr>
            </w:pPr>
          </w:p>
        </w:tc>
        <w:tc>
          <w:tcPr>
            <w:tcW w:w="777" w:type="dxa"/>
          </w:tcPr>
          <w:p w14:paraId="2E45DA75" w14:textId="77777777" w:rsidR="003B7027" w:rsidRPr="00C428D4" w:rsidRDefault="003B7027" w:rsidP="006E5F9A">
            <w:pPr>
              <w:pStyle w:val="TableParagraph"/>
              <w:suppressAutoHyphens/>
              <w:rPr>
                <w:sz w:val="18"/>
                <w:szCs w:val="18"/>
              </w:rPr>
            </w:pPr>
          </w:p>
        </w:tc>
      </w:tr>
      <w:tr w:rsidR="003B7027" w:rsidRPr="00C428D4" w14:paraId="352BBA7F" w14:textId="77777777" w:rsidTr="00C428D4">
        <w:trPr>
          <w:cantSplit/>
        </w:trPr>
        <w:tc>
          <w:tcPr>
            <w:tcW w:w="9290" w:type="dxa"/>
            <w:gridSpan w:val="11"/>
          </w:tcPr>
          <w:p w14:paraId="03998FBB" w14:textId="77777777" w:rsidR="003B7027" w:rsidRPr="00C428D4" w:rsidRDefault="00296A74" w:rsidP="006E5F9A">
            <w:pPr>
              <w:pStyle w:val="TableParagraph"/>
              <w:suppressAutoHyphens/>
              <w:jc w:val="center"/>
              <w:rPr>
                <w:b/>
                <w:sz w:val="18"/>
                <w:szCs w:val="18"/>
              </w:rPr>
            </w:pPr>
            <w:r w:rsidRPr="00C428D4">
              <w:rPr>
                <w:b/>
                <w:sz w:val="18"/>
                <w:szCs w:val="18"/>
              </w:rPr>
              <w:t>ACR 70</w:t>
            </w:r>
          </w:p>
        </w:tc>
      </w:tr>
      <w:tr w:rsidR="003B7027" w:rsidRPr="00C428D4" w14:paraId="37B24D4E" w14:textId="77777777" w:rsidTr="00C428D4">
        <w:trPr>
          <w:cantSplit/>
        </w:trPr>
        <w:tc>
          <w:tcPr>
            <w:tcW w:w="594" w:type="dxa"/>
          </w:tcPr>
          <w:p w14:paraId="699E7180" w14:textId="77777777" w:rsidR="003B7027" w:rsidRPr="00C428D4" w:rsidRDefault="00296A74" w:rsidP="006E5F9A">
            <w:pPr>
              <w:pStyle w:val="TableParagraph"/>
              <w:suppressAutoHyphens/>
              <w:jc w:val="center"/>
              <w:rPr>
                <w:sz w:val="18"/>
                <w:szCs w:val="18"/>
              </w:rPr>
            </w:pPr>
            <w:r w:rsidRPr="00C428D4">
              <w:rPr>
                <w:sz w:val="18"/>
                <w:szCs w:val="18"/>
              </w:rPr>
              <w:t>24</w:t>
            </w:r>
          </w:p>
        </w:tc>
        <w:tc>
          <w:tcPr>
            <w:tcW w:w="954" w:type="dxa"/>
          </w:tcPr>
          <w:p w14:paraId="7E7533C2" w14:textId="77777777" w:rsidR="003B7027" w:rsidRPr="00C428D4" w:rsidRDefault="00296A74" w:rsidP="006E5F9A">
            <w:pPr>
              <w:pStyle w:val="TableParagraph"/>
              <w:suppressAutoHyphens/>
              <w:jc w:val="center"/>
              <w:rPr>
                <w:sz w:val="18"/>
                <w:szCs w:val="18"/>
              </w:rPr>
            </w:pPr>
            <w:r w:rsidRPr="00C428D4">
              <w:rPr>
                <w:sz w:val="18"/>
                <w:szCs w:val="18"/>
              </w:rPr>
              <w:t>28 %**</w:t>
            </w:r>
          </w:p>
        </w:tc>
        <w:tc>
          <w:tcPr>
            <w:tcW w:w="690" w:type="dxa"/>
          </w:tcPr>
          <w:p w14:paraId="714F87C5" w14:textId="77777777" w:rsidR="003B7027" w:rsidRPr="00C428D4" w:rsidRDefault="00296A74" w:rsidP="006E5F9A">
            <w:pPr>
              <w:pStyle w:val="TableParagraph"/>
              <w:suppressAutoHyphens/>
              <w:jc w:val="center"/>
              <w:rPr>
                <w:sz w:val="18"/>
                <w:szCs w:val="18"/>
              </w:rPr>
            </w:pPr>
            <w:r w:rsidRPr="00C428D4">
              <w:rPr>
                <w:sz w:val="18"/>
                <w:szCs w:val="18"/>
              </w:rPr>
              <w:t>15 %</w:t>
            </w:r>
          </w:p>
        </w:tc>
        <w:tc>
          <w:tcPr>
            <w:tcW w:w="993" w:type="dxa"/>
          </w:tcPr>
          <w:p w14:paraId="131878CB" w14:textId="77777777" w:rsidR="003B7027" w:rsidRPr="00C428D4" w:rsidRDefault="00296A74" w:rsidP="006E5F9A">
            <w:pPr>
              <w:pStyle w:val="TableParagraph"/>
              <w:suppressAutoHyphens/>
              <w:jc w:val="center"/>
              <w:rPr>
                <w:sz w:val="18"/>
                <w:szCs w:val="18"/>
              </w:rPr>
            </w:pPr>
            <w:r w:rsidRPr="00C428D4">
              <w:rPr>
                <w:sz w:val="18"/>
                <w:szCs w:val="18"/>
              </w:rPr>
              <w:t>13 %***</w:t>
            </w:r>
          </w:p>
        </w:tc>
        <w:tc>
          <w:tcPr>
            <w:tcW w:w="727" w:type="dxa"/>
          </w:tcPr>
          <w:p w14:paraId="2CDED0B3" w14:textId="77777777" w:rsidR="003B7027" w:rsidRPr="00C428D4" w:rsidRDefault="00296A74" w:rsidP="006E5F9A">
            <w:pPr>
              <w:pStyle w:val="TableParagraph"/>
              <w:suppressAutoHyphens/>
              <w:jc w:val="center"/>
              <w:rPr>
                <w:sz w:val="18"/>
                <w:szCs w:val="18"/>
              </w:rPr>
            </w:pPr>
            <w:r w:rsidRPr="00C428D4">
              <w:rPr>
                <w:sz w:val="18"/>
                <w:szCs w:val="18"/>
              </w:rPr>
              <w:t>2 %</w:t>
            </w:r>
          </w:p>
        </w:tc>
        <w:tc>
          <w:tcPr>
            <w:tcW w:w="999" w:type="dxa"/>
          </w:tcPr>
          <w:p w14:paraId="7AF92B68" w14:textId="77777777" w:rsidR="003B7027" w:rsidRPr="00C428D4" w:rsidRDefault="00296A74" w:rsidP="006E5F9A">
            <w:pPr>
              <w:pStyle w:val="TableParagraph"/>
              <w:suppressAutoHyphens/>
              <w:jc w:val="center"/>
              <w:rPr>
                <w:sz w:val="18"/>
                <w:szCs w:val="18"/>
              </w:rPr>
            </w:pPr>
            <w:r w:rsidRPr="00C428D4">
              <w:rPr>
                <w:sz w:val="18"/>
                <w:szCs w:val="18"/>
              </w:rPr>
              <w:t>22 %***</w:t>
            </w:r>
          </w:p>
        </w:tc>
        <w:tc>
          <w:tcPr>
            <w:tcW w:w="722" w:type="dxa"/>
          </w:tcPr>
          <w:p w14:paraId="44032074" w14:textId="77777777" w:rsidR="003B7027" w:rsidRPr="00C428D4" w:rsidRDefault="00296A74" w:rsidP="006E5F9A">
            <w:pPr>
              <w:pStyle w:val="TableParagraph"/>
              <w:suppressAutoHyphens/>
              <w:jc w:val="center"/>
              <w:rPr>
                <w:sz w:val="18"/>
                <w:szCs w:val="18"/>
              </w:rPr>
            </w:pPr>
            <w:r w:rsidRPr="00C428D4">
              <w:rPr>
                <w:sz w:val="18"/>
                <w:szCs w:val="18"/>
              </w:rPr>
              <w:t>2 %</w:t>
            </w:r>
          </w:p>
        </w:tc>
        <w:tc>
          <w:tcPr>
            <w:tcW w:w="946" w:type="dxa"/>
          </w:tcPr>
          <w:p w14:paraId="4700DCBB" w14:textId="77777777" w:rsidR="003B7027" w:rsidRPr="00C428D4" w:rsidRDefault="00296A74" w:rsidP="006E5F9A">
            <w:pPr>
              <w:pStyle w:val="TableParagraph"/>
              <w:suppressAutoHyphens/>
              <w:jc w:val="center"/>
              <w:rPr>
                <w:sz w:val="18"/>
                <w:szCs w:val="18"/>
              </w:rPr>
            </w:pPr>
            <w:r w:rsidRPr="00C428D4">
              <w:rPr>
                <w:sz w:val="18"/>
                <w:szCs w:val="18"/>
              </w:rPr>
              <w:t>21 %***</w:t>
            </w:r>
          </w:p>
        </w:tc>
        <w:tc>
          <w:tcPr>
            <w:tcW w:w="941" w:type="dxa"/>
          </w:tcPr>
          <w:p w14:paraId="0720BC91" w14:textId="77777777" w:rsidR="003B7027" w:rsidRPr="00C428D4" w:rsidRDefault="00296A74" w:rsidP="006E5F9A">
            <w:pPr>
              <w:pStyle w:val="TableParagraph"/>
              <w:suppressAutoHyphens/>
              <w:jc w:val="center"/>
              <w:rPr>
                <w:sz w:val="18"/>
                <w:szCs w:val="18"/>
              </w:rPr>
            </w:pPr>
            <w:r w:rsidRPr="00C428D4">
              <w:rPr>
                <w:sz w:val="18"/>
                <w:szCs w:val="18"/>
              </w:rPr>
              <w:t>3 %</w:t>
            </w:r>
          </w:p>
        </w:tc>
        <w:tc>
          <w:tcPr>
            <w:tcW w:w="947" w:type="dxa"/>
          </w:tcPr>
          <w:p w14:paraId="0DEEB6DC" w14:textId="77777777" w:rsidR="003B7027" w:rsidRPr="00C428D4" w:rsidRDefault="00296A74" w:rsidP="006E5F9A">
            <w:pPr>
              <w:pStyle w:val="TableParagraph"/>
              <w:suppressAutoHyphens/>
              <w:jc w:val="center"/>
              <w:rPr>
                <w:sz w:val="18"/>
                <w:szCs w:val="18"/>
              </w:rPr>
            </w:pPr>
            <w:r w:rsidRPr="00C428D4">
              <w:rPr>
                <w:sz w:val="18"/>
                <w:szCs w:val="18"/>
              </w:rPr>
              <w:t>12 %**</w:t>
            </w:r>
          </w:p>
        </w:tc>
        <w:tc>
          <w:tcPr>
            <w:tcW w:w="777" w:type="dxa"/>
          </w:tcPr>
          <w:p w14:paraId="19E9C188" w14:textId="77777777" w:rsidR="003B7027" w:rsidRPr="00C428D4" w:rsidRDefault="00296A74" w:rsidP="006E5F9A">
            <w:pPr>
              <w:pStyle w:val="TableParagraph"/>
              <w:suppressAutoHyphens/>
              <w:jc w:val="center"/>
              <w:rPr>
                <w:sz w:val="18"/>
                <w:szCs w:val="18"/>
              </w:rPr>
            </w:pPr>
            <w:r w:rsidRPr="00C428D4">
              <w:rPr>
                <w:sz w:val="18"/>
                <w:szCs w:val="18"/>
              </w:rPr>
              <w:t>1 %</w:t>
            </w:r>
          </w:p>
        </w:tc>
      </w:tr>
      <w:tr w:rsidR="003B7027" w:rsidRPr="00C428D4" w14:paraId="11AC86C8" w14:textId="77777777" w:rsidTr="00C428D4">
        <w:trPr>
          <w:cantSplit/>
        </w:trPr>
        <w:tc>
          <w:tcPr>
            <w:tcW w:w="594" w:type="dxa"/>
          </w:tcPr>
          <w:p w14:paraId="4E4C8D71" w14:textId="77777777" w:rsidR="003B7027" w:rsidRPr="00C428D4" w:rsidRDefault="00296A74" w:rsidP="006E5F9A">
            <w:pPr>
              <w:pStyle w:val="TableParagraph"/>
              <w:suppressAutoHyphens/>
              <w:jc w:val="center"/>
              <w:rPr>
                <w:sz w:val="18"/>
                <w:szCs w:val="18"/>
              </w:rPr>
            </w:pPr>
            <w:r w:rsidRPr="00C428D4">
              <w:rPr>
                <w:sz w:val="18"/>
                <w:szCs w:val="18"/>
              </w:rPr>
              <w:t>52</w:t>
            </w:r>
          </w:p>
        </w:tc>
        <w:tc>
          <w:tcPr>
            <w:tcW w:w="1644" w:type="dxa"/>
            <w:gridSpan w:val="2"/>
          </w:tcPr>
          <w:p w14:paraId="69DAF54D" w14:textId="77777777" w:rsidR="003B7027" w:rsidRPr="00C428D4" w:rsidRDefault="003B7027" w:rsidP="006E5F9A">
            <w:pPr>
              <w:pStyle w:val="TableParagraph"/>
              <w:suppressAutoHyphens/>
              <w:rPr>
                <w:sz w:val="18"/>
                <w:szCs w:val="18"/>
              </w:rPr>
            </w:pPr>
          </w:p>
        </w:tc>
        <w:tc>
          <w:tcPr>
            <w:tcW w:w="993" w:type="dxa"/>
            <w:tcBorders>
              <w:right w:val="nil"/>
            </w:tcBorders>
          </w:tcPr>
          <w:p w14:paraId="10016F3B" w14:textId="77777777" w:rsidR="003B7027" w:rsidRPr="00C428D4" w:rsidRDefault="00296A74" w:rsidP="006E5F9A">
            <w:pPr>
              <w:pStyle w:val="TableParagraph"/>
              <w:suppressAutoHyphens/>
              <w:jc w:val="center"/>
              <w:rPr>
                <w:sz w:val="18"/>
                <w:szCs w:val="18"/>
              </w:rPr>
            </w:pPr>
            <w:r w:rsidRPr="00C428D4">
              <w:rPr>
                <w:sz w:val="18"/>
                <w:szCs w:val="18"/>
              </w:rPr>
              <w:t>20 %***</w:t>
            </w:r>
          </w:p>
        </w:tc>
        <w:tc>
          <w:tcPr>
            <w:tcW w:w="727" w:type="dxa"/>
            <w:tcBorders>
              <w:left w:val="nil"/>
            </w:tcBorders>
          </w:tcPr>
          <w:p w14:paraId="2214DF43" w14:textId="77777777" w:rsidR="003B7027" w:rsidRPr="00C428D4" w:rsidRDefault="00296A74" w:rsidP="006E5F9A">
            <w:pPr>
              <w:pStyle w:val="TableParagraph"/>
              <w:suppressAutoHyphens/>
              <w:jc w:val="center"/>
              <w:rPr>
                <w:sz w:val="18"/>
                <w:szCs w:val="18"/>
              </w:rPr>
            </w:pPr>
            <w:r w:rsidRPr="00C428D4">
              <w:rPr>
                <w:sz w:val="18"/>
                <w:szCs w:val="18"/>
              </w:rPr>
              <w:t>4 %</w:t>
            </w:r>
          </w:p>
        </w:tc>
        <w:tc>
          <w:tcPr>
            <w:tcW w:w="1721" w:type="dxa"/>
            <w:gridSpan w:val="2"/>
          </w:tcPr>
          <w:p w14:paraId="15C5C2FE" w14:textId="77777777" w:rsidR="003B7027" w:rsidRPr="00C428D4" w:rsidRDefault="003B7027" w:rsidP="006E5F9A">
            <w:pPr>
              <w:pStyle w:val="TableParagraph"/>
              <w:suppressAutoHyphens/>
              <w:rPr>
                <w:sz w:val="18"/>
                <w:szCs w:val="18"/>
              </w:rPr>
            </w:pPr>
          </w:p>
        </w:tc>
        <w:tc>
          <w:tcPr>
            <w:tcW w:w="946" w:type="dxa"/>
          </w:tcPr>
          <w:p w14:paraId="5ED63FD8" w14:textId="77777777" w:rsidR="003B7027" w:rsidRPr="00C428D4" w:rsidRDefault="003B7027" w:rsidP="006E5F9A">
            <w:pPr>
              <w:pStyle w:val="TableParagraph"/>
              <w:suppressAutoHyphens/>
              <w:rPr>
                <w:sz w:val="18"/>
                <w:szCs w:val="18"/>
              </w:rPr>
            </w:pPr>
          </w:p>
        </w:tc>
        <w:tc>
          <w:tcPr>
            <w:tcW w:w="941" w:type="dxa"/>
          </w:tcPr>
          <w:p w14:paraId="5C5C3CCD" w14:textId="77777777" w:rsidR="003B7027" w:rsidRPr="00C428D4" w:rsidRDefault="003B7027" w:rsidP="006E5F9A">
            <w:pPr>
              <w:pStyle w:val="TableParagraph"/>
              <w:suppressAutoHyphens/>
              <w:rPr>
                <w:sz w:val="18"/>
                <w:szCs w:val="18"/>
              </w:rPr>
            </w:pPr>
          </w:p>
        </w:tc>
        <w:tc>
          <w:tcPr>
            <w:tcW w:w="947" w:type="dxa"/>
          </w:tcPr>
          <w:p w14:paraId="59955D90" w14:textId="77777777" w:rsidR="003B7027" w:rsidRPr="00C428D4" w:rsidRDefault="003B7027" w:rsidP="006E5F9A">
            <w:pPr>
              <w:pStyle w:val="TableParagraph"/>
              <w:suppressAutoHyphens/>
              <w:rPr>
                <w:sz w:val="18"/>
                <w:szCs w:val="18"/>
              </w:rPr>
            </w:pPr>
          </w:p>
        </w:tc>
        <w:tc>
          <w:tcPr>
            <w:tcW w:w="777" w:type="dxa"/>
          </w:tcPr>
          <w:p w14:paraId="52333607" w14:textId="77777777" w:rsidR="003B7027" w:rsidRPr="00C428D4" w:rsidRDefault="003B7027" w:rsidP="006E5F9A">
            <w:pPr>
              <w:pStyle w:val="TableParagraph"/>
              <w:suppressAutoHyphens/>
              <w:rPr>
                <w:sz w:val="18"/>
                <w:szCs w:val="18"/>
              </w:rPr>
            </w:pPr>
          </w:p>
        </w:tc>
      </w:tr>
    </w:tbl>
    <w:p w14:paraId="22BB7123" w14:textId="77777777" w:rsidR="003B7027" w:rsidRPr="0028514E" w:rsidRDefault="00296A74" w:rsidP="002624AF">
      <w:pPr>
        <w:ind w:left="851" w:hanging="851"/>
        <w:rPr>
          <w:i/>
          <w:sz w:val="18"/>
        </w:rPr>
      </w:pPr>
      <w:r w:rsidRPr="0028514E">
        <w:rPr>
          <w:i/>
          <w:sz w:val="18"/>
        </w:rPr>
        <w:t>TCZ</w:t>
      </w:r>
      <w:r w:rsidRPr="0028514E">
        <w:rPr>
          <w:i/>
          <w:sz w:val="18"/>
        </w:rPr>
        <w:tab/>
        <w:t xml:space="preserve">- </w:t>
      </w:r>
      <w:proofErr w:type="spellStart"/>
      <w:r w:rsidRPr="0028514E">
        <w:rPr>
          <w:i/>
          <w:sz w:val="18"/>
        </w:rPr>
        <w:t>tosilitsumabi</w:t>
      </w:r>
      <w:proofErr w:type="spellEnd"/>
    </w:p>
    <w:p w14:paraId="0BF01453" w14:textId="77777777" w:rsidR="003B7027" w:rsidRPr="0028514E" w:rsidRDefault="00296A74" w:rsidP="002624AF">
      <w:pPr>
        <w:ind w:left="851" w:hanging="851"/>
        <w:rPr>
          <w:i/>
          <w:sz w:val="18"/>
        </w:rPr>
      </w:pPr>
      <w:r w:rsidRPr="0028514E">
        <w:rPr>
          <w:i/>
          <w:sz w:val="18"/>
        </w:rPr>
        <w:t>MTX</w:t>
      </w:r>
      <w:r w:rsidRPr="0028514E">
        <w:rPr>
          <w:i/>
          <w:sz w:val="18"/>
        </w:rPr>
        <w:tab/>
        <w:t xml:space="preserve">- </w:t>
      </w:r>
      <w:proofErr w:type="spellStart"/>
      <w:r w:rsidRPr="0028514E">
        <w:rPr>
          <w:i/>
          <w:sz w:val="18"/>
        </w:rPr>
        <w:t>metotreksaatti</w:t>
      </w:r>
      <w:proofErr w:type="spellEnd"/>
    </w:p>
    <w:p w14:paraId="14486801" w14:textId="77777777" w:rsidR="003B7027" w:rsidRPr="0028514E" w:rsidRDefault="00296A74" w:rsidP="002624AF">
      <w:pPr>
        <w:ind w:left="851" w:hanging="851"/>
        <w:rPr>
          <w:i/>
          <w:sz w:val="18"/>
        </w:rPr>
      </w:pPr>
      <w:r w:rsidRPr="0028514E">
        <w:rPr>
          <w:i/>
          <w:sz w:val="18"/>
        </w:rPr>
        <w:t>DMARD</w:t>
      </w:r>
      <w:r w:rsidR="001C544B" w:rsidRPr="0028514E">
        <w:rPr>
          <w:i/>
          <w:sz w:val="18"/>
        </w:rPr>
        <w:tab/>
      </w:r>
      <w:r w:rsidRPr="0028514E">
        <w:rPr>
          <w:i/>
          <w:sz w:val="18"/>
        </w:rPr>
        <w:t xml:space="preserve">- </w:t>
      </w:r>
      <w:proofErr w:type="spellStart"/>
      <w:r w:rsidRPr="0028514E">
        <w:rPr>
          <w:i/>
          <w:sz w:val="18"/>
        </w:rPr>
        <w:t>tautiprosessia</w:t>
      </w:r>
      <w:proofErr w:type="spellEnd"/>
      <w:r w:rsidRPr="0028514E">
        <w:rPr>
          <w:i/>
          <w:sz w:val="18"/>
        </w:rPr>
        <w:t xml:space="preserve"> </w:t>
      </w:r>
      <w:proofErr w:type="spellStart"/>
      <w:r w:rsidRPr="0028514E">
        <w:rPr>
          <w:i/>
          <w:sz w:val="18"/>
        </w:rPr>
        <w:t>hidastava</w:t>
      </w:r>
      <w:proofErr w:type="spellEnd"/>
      <w:r w:rsidRPr="0028514E">
        <w:rPr>
          <w:i/>
          <w:sz w:val="18"/>
        </w:rPr>
        <w:t xml:space="preserve"> </w:t>
      </w:r>
      <w:proofErr w:type="spellStart"/>
      <w:r w:rsidRPr="0028514E">
        <w:rPr>
          <w:i/>
          <w:sz w:val="18"/>
        </w:rPr>
        <w:t>reumalääke</w:t>
      </w:r>
      <w:proofErr w:type="spellEnd"/>
      <w:r w:rsidRPr="0028514E">
        <w:rPr>
          <w:i/>
          <w:sz w:val="18"/>
        </w:rPr>
        <w:t xml:space="preserve"> (disease modifying anti-rheumatic drug)</w:t>
      </w:r>
    </w:p>
    <w:p w14:paraId="38CABC84" w14:textId="77777777" w:rsidR="003B7027" w:rsidRPr="00CA43F5" w:rsidRDefault="00296A74" w:rsidP="002624AF">
      <w:pPr>
        <w:ind w:left="851" w:hanging="851"/>
        <w:rPr>
          <w:i/>
          <w:sz w:val="18"/>
          <w:lang w:val="fi-FI"/>
        </w:rPr>
      </w:pPr>
      <w:r w:rsidRPr="00CA43F5">
        <w:rPr>
          <w:i/>
          <w:sz w:val="18"/>
          <w:lang w:val="fi-FI"/>
        </w:rPr>
        <w:t>**</w:t>
      </w:r>
      <w:r w:rsidRPr="00CA43F5">
        <w:rPr>
          <w:i/>
          <w:sz w:val="18"/>
          <w:lang w:val="fi-FI"/>
        </w:rPr>
        <w:tab/>
        <w:t>- p &lt; 0.01, tosilitsumabi vs. lumevalmiste + MTX / DMARD</w:t>
      </w:r>
    </w:p>
    <w:p w14:paraId="54AED8BD" w14:textId="77777777" w:rsidR="003B7027" w:rsidRPr="00CA43F5" w:rsidRDefault="00296A74" w:rsidP="002624AF">
      <w:pPr>
        <w:ind w:left="851" w:hanging="851"/>
        <w:rPr>
          <w:i/>
          <w:sz w:val="18"/>
          <w:lang w:val="fi-FI"/>
        </w:rPr>
      </w:pPr>
      <w:r w:rsidRPr="00CA43F5">
        <w:rPr>
          <w:i/>
          <w:sz w:val="18"/>
          <w:lang w:val="fi-FI"/>
        </w:rPr>
        <w:t>***</w:t>
      </w:r>
      <w:r w:rsidRPr="00CA43F5">
        <w:rPr>
          <w:i/>
          <w:sz w:val="18"/>
          <w:lang w:val="fi-FI"/>
        </w:rPr>
        <w:tab/>
        <w:t>- p &lt; 0.0001, tosilitsumabi vs. lumevalmiste + MTX / DMARD</w:t>
      </w:r>
    </w:p>
    <w:p w14:paraId="52BD9AC2" w14:textId="77777777" w:rsidR="003B7027" w:rsidRPr="0028514E" w:rsidRDefault="003B7027" w:rsidP="006E5F9A">
      <w:pPr>
        <w:pStyle w:val="a4"/>
        <w:ind w:left="0"/>
        <w:rPr>
          <w:i/>
          <w:sz w:val="18"/>
        </w:rPr>
      </w:pPr>
    </w:p>
    <w:p w14:paraId="4EE6E4FC" w14:textId="77777777" w:rsidR="003B7027" w:rsidRPr="00CA43F5" w:rsidRDefault="00296A74" w:rsidP="006E5F9A">
      <w:pPr>
        <w:keepNext/>
        <w:rPr>
          <w:i/>
          <w:lang w:val="fi-FI"/>
        </w:rPr>
      </w:pPr>
      <w:r w:rsidRPr="00CA43F5">
        <w:rPr>
          <w:i/>
          <w:lang w:val="fi-FI"/>
        </w:rPr>
        <w:t>Merkittävä kliininen vaste</w:t>
      </w:r>
    </w:p>
    <w:p w14:paraId="0AEB6F97" w14:textId="7331AD86" w:rsidR="003B7027" w:rsidRPr="0028514E" w:rsidRDefault="000C4216" w:rsidP="006E5F9A">
      <w:pPr>
        <w:pStyle w:val="a4"/>
        <w:ind w:left="0"/>
      </w:pPr>
      <w:r>
        <w:t xml:space="preserve">Tosilitsumabia </w:t>
      </w:r>
      <w:r w:rsidR="00296A74" w:rsidRPr="0028514E">
        <w:t>yhdessä MTX:n kanssa saaneista potilaista 14 % saavutti merkittävän kliinisen vasteen, kun hoitoa oli annettu kaksi vuotta (ACR70-vaste säilyi 24 viikkoa tai pitempään).</w:t>
      </w:r>
    </w:p>
    <w:p w14:paraId="0524B7BF" w14:textId="77777777" w:rsidR="001C544B" w:rsidRPr="0028514E" w:rsidRDefault="001C544B" w:rsidP="006E5F9A">
      <w:pPr>
        <w:pStyle w:val="a4"/>
        <w:ind w:left="0"/>
      </w:pPr>
    </w:p>
    <w:p w14:paraId="6CA9BD3A" w14:textId="77777777" w:rsidR="003B7027" w:rsidRPr="00CA43F5" w:rsidRDefault="00296A74" w:rsidP="006E5F9A">
      <w:pPr>
        <w:rPr>
          <w:i/>
          <w:lang w:val="fi-FI"/>
        </w:rPr>
      </w:pPr>
      <w:r w:rsidRPr="00CA43F5">
        <w:rPr>
          <w:i/>
          <w:lang w:val="fi-FI"/>
        </w:rPr>
        <w:t>Radiologinen vaste</w:t>
      </w:r>
    </w:p>
    <w:p w14:paraId="46CD45AB" w14:textId="53DAED35" w:rsidR="001C544B" w:rsidRPr="0028514E" w:rsidRDefault="00296A74" w:rsidP="006E5F9A">
      <w:pPr>
        <w:pStyle w:val="a4"/>
        <w:ind w:left="0"/>
      </w:pPr>
      <w:r w:rsidRPr="0028514E">
        <w:t>Tutkimukseen II osallistui potilaita, joiden aikaisempi hoito MTX:lla ei tuonut riittävää hoitovastetta. Rakenteellisten nivelvaurioiden estymistä arvioitiin radiologisesti ja tulos ilmaistiin modifioidun Sharp-indeksin ja sen osatekijöiden, eroosioasteen ja nivelraon kaventumisen muutoksena.</w:t>
      </w:r>
      <w:r w:rsidR="001C544B" w:rsidRPr="0028514E">
        <w:t xml:space="preserve"> </w:t>
      </w:r>
      <w:r w:rsidRPr="0028514E">
        <w:t xml:space="preserve">Rakenteellisen nivelvaurion estyminen näkyi merkitsevästi hitaampana radiologisena etenemisenä </w:t>
      </w:r>
      <w:r w:rsidR="000C4216">
        <w:t>tosilitsumabi</w:t>
      </w:r>
      <w:r w:rsidRPr="0028514E">
        <w:t>hoitoa saaneilla potilailla kuin vertailuryhmän potilailla (taulukko 6).</w:t>
      </w:r>
      <w:r w:rsidR="001C544B" w:rsidRPr="0028514E">
        <w:t xml:space="preserve"> </w:t>
      </w:r>
    </w:p>
    <w:p w14:paraId="4BF684AA" w14:textId="77777777" w:rsidR="001C544B" w:rsidRPr="0028514E" w:rsidRDefault="001C544B" w:rsidP="006E5F9A">
      <w:pPr>
        <w:pStyle w:val="a4"/>
        <w:ind w:left="0"/>
      </w:pPr>
    </w:p>
    <w:p w14:paraId="4B4C5BE7" w14:textId="558E5C82" w:rsidR="003B7027" w:rsidRPr="0028514E" w:rsidRDefault="00296A74" w:rsidP="006E5F9A">
      <w:pPr>
        <w:pStyle w:val="a4"/>
        <w:ind w:left="0"/>
      </w:pPr>
      <w:r w:rsidRPr="0028514E">
        <w:t xml:space="preserve">Avoimessa jatkotutkimuksessa (tutkimus II) niveltuhon etenemistä estävä vaikutus säilyi hoidon toisena vuonna </w:t>
      </w:r>
      <w:r w:rsidR="000C4216">
        <w:t xml:space="preserve">tosilitsumabia </w:t>
      </w:r>
      <w:r w:rsidRPr="0028514E">
        <w:t xml:space="preserve">yhdessä MTX:n kanssa saaneilla potilailla. Sharp-Genant- kokonaispistearvon keskimääräinen muutos lähtötilanteesta viikolla 104 oli huomattavasti pienempi potilailla, jotka oli satunnaistettu saamaan </w:t>
      </w:r>
      <w:r w:rsidR="000C4216">
        <w:t xml:space="preserve">tosilitsumabia </w:t>
      </w:r>
      <w:r w:rsidRPr="0028514E">
        <w:t>8 mg/kg yhdessä MTX:n kanssa (p &lt; 0,0001) kuin niillä potilailla, jotka oli satunnaistettu saamaan lumevalmistetta yhdessä MTX:n kanssa.</w:t>
      </w:r>
    </w:p>
    <w:p w14:paraId="4B6E8735" w14:textId="77777777" w:rsidR="003B7027" w:rsidRPr="0028514E" w:rsidRDefault="003B7027" w:rsidP="006E5F9A">
      <w:pPr>
        <w:pStyle w:val="a4"/>
        <w:ind w:left="0"/>
      </w:pPr>
    </w:p>
    <w:p w14:paraId="6A45D15F" w14:textId="77777777" w:rsidR="003B7027" w:rsidRPr="00CA43F5" w:rsidRDefault="00296A74" w:rsidP="004F5142">
      <w:pPr>
        <w:pStyle w:val="Tabletitle"/>
        <w:rPr>
          <w:lang w:val="fi-FI"/>
        </w:rPr>
      </w:pPr>
      <w:r w:rsidRPr="00CA43F5">
        <w:rPr>
          <w:lang w:val="fi-FI"/>
        </w:rPr>
        <w:t>Taulukko 6.</w:t>
      </w:r>
      <w:r w:rsidR="001C544B" w:rsidRPr="00CA43F5">
        <w:rPr>
          <w:lang w:val="fi-FI"/>
        </w:rPr>
        <w:tab/>
      </w:r>
      <w:r w:rsidRPr="00CA43F5">
        <w:rPr>
          <w:lang w:val="fi-FI"/>
        </w:rPr>
        <w:t>Radiologiset muutokset (keskiarvo) 52 viikon aikana tutkimuksessa II</w:t>
      </w:r>
    </w:p>
    <w:p w14:paraId="137E108B" w14:textId="77777777" w:rsidR="001C544B" w:rsidRPr="00CA43F5" w:rsidRDefault="001C544B" w:rsidP="004F5142">
      <w:pPr>
        <w:rPr>
          <w:lang w:val="fi-FI"/>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2518"/>
        <w:gridCol w:w="3289"/>
        <w:gridCol w:w="2835"/>
      </w:tblGrid>
      <w:tr w:rsidR="003B7027" w:rsidRPr="00ED6BAC" w14:paraId="08161C42" w14:textId="77777777" w:rsidTr="00EC0612">
        <w:trPr>
          <w:cantSplit/>
        </w:trPr>
        <w:tc>
          <w:tcPr>
            <w:tcW w:w="2518" w:type="dxa"/>
          </w:tcPr>
          <w:p w14:paraId="664D4E9B" w14:textId="77777777" w:rsidR="003B7027" w:rsidRPr="004F5142" w:rsidRDefault="003B7027" w:rsidP="006E5F9A">
            <w:pPr>
              <w:pStyle w:val="TableParagraph"/>
              <w:suppressAutoHyphens/>
              <w:rPr>
                <w:sz w:val="20"/>
                <w:szCs w:val="20"/>
              </w:rPr>
            </w:pPr>
          </w:p>
        </w:tc>
        <w:tc>
          <w:tcPr>
            <w:tcW w:w="3289" w:type="dxa"/>
          </w:tcPr>
          <w:p w14:paraId="3ECD6D4C" w14:textId="77777777" w:rsidR="00B74C91" w:rsidRPr="004F5142" w:rsidRDefault="00296A74" w:rsidP="006E5F9A">
            <w:pPr>
              <w:pStyle w:val="TableParagraph"/>
              <w:suppressAutoHyphens/>
              <w:jc w:val="center"/>
              <w:rPr>
                <w:b/>
                <w:sz w:val="20"/>
                <w:szCs w:val="20"/>
              </w:rPr>
            </w:pPr>
            <w:r w:rsidRPr="004F5142">
              <w:rPr>
                <w:b/>
                <w:sz w:val="20"/>
                <w:szCs w:val="20"/>
              </w:rPr>
              <w:t xml:space="preserve">Lume + MTX </w:t>
            </w:r>
          </w:p>
          <w:p w14:paraId="69E6C00B" w14:textId="77777777" w:rsidR="003B7027" w:rsidRPr="004F5142" w:rsidRDefault="00296A74" w:rsidP="006E5F9A">
            <w:pPr>
              <w:pStyle w:val="TableParagraph"/>
              <w:suppressAutoHyphens/>
              <w:jc w:val="center"/>
              <w:rPr>
                <w:b/>
                <w:sz w:val="20"/>
                <w:szCs w:val="20"/>
              </w:rPr>
            </w:pPr>
            <w:r w:rsidRPr="004F5142">
              <w:rPr>
                <w:b/>
                <w:sz w:val="20"/>
                <w:szCs w:val="20"/>
              </w:rPr>
              <w:t>(+TCZ viikosta 24 alkaen)</w:t>
            </w:r>
          </w:p>
          <w:p w14:paraId="5462521E" w14:textId="77777777" w:rsidR="003B7027" w:rsidRPr="004F5142" w:rsidRDefault="00296A74" w:rsidP="006E5F9A">
            <w:pPr>
              <w:pStyle w:val="TableParagraph"/>
              <w:suppressAutoHyphens/>
              <w:jc w:val="center"/>
              <w:rPr>
                <w:b/>
                <w:sz w:val="20"/>
                <w:szCs w:val="20"/>
              </w:rPr>
            </w:pPr>
            <w:r w:rsidRPr="004F5142">
              <w:rPr>
                <w:b/>
                <w:sz w:val="20"/>
                <w:szCs w:val="20"/>
              </w:rPr>
              <w:t>N = 393</w:t>
            </w:r>
          </w:p>
        </w:tc>
        <w:tc>
          <w:tcPr>
            <w:tcW w:w="2835" w:type="dxa"/>
          </w:tcPr>
          <w:p w14:paraId="5AF526DB" w14:textId="77777777" w:rsidR="00B74C91" w:rsidRPr="00E919A5" w:rsidRDefault="00296A74" w:rsidP="006E5F9A">
            <w:pPr>
              <w:pStyle w:val="TableParagraph"/>
              <w:suppressAutoHyphens/>
              <w:jc w:val="center"/>
              <w:rPr>
                <w:b/>
                <w:sz w:val="20"/>
                <w:szCs w:val="20"/>
              </w:rPr>
            </w:pPr>
            <w:r w:rsidRPr="00E919A5">
              <w:rPr>
                <w:b/>
                <w:sz w:val="20"/>
                <w:szCs w:val="20"/>
              </w:rPr>
              <w:t xml:space="preserve">TCZ 8 mg/kg + MTX </w:t>
            </w:r>
          </w:p>
          <w:p w14:paraId="09E09739" w14:textId="77777777" w:rsidR="003B7027" w:rsidRPr="00E919A5" w:rsidRDefault="00296A74" w:rsidP="006E5F9A">
            <w:pPr>
              <w:pStyle w:val="TableParagraph"/>
              <w:suppressAutoHyphens/>
              <w:jc w:val="center"/>
              <w:rPr>
                <w:b/>
                <w:sz w:val="20"/>
                <w:szCs w:val="20"/>
              </w:rPr>
            </w:pPr>
            <w:r w:rsidRPr="00E919A5">
              <w:rPr>
                <w:b/>
                <w:sz w:val="20"/>
                <w:szCs w:val="20"/>
              </w:rPr>
              <w:t>N = 398</w:t>
            </w:r>
          </w:p>
        </w:tc>
      </w:tr>
      <w:tr w:rsidR="003B7027" w:rsidRPr="00777B93" w14:paraId="53A34532" w14:textId="77777777" w:rsidTr="00EC0612">
        <w:trPr>
          <w:cantSplit/>
        </w:trPr>
        <w:tc>
          <w:tcPr>
            <w:tcW w:w="2518" w:type="dxa"/>
          </w:tcPr>
          <w:p w14:paraId="5346CC71" w14:textId="77777777" w:rsidR="003B7027" w:rsidRPr="004F5142" w:rsidRDefault="00296A74" w:rsidP="006E5F9A">
            <w:pPr>
              <w:pStyle w:val="TableParagraph"/>
              <w:suppressAutoHyphens/>
              <w:rPr>
                <w:sz w:val="20"/>
                <w:szCs w:val="20"/>
              </w:rPr>
            </w:pPr>
            <w:r w:rsidRPr="004F5142">
              <w:rPr>
                <w:sz w:val="20"/>
                <w:szCs w:val="20"/>
              </w:rPr>
              <w:t>Sharp-Genant-kokonaispistearvo</w:t>
            </w:r>
          </w:p>
        </w:tc>
        <w:tc>
          <w:tcPr>
            <w:tcW w:w="3289" w:type="dxa"/>
          </w:tcPr>
          <w:p w14:paraId="5E1DFB4B" w14:textId="77777777" w:rsidR="003B7027" w:rsidRPr="004F5142" w:rsidRDefault="00296A74" w:rsidP="006E5F9A">
            <w:pPr>
              <w:pStyle w:val="TableParagraph"/>
              <w:suppressAutoHyphens/>
              <w:jc w:val="center"/>
              <w:rPr>
                <w:sz w:val="20"/>
                <w:szCs w:val="20"/>
              </w:rPr>
            </w:pPr>
            <w:r w:rsidRPr="004F5142">
              <w:rPr>
                <w:sz w:val="20"/>
                <w:szCs w:val="20"/>
              </w:rPr>
              <w:t>1,13</w:t>
            </w:r>
          </w:p>
        </w:tc>
        <w:tc>
          <w:tcPr>
            <w:tcW w:w="2835" w:type="dxa"/>
          </w:tcPr>
          <w:p w14:paraId="3F3E49D5" w14:textId="77777777" w:rsidR="003B7027" w:rsidRPr="004F5142" w:rsidRDefault="00296A74" w:rsidP="006E5F9A">
            <w:pPr>
              <w:pStyle w:val="TableParagraph"/>
              <w:suppressAutoHyphens/>
              <w:jc w:val="center"/>
              <w:rPr>
                <w:sz w:val="20"/>
                <w:szCs w:val="20"/>
              </w:rPr>
            </w:pPr>
            <w:r w:rsidRPr="004F5142">
              <w:rPr>
                <w:sz w:val="20"/>
                <w:szCs w:val="20"/>
              </w:rPr>
              <w:t>0,29*</w:t>
            </w:r>
          </w:p>
        </w:tc>
      </w:tr>
      <w:tr w:rsidR="003B7027" w:rsidRPr="00777B93" w14:paraId="026810B3" w14:textId="77777777" w:rsidTr="00EC0612">
        <w:trPr>
          <w:cantSplit/>
        </w:trPr>
        <w:tc>
          <w:tcPr>
            <w:tcW w:w="2518" w:type="dxa"/>
          </w:tcPr>
          <w:p w14:paraId="39A280AE" w14:textId="77777777" w:rsidR="003B7027" w:rsidRPr="004F5142" w:rsidRDefault="00296A74" w:rsidP="006E5F9A">
            <w:pPr>
              <w:pStyle w:val="TableParagraph"/>
              <w:suppressAutoHyphens/>
              <w:rPr>
                <w:sz w:val="20"/>
                <w:szCs w:val="20"/>
              </w:rPr>
            </w:pPr>
            <w:r w:rsidRPr="004F5142">
              <w:rPr>
                <w:sz w:val="20"/>
                <w:szCs w:val="20"/>
              </w:rPr>
              <w:t>Eroosioindeksi</w:t>
            </w:r>
          </w:p>
        </w:tc>
        <w:tc>
          <w:tcPr>
            <w:tcW w:w="3289" w:type="dxa"/>
          </w:tcPr>
          <w:p w14:paraId="2A2F742B" w14:textId="77777777" w:rsidR="003B7027" w:rsidRPr="004F5142" w:rsidRDefault="00296A74" w:rsidP="006E5F9A">
            <w:pPr>
              <w:pStyle w:val="TableParagraph"/>
              <w:suppressAutoHyphens/>
              <w:jc w:val="center"/>
              <w:rPr>
                <w:sz w:val="20"/>
                <w:szCs w:val="20"/>
              </w:rPr>
            </w:pPr>
            <w:r w:rsidRPr="004F5142">
              <w:rPr>
                <w:sz w:val="20"/>
                <w:szCs w:val="20"/>
              </w:rPr>
              <w:t>0,71</w:t>
            </w:r>
          </w:p>
        </w:tc>
        <w:tc>
          <w:tcPr>
            <w:tcW w:w="2835" w:type="dxa"/>
          </w:tcPr>
          <w:p w14:paraId="7988711B" w14:textId="77777777" w:rsidR="003B7027" w:rsidRPr="004F5142" w:rsidRDefault="00296A74" w:rsidP="006E5F9A">
            <w:pPr>
              <w:pStyle w:val="TableParagraph"/>
              <w:suppressAutoHyphens/>
              <w:jc w:val="center"/>
              <w:rPr>
                <w:sz w:val="20"/>
                <w:szCs w:val="20"/>
              </w:rPr>
            </w:pPr>
            <w:r w:rsidRPr="004F5142">
              <w:rPr>
                <w:sz w:val="20"/>
                <w:szCs w:val="20"/>
              </w:rPr>
              <w:t>0,17*</w:t>
            </w:r>
          </w:p>
        </w:tc>
      </w:tr>
      <w:tr w:rsidR="003B7027" w:rsidRPr="00777B93" w14:paraId="06F8E56F" w14:textId="77777777" w:rsidTr="00EC0612">
        <w:trPr>
          <w:cantSplit/>
        </w:trPr>
        <w:tc>
          <w:tcPr>
            <w:tcW w:w="2518" w:type="dxa"/>
          </w:tcPr>
          <w:p w14:paraId="6D55481D" w14:textId="77777777" w:rsidR="003B7027" w:rsidRPr="004F5142" w:rsidRDefault="00296A74" w:rsidP="006E5F9A">
            <w:pPr>
              <w:pStyle w:val="TableParagraph"/>
              <w:suppressAutoHyphens/>
              <w:rPr>
                <w:sz w:val="20"/>
                <w:szCs w:val="20"/>
              </w:rPr>
            </w:pPr>
            <w:r w:rsidRPr="004F5142">
              <w:rPr>
                <w:sz w:val="20"/>
                <w:szCs w:val="20"/>
              </w:rPr>
              <w:t>Nivelraon kaventuminen</w:t>
            </w:r>
          </w:p>
        </w:tc>
        <w:tc>
          <w:tcPr>
            <w:tcW w:w="3289" w:type="dxa"/>
          </w:tcPr>
          <w:p w14:paraId="7BBC7D5D" w14:textId="77777777" w:rsidR="003B7027" w:rsidRPr="004F5142" w:rsidRDefault="00296A74" w:rsidP="006E5F9A">
            <w:pPr>
              <w:pStyle w:val="TableParagraph"/>
              <w:suppressAutoHyphens/>
              <w:jc w:val="center"/>
              <w:rPr>
                <w:sz w:val="20"/>
                <w:szCs w:val="20"/>
              </w:rPr>
            </w:pPr>
            <w:r w:rsidRPr="004F5142">
              <w:rPr>
                <w:sz w:val="20"/>
                <w:szCs w:val="20"/>
              </w:rPr>
              <w:t>0,42</w:t>
            </w:r>
          </w:p>
        </w:tc>
        <w:tc>
          <w:tcPr>
            <w:tcW w:w="2835" w:type="dxa"/>
          </w:tcPr>
          <w:p w14:paraId="0922613C" w14:textId="77777777" w:rsidR="003B7027" w:rsidRPr="004F5142" w:rsidRDefault="00296A74" w:rsidP="006E5F9A">
            <w:pPr>
              <w:pStyle w:val="TableParagraph"/>
              <w:suppressAutoHyphens/>
              <w:jc w:val="center"/>
              <w:rPr>
                <w:sz w:val="20"/>
                <w:szCs w:val="20"/>
              </w:rPr>
            </w:pPr>
            <w:r w:rsidRPr="004F5142">
              <w:rPr>
                <w:sz w:val="20"/>
                <w:szCs w:val="20"/>
              </w:rPr>
              <w:t>0,12**</w:t>
            </w:r>
          </w:p>
        </w:tc>
      </w:tr>
    </w:tbl>
    <w:p w14:paraId="1586945D" w14:textId="77777777" w:rsidR="003B7027" w:rsidRPr="0028514E" w:rsidRDefault="00296A74" w:rsidP="006E5F9A">
      <w:pPr>
        <w:rPr>
          <w:i/>
          <w:sz w:val="18"/>
        </w:rPr>
      </w:pPr>
      <w:r w:rsidRPr="0028514E">
        <w:rPr>
          <w:i/>
          <w:sz w:val="18"/>
        </w:rPr>
        <w:t>MTX</w:t>
      </w:r>
      <w:r w:rsidRPr="0028514E">
        <w:rPr>
          <w:i/>
          <w:sz w:val="18"/>
        </w:rPr>
        <w:tab/>
        <w:t xml:space="preserve">- </w:t>
      </w:r>
      <w:proofErr w:type="spellStart"/>
      <w:r w:rsidRPr="0028514E">
        <w:rPr>
          <w:i/>
          <w:sz w:val="18"/>
        </w:rPr>
        <w:t>metotreksaatti</w:t>
      </w:r>
      <w:proofErr w:type="spellEnd"/>
    </w:p>
    <w:p w14:paraId="66F680BC" w14:textId="77777777" w:rsidR="003B7027" w:rsidRPr="0028514E" w:rsidRDefault="00296A74" w:rsidP="006E5F9A">
      <w:pPr>
        <w:rPr>
          <w:i/>
          <w:sz w:val="18"/>
        </w:rPr>
      </w:pPr>
      <w:r w:rsidRPr="0028514E">
        <w:rPr>
          <w:i/>
          <w:sz w:val="18"/>
        </w:rPr>
        <w:t>TCZ</w:t>
      </w:r>
      <w:r w:rsidRPr="0028514E">
        <w:rPr>
          <w:i/>
          <w:sz w:val="18"/>
        </w:rPr>
        <w:tab/>
        <w:t xml:space="preserve">- </w:t>
      </w:r>
      <w:proofErr w:type="spellStart"/>
      <w:r w:rsidRPr="0028514E">
        <w:rPr>
          <w:i/>
          <w:sz w:val="18"/>
        </w:rPr>
        <w:t>tosilitsumabi</w:t>
      </w:r>
      <w:proofErr w:type="spellEnd"/>
    </w:p>
    <w:p w14:paraId="19B59B0B" w14:textId="77777777" w:rsidR="003B7027" w:rsidRPr="00CA43F5" w:rsidRDefault="00296A74" w:rsidP="006E5F9A">
      <w:pPr>
        <w:rPr>
          <w:i/>
          <w:sz w:val="18"/>
          <w:lang w:val="fi-FI"/>
        </w:rPr>
      </w:pPr>
      <w:r w:rsidRPr="00CA43F5">
        <w:rPr>
          <w:i/>
          <w:sz w:val="18"/>
          <w:lang w:val="fi-FI"/>
        </w:rPr>
        <w:t>*</w:t>
      </w:r>
      <w:r w:rsidRPr="00CA43F5">
        <w:rPr>
          <w:i/>
          <w:sz w:val="18"/>
          <w:lang w:val="fi-FI"/>
        </w:rPr>
        <w:tab/>
        <w:t xml:space="preserve">- p </w:t>
      </w:r>
      <w:r w:rsidRPr="00CA43F5">
        <w:rPr>
          <w:rFonts w:hint="eastAsia"/>
          <w:i/>
          <w:sz w:val="18"/>
          <w:lang w:val="fi-FI"/>
        </w:rPr>
        <w:t>≤</w:t>
      </w:r>
      <w:r w:rsidRPr="00CA43F5">
        <w:rPr>
          <w:i/>
          <w:sz w:val="18"/>
          <w:lang w:val="fi-FI"/>
        </w:rPr>
        <w:t xml:space="preserve"> 0,0001, kun tosilitsumabia verrattiin lumevalmisteen + MTX:n yhdistelmään.</w:t>
      </w:r>
    </w:p>
    <w:p w14:paraId="6709BA4D" w14:textId="77777777" w:rsidR="003B7027" w:rsidRPr="00CA43F5" w:rsidRDefault="00296A74" w:rsidP="006E5F9A">
      <w:pPr>
        <w:rPr>
          <w:i/>
          <w:sz w:val="18"/>
          <w:lang w:val="fi-FI"/>
        </w:rPr>
      </w:pPr>
      <w:r w:rsidRPr="00CA43F5">
        <w:rPr>
          <w:i/>
          <w:sz w:val="18"/>
          <w:lang w:val="fi-FI"/>
        </w:rPr>
        <w:t>**</w:t>
      </w:r>
      <w:r w:rsidRPr="00CA43F5">
        <w:rPr>
          <w:i/>
          <w:sz w:val="18"/>
          <w:lang w:val="fi-FI"/>
        </w:rPr>
        <w:tab/>
        <w:t xml:space="preserve">- p </w:t>
      </w:r>
      <w:r w:rsidRPr="00CA43F5">
        <w:rPr>
          <w:rFonts w:hint="eastAsia"/>
          <w:i/>
          <w:sz w:val="18"/>
          <w:lang w:val="fi-FI"/>
        </w:rPr>
        <w:t>≤</w:t>
      </w:r>
      <w:r w:rsidRPr="00CA43F5">
        <w:rPr>
          <w:i/>
          <w:sz w:val="18"/>
          <w:lang w:val="fi-FI"/>
        </w:rPr>
        <w:t xml:space="preserve"> 0,005, kun tosilitsumabia verrattiin lumevalmisteen + MTX:n yhdistelmään.</w:t>
      </w:r>
    </w:p>
    <w:p w14:paraId="7B3D1CD9" w14:textId="77777777" w:rsidR="003B7027" w:rsidRPr="0028514E" w:rsidRDefault="003B7027" w:rsidP="006E5F9A">
      <w:pPr>
        <w:pStyle w:val="a4"/>
        <w:ind w:left="0"/>
        <w:rPr>
          <w:i/>
          <w:sz w:val="18"/>
        </w:rPr>
      </w:pPr>
    </w:p>
    <w:p w14:paraId="72889ADA" w14:textId="517FBB12" w:rsidR="003B7027" w:rsidRPr="0028514E" w:rsidRDefault="00296A74" w:rsidP="006E5F9A">
      <w:pPr>
        <w:pStyle w:val="a4"/>
        <w:ind w:left="0"/>
      </w:pPr>
      <w:r w:rsidRPr="0028514E">
        <w:t xml:space="preserve">Vuoden kestäneen hoidon jälkeen </w:t>
      </w:r>
      <w:r w:rsidR="000C4216">
        <w:t xml:space="preserve">tosilitsumabia </w:t>
      </w:r>
      <w:r w:rsidRPr="0028514E">
        <w:t>yhdessä MTX:n kanssa saaneista potilaista 85 %:lla (n</w:t>
      </w:r>
      <w:r w:rsidR="001C544B" w:rsidRPr="0028514E">
        <w:t xml:space="preserve"> </w:t>
      </w:r>
      <w:r w:rsidRPr="0028514E">
        <w:t>= 348) ei havaittu niveltuhon etenemistä Sharp-Genant-kokonaispistearvon muutoksena mitattuna (muutos 0 tai vähemmän). Vastaava tulos lumevalmistetta yhdessä MTX:n kanssa saaneilla potilailla</w:t>
      </w:r>
      <w:r w:rsidR="001C544B" w:rsidRPr="0028514E">
        <w:t xml:space="preserve"> </w:t>
      </w:r>
      <w:r w:rsidRPr="0028514E">
        <w:t>oli 67 % (n = 290) (p ≤ 0,001). Tulos säilyi samanlaisena kaksi vuotta kestäneen hoidon jälkeen (83 %; n = 353). Viikkojen 52 ja 104 välillä 93 %:lla potilaista (n= 271) ei havaittu niveltuhon etenemistä.</w:t>
      </w:r>
    </w:p>
    <w:p w14:paraId="7DA99E4B" w14:textId="77777777" w:rsidR="003B7027" w:rsidRPr="0028514E" w:rsidRDefault="003B7027" w:rsidP="006E5F9A">
      <w:pPr>
        <w:pStyle w:val="a4"/>
        <w:ind w:left="0"/>
      </w:pPr>
    </w:p>
    <w:p w14:paraId="6F2AA23F" w14:textId="77777777" w:rsidR="003B7027" w:rsidRPr="00CA43F5" w:rsidRDefault="00296A74" w:rsidP="006E5F9A">
      <w:pPr>
        <w:rPr>
          <w:i/>
          <w:lang w:val="fi-FI"/>
        </w:rPr>
      </w:pPr>
      <w:r w:rsidRPr="00CA43F5">
        <w:rPr>
          <w:i/>
          <w:lang w:val="fi-FI"/>
        </w:rPr>
        <w:t>Terveydentilaa ja elämänlaatua kuvaavat tulokset</w:t>
      </w:r>
    </w:p>
    <w:p w14:paraId="519F4698" w14:textId="40AB770F" w:rsidR="003B7027" w:rsidRPr="0028514E" w:rsidRDefault="00296A74" w:rsidP="006E5F9A">
      <w:pPr>
        <w:pStyle w:val="a4"/>
        <w:ind w:left="0"/>
      </w:pPr>
      <w:r w:rsidRPr="0028514E">
        <w:lastRenderedPageBreak/>
        <w:t xml:space="preserve">Raportit </w:t>
      </w:r>
      <w:r w:rsidR="000C4216">
        <w:t>tosilitsumabi</w:t>
      </w:r>
      <w:r w:rsidRPr="0028514E">
        <w:t xml:space="preserve">hoitoa saaneilta potilailta osoittivat paranemista kaikissa potilaan arviointiin perustuvissa mittareissa (HAQ-DI = Health Assessment Questionnaire Disability Index, Sort Form - 36- ja FACIT = Functional Assessment of Chronic Illness Therapy -kyselylomakkeet). Fyysistä toimintakykyä mittaava HAQ-DI-tulos parani tilastollisesti merkitsevästi </w:t>
      </w:r>
      <w:r w:rsidR="000C4216">
        <w:t>tosilitsumabi</w:t>
      </w:r>
      <w:r w:rsidRPr="0028514E">
        <w:t xml:space="preserve">hoitoa saaneiden potilaiden ryhmässä DMARDeja saaneisiin potilaisiin verrattuna. Tutkimuksen II avoimessa vaiheessa havaittu parannus fyysisessä toimintakyvyssä säilyi jopa kahden vuoden ajan. Viikolla 52 keskimääräinen muutos HAQ-DI:ssä oli -0,58 niillä potilailla, jotka saivat </w:t>
      </w:r>
      <w:r w:rsidR="000C4216">
        <w:t xml:space="preserve">tosilitsumabia </w:t>
      </w:r>
      <w:r w:rsidRPr="0028514E">
        <w:t xml:space="preserve">8 mg/kg yhdessä MTX:n kanssa. Lumevalmistetta yhdessä MTX:n kanssa saaneilla potilailla vastaava tulos oli 0,39. Keskimääräinen muutos HAQ-DI:ssä säilyi viikon 104 loppuun asti </w:t>
      </w:r>
      <w:r w:rsidR="000C4216">
        <w:t xml:space="preserve">tosilitsumabia </w:t>
      </w:r>
      <w:r w:rsidRPr="0028514E">
        <w:t>8 mg/kg yhdessä MTX:n kanssa saaneilla potilailla (-0.61).</w:t>
      </w:r>
    </w:p>
    <w:p w14:paraId="66640ADC" w14:textId="77777777" w:rsidR="001C544B" w:rsidRPr="0028514E" w:rsidRDefault="001C544B" w:rsidP="006E5F9A">
      <w:pPr>
        <w:pStyle w:val="a4"/>
        <w:ind w:left="0"/>
      </w:pPr>
    </w:p>
    <w:p w14:paraId="27018B5D" w14:textId="77777777" w:rsidR="003B7027" w:rsidRPr="00CA43F5" w:rsidRDefault="00296A74" w:rsidP="006E5F9A">
      <w:pPr>
        <w:rPr>
          <w:i/>
          <w:lang w:val="fi-FI"/>
        </w:rPr>
      </w:pPr>
      <w:r w:rsidRPr="00CA43F5">
        <w:rPr>
          <w:i/>
          <w:lang w:val="fi-FI"/>
        </w:rPr>
        <w:t>Hemoglobiiniarvot</w:t>
      </w:r>
    </w:p>
    <w:p w14:paraId="014C48C7" w14:textId="0D03453B" w:rsidR="003B7027" w:rsidRPr="0028514E" w:rsidRDefault="000C4216" w:rsidP="006E5F9A">
      <w:pPr>
        <w:pStyle w:val="a4"/>
        <w:ind w:left="0"/>
      </w:pPr>
      <w:r>
        <w:t>Tosilitsumabi</w:t>
      </w:r>
      <w:r w:rsidR="00296A74" w:rsidRPr="0028514E">
        <w:t>hoitoa saaneiden potilaiden hemoglobiiniarvot olivat parantuneet tilastollisesti merkitsevästi viikolla 24 verrattuna DMARDeja saaneiden potilaiden arvoihin (p &lt; 0.0001). Hemoglobiiniarvojen keskiarvot nousivat viikkoon kaksi mennessä ja pysyivät normaalialueella viikkoon 24 asti.</w:t>
      </w:r>
    </w:p>
    <w:p w14:paraId="6690B389" w14:textId="77777777" w:rsidR="001C544B" w:rsidRPr="0028514E" w:rsidRDefault="001C544B" w:rsidP="006E5F9A">
      <w:pPr>
        <w:pStyle w:val="a4"/>
        <w:ind w:left="0"/>
      </w:pPr>
    </w:p>
    <w:p w14:paraId="58448648" w14:textId="77777777" w:rsidR="003B7027" w:rsidRPr="00CA43F5" w:rsidRDefault="00296A74" w:rsidP="006E5F9A">
      <w:pPr>
        <w:keepNext/>
        <w:rPr>
          <w:i/>
          <w:lang w:val="fi-FI"/>
        </w:rPr>
      </w:pPr>
      <w:r w:rsidRPr="00CA43F5">
        <w:rPr>
          <w:i/>
          <w:lang w:val="fi-FI"/>
        </w:rPr>
        <w:t>Tosilitsumabin vertailu adalimumabiin monoterapiassa</w:t>
      </w:r>
    </w:p>
    <w:p w14:paraId="0BF28038" w14:textId="44C9846D" w:rsidR="003B7027" w:rsidRPr="0028514E" w:rsidRDefault="00296A74" w:rsidP="006E5F9A">
      <w:pPr>
        <w:pStyle w:val="a4"/>
        <w:ind w:left="0"/>
      </w:pPr>
      <w:r w:rsidRPr="0028514E">
        <w:t xml:space="preserve">Tutkimuksessa VI (WA19924), joka oli 24 viikon pituinen kaksoissokkoutettu </w:t>
      </w:r>
      <w:r w:rsidR="000C4216">
        <w:t>tosilitsumabi</w:t>
      </w:r>
      <w:r w:rsidRPr="0028514E">
        <w:t xml:space="preserve">monoterapiaa ja adalimumabimonoterapiaa vertaileva tutkimus, oli mukana 326 nivelreumapotilasta, jotka eivät sietäneet MTX-hoitoa tai joille MTX-hoidon jatkamista ei katsottu tarkoituksenmukaiseksi (mukaan lukien potilaat, jotka eivät saaneet riittävää vastetta MTX-hoitoon). </w:t>
      </w:r>
      <w:r w:rsidR="000C4216">
        <w:t>Tosilitsumabi</w:t>
      </w:r>
      <w:r w:rsidRPr="0028514E">
        <w:t xml:space="preserve">ryhmän potilaat saivat </w:t>
      </w:r>
      <w:r w:rsidR="000C4216">
        <w:t xml:space="preserve">tosilitsumabia </w:t>
      </w:r>
      <w:r w:rsidRPr="0028514E">
        <w:t>(8 mg/kg) infuusiona laskimoon (i.v.) neljän viikon välein ja lumevalmistetta ihon alle (s.c.) kahden viikon välein. Adalimumabiryhmän potilaat saivat adalimumabia (40 mg) injektiona ihon alle kahden viikon välein sekä lumevalmistetta infuusiona laskimoon neljän viikon välein.</w:t>
      </w:r>
      <w:r w:rsidR="000C4216">
        <w:t xml:space="preserve"> Tosilitsumabi</w:t>
      </w:r>
      <w:r w:rsidRPr="0028514E">
        <w:t>hoidon osoitettiin olevan adalimumabia tilastollisesti merkitsevästi tehokkaampi tautiaktiivisuuden hallinnassa sekä ensisijaisen päätetapahtuman osalta (DAS28-indeksin muutos lähtötilanteesta viikolle 24) että kaikkien toissijaisten päätetapahtumien osalta (taulukko 7).</w:t>
      </w:r>
    </w:p>
    <w:p w14:paraId="712D8F33" w14:textId="77777777" w:rsidR="003B7027" w:rsidRPr="0028514E" w:rsidRDefault="003B7027" w:rsidP="006E5F9A">
      <w:pPr>
        <w:pStyle w:val="a4"/>
        <w:ind w:left="0"/>
      </w:pPr>
    </w:p>
    <w:p w14:paraId="7BDB93D4" w14:textId="77777777" w:rsidR="003B7027" w:rsidRPr="00CA43F5" w:rsidRDefault="00296A74" w:rsidP="004F5142">
      <w:pPr>
        <w:pStyle w:val="Tabletitle"/>
        <w:rPr>
          <w:lang w:val="fi-FI"/>
        </w:rPr>
      </w:pPr>
      <w:r w:rsidRPr="00CA43F5">
        <w:rPr>
          <w:lang w:val="fi-FI"/>
        </w:rPr>
        <w:t>Taulukko 7.</w:t>
      </w:r>
      <w:r w:rsidR="001C544B" w:rsidRPr="00CA43F5">
        <w:rPr>
          <w:lang w:val="fi-FI"/>
        </w:rPr>
        <w:tab/>
      </w:r>
      <w:r w:rsidRPr="00CA43F5">
        <w:rPr>
          <w:lang w:val="fi-FI"/>
        </w:rPr>
        <w:t>Tutkimuksen VI (WA19924) tehon tulokset</w:t>
      </w:r>
    </w:p>
    <w:p w14:paraId="31C33968" w14:textId="77777777" w:rsidR="001C544B" w:rsidRPr="00CA43F5" w:rsidRDefault="001C544B" w:rsidP="004F5142">
      <w:pPr>
        <w:rPr>
          <w:lang w:val="fi-FI"/>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3573"/>
        <w:gridCol w:w="6"/>
        <w:gridCol w:w="1661"/>
        <w:gridCol w:w="1843"/>
        <w:gridCol w:w="1417"/>
      </w:tblGrid>
      <w:tr w:rsidR="003B2F4E" w:rsidRPr="00777B93" w14:paraId="248DA57E" w14:textId="77777777" w:rsidTr="00EC0612">
        <w:trPr>
          <w:cantSplit/>
          <w:tblHeader/>
        </w:trPr>
        <w:tc>
          <w:tcPr>
            <w:tcW w:w="3573" w:type="dxa"/>
          </w:tcPr>
          <w:p w14:paraId="297E1B55" w14:textId="77777777" w:rsidR="003B2F4E" w:rsidRPr="0028514E" w:rsidRDefault="003B2F4E" w:rsidP="006E5F9A">
            <w:pPr>
              <w:pStyle w:val="TableParagraph"/>
              <w:suppressAutoHyphens/>
              <w:rPr>
                <w:b/>
                <w:sz w:val="20"/>
                <w:szCs w:val="20"/>
              </w:rPr>
            </w:pPr>
          </w:p>
        </w:tc>
        <w:tc>
          <w:tcPr>
            <w:tcW w:w="1667" w:type="dxa"/>
            <w:gridSpan w:val="2"/>
          </w:tcPr>
          <w:p w14:paraId="65EB4978" w14:textId="77777777" w:rsidR="006C42DC" w:rsidRDefault="003B2F4E" w:rsidP="006E5F9A">
            <w:pPr>
              <w:pStyle w:val="TableParagraph"/>
              <w:suppressAutoHyphens/>
              <w:jc w:val="center"/>
              <w:rPr>
                <w:b/>
                <w:sz w:val="20"/>
                <w:szCs w:val="20"/>
              </w:rPr>
            </w:pPr>
            <w:r w:rsidRPr="0028514E">
              <w:rPr>
                <w:b/>
                <w:sz w:val="20"/>
                <w:szCs w:val="20"/>
              </w:rPr>
              <w:t>ADA + lume</w:t>
            </w:r>
          </w:p>
          <w:p w14:paraId="0E6E6646" w14:textId="77777777" w:rsidR="006C42DC" w:rsidRDefault="003B2F4E" w:rsidP="006E5F9A">
            <w:pPr>
              <w:pStyle w:val="TableParagraph"/>
              <w:suppressAutoHyphens/>
              <w:jc w:val="center"/>
              <w:rPr>
                <w:b/>
                <w:sz w:val="20"/>
                <w:szCs w:val="20"/>
              </w:rPr>
            </w:pPr>
            <w:r w:rsidRPr="0028514E">
              <w:rPr>
                <w:b/>
                <w:sz w:val="20"/>
                <w:szCs w:val="20"/>
              </w:rPr>
              <w:t xml:space="preserve">(i.v.) </w:t>
            </w:r>
          </w:p>
          <w:p w14:paraId="3C565190" w14:textId="77777777" w:rsidR="003B2F4E" w:rsidRPr="0028514E" w:rsidRDefault="003B2F4E" w:rsidP="006E5F9A">
            <w:pPr>
              <w:pStyle w:val="TableParagraph"/>
              <w:suppressAutoHyphens/>
              <w:jc w:val="center"/>
              <w:rPr>
                <w:b/>
                <w:sz w:val="20"/>
                <w:szCs w:val="20"/>
              </w:rPr>
            </w:pPr>
            <w:r w:rsidRPr="0028514E">
              <w:rPr>
                <w:b/>
                <w:sz w:val="20"/>
                <w:szCs w:val="20"/>
              </w:rPr>
              <w:t>N = 162</w:t>
            </w:r>
          </w:p>
        </w:tc>
        <w:tc>
          <w:tcPr>
            <w:tcW w:w="1843" w:type="dxa"/>
          </w:tcPr>
          <w:p w14:paraId="5683DBC0" w14:textId="77777777" w:rsidR="006C42DC" w:rsidRDefault="003B2F4E" w:rsidP="006E5F9A">
            <w:pPr>
              <w:pStyle w:val="TableParagraph"/>
              <w:suppressAutoHyphens/>
              <w:jc w:val="center"/>
              <w:rPr>
                <w:b/>
                <w:sz w:val="20"/>
                <w:szCs w:val="20"/>
              </w:rPr>
            </w:pPr>
            <w:r w:rsidRPr="0028514E">
              <w:rPr>
                <w:b/>
                <w:sz w:val="20"/>
                <w:szCs w:val="20"/>
              </w:rPr>
              <w:t xml:space="preserve">TCZ + lume </w:t>
            </w:r>
          </w:p>
          <w:p w14:paraId="1B9237CF" w14:textId="77777777" w:rsidR="006C42DC" w:rsidRDefault="003B2F4E" w:rsidP="006E5F9A">
            <w:pPr>
              <w:pStyle w:val="TableParagraph"/>
              <w:suppressAutoHyphens/>
              <w:jc w:val="center"/>
              <w:rPr>
                <w:b/>
                <w:sz w:val="20"/>
                <w:szCs w:val="20"/>
              </w:rPr>
            </w:pPr>
            <w:r w:rsidRPr="0028514E">
              <w:rPr>
                <w:b/>
                <w:sz w:val="20"/>
                <w:szCs w:val="20"/>
              </w:rPr>
              <w:t xml:space="preserve">(s.c.) </w:t>
            </w:r>
          </w:p>
          <w:p w14:paraId="5373B89F" w14:textId="77777777" w:rsidR="003B2F4E" w:rsidRPr="0028514E" w:rsidRDefault="003B2F4E" w:rsidP="006E5F9A">
            <w:pPr>
              <w:pStyle w:val="TableParagraph"/>
              <w:suppressAutoHyphens/>
              <w:jc w:val="center"/>
              <w:rPr>
                <w:b/>
                <w:sz w:val="20"/>
                <w:szCs w:val="20"/>
              </w:rPr>
            </w:pPr>
            <w:r w:rsidRPr="0028514E">
              <w:rPr>
                <w:b/>
                <w:sz w:val="20"/>
                <w:szCs w:val="20"/>
              </w:rPr>
              <w:t>N = 163</w:t>
            </w:r>
          </w:p>
        </w:tc>
        <w:tc>
          <w:tcPr>
            <w:tcW w:w="1417" w:type="dxa"/>
            <w:vAlign w:val="bottom"/>
          </w:tcPr>
          <w:p w14:paraId="197E7CFD" w14:textId="77777777" w:rsidR="003B2F4E" w:rsidRPr="0028514E" w:rsidRDefault="003B2F4E" w:rsidP="006E5F9A">
            <w:pPr>
              <w:pStyle w:val="TableParagraph"/>
              <w:suppressAutoHyphens/>
              <w:jc w:val="center"/>
              <w:rPr>
                <w:b/>
                <w:bCs/>
                <w:sz w:val="20"/>
                <w:szCs w:val="20"/>
              </w:rPr>
            </w:pPr>
            <w:r w:rsidRPr="0028514E">
              <w:rPr>
                <w:b/>
                <w:bCs/>
                <w:sz w:val="20"/>
                <w:szCs w:val="20"/>
              </w:rPr>
              <w:t>p-arvo</w:t>
            </w:r>
            <w:r w:rsidRPr="0028514E">
              <w:rPr>
                <w:b/>
                <w:bCs/>
                <w:sz w:val="20"/>
                <w:szCs w:val="20"/>
                <w:vertAlign w:val="superscript"/>
              </w:rPr>
              <w:t>(a)</w:t>
            </w:r>
          </w:p>
        </w:tc>
      </w:tr>
      <w:tr w:rsidR="003B7027" w:rsidRPr="00ED6BAC" w14:paraId="08AC204B" w14:textId="77777777" w:rsidTr="00EC0612">
        <w:trPr>
          <w:cantSplit/>
        </w:trPr>
        <w:tc>
          <w:tcPr>
            <w:tcW w:w="8500" w:type="dxa"/>
            <w:gridSpan w:val="5"/>
          </w:tcPr>
          <w:p w14:paraId="6912935C" w14:textId="77777777" w:rsidR="003B7027" w:rsidRPr="0028514E" w:rsidRDefault="00296A74" w:rsidP="006E5F9A">
            <w:pPr>
              <w:pStyle w:val="TableParagraph"/>
              <w:suppressAutoHyphens/>
              <w:rPr>
                <w:b/>
                <w:sz w:val="20"/>
                <w:szCs w:val="20"/>
              </w:rPr>
            </w:pPr>
            <w:r w:rsidRPr="0028514E">
              <w:rPr>
                <w:b/>
                <w:sz w:val="20"/>
                <w:szCs w:val="20"/>
              </w:rPr>
              <w:t>Ensisijainen päätetapahtuma: keskimuutos lähtötilanteesta viikkoon 24</w:t>
            </w:r>
          </w:p>
        </w:tc>
      </w:tr>
      <w:tr w:rsidR="003B7027" w:rsidRPr="00777B93" w14:paraId="5E257F86" w14:textId="77777777" w:rsidTr="00EC0612">
        <w:trPr>
          <w:cantSplit/>
        </w:trPr>
        <w:tc>
          <w:tcPr>
            <w:tcW w:w="3579" w:type="dxa"/>
            <w:gridSpan w:val="2"/>
          </w:tcPr>
          <w:p w14:paraId="4E5F97FD" w14:textId="77777777" w:rsidR="003B7027" w:rsidRPr="0028514E" w:rsidRDefault="00296A74" w:rsidP="006E5F9A">
            <w:pPr>
              <w:pStyle w:val="TableParagraph"/>
              <w:suppressAutoHyphens/>
              <w:jc w:val="right"/>
              <w:rPr>
                <w:bCs/>
                <w:sz w:val="20"/>
                <w:szCs w:val="20"/>
              </w:rPr>
            </w:pPr>
            <w:r w:rsidRPr="0028514E">
              <w:rPr>
                <w:bCs/>
                <w:sz w:val="20"/>
                <w:szCs w:val="20"/>
              </w:rPr>
              <w:t>DAS28 (korjattu keskiarvo)</w:t>
            </w:r>
          </w:p>
        </w:tc>
        <w:tc>
          <w:tcPr>
            <w:tcW w:w="1661" w:type="dxa"/>
          </w:tcPr>
          <w:p w14:paraId="4456AE56" w14:textId="77777777" w:rsidR="003B7027" w:rsidRPr="0028514E" w:rsidRDefault="00296A74" w:rsidP="006E5F9A">
            <w:pPr>
              <w:pStyle w:val="TableParagraph"/>
              <w:suppressAutoHyphens/>
              <w:jc w:val="center"/>
              <w:rPr>
                <w:bCs/>
                <w:sz w:val="20"/>
                <w:szCs w:val="20"/>
              </w:rPr>
            </w:pPr>
            <w:r w:rsidRPr="0028514E">
              <w:rPr>
                <w:bCs/>
                <w:sz w:val="20"/>
                <w:szCs w:val="20"/>
              </w:rPr>
              <w:t>-1,8</w:t>
            </w:r>
          </w:p>
        </w:tc>
        <w:tc>
          <w:tcPr>
            <w:tcW w:w="1843" w:type="dxa"/>
          </w:tcPr>
          <w:p w14:paraId="4C6AE286" w14:textId="77777777" w:rsidR="003B7027" w:rsidRPr="0028514E" w:rsidRDefault="00296A74" w:rsidP="006E5F9A">
            <w:pPr>
              <w:pStyle w:val="TableParagraph"/>
              <w:suppressAutoHyphens/>
              <w:jc w:val="center"/>
              <w:rPr>
                <w:bCs/>
                <w:sz w:val="20"/>
                <w:szCs w:val="20"/>
              </w:rPr>
            </w:pPr>
            <w:r w:rsidRPr="0028514E">
              <w:rPr>
                <w:bCs/>
                <w:sz w:val="20"/>
                <w:szCs w:val="20"/>
              </w:rPr>
              <w:t>-3,3</w:t>
            </w:r>
          </w:p>
        </w:tc>
        <w:tc>
          <w:tcPr>
            <w:tcW w:w="1417" w:type="dxa"/>
          </w:tcPr>
          <w:p w14:paraId="3B80FAE2" w14:textId="77777777" w:rsidR="003B7027" w:rsidRPr="0028514E" w:rsidRDefault="003B7027" w:rsidP="006E5F9A">
            <w:pPr>
              <w:pStyle w:val="TableParagraph"/>
              <w:suppressAutoHyphens/>
              <w:rPr>
                <w:bCs/>
                <w:sz w:val="20"/>
                <w:szCs w:val="20"/>
              </w:rPr>
            </w:pPr>
          </w:p>
        </w:tc>
      </w:tr>
      <w:tr w:rsidR="003B7027" w:rsidRPr="00777B93" w14:paraId="4CC4F329" w14:textId="77777777" w:rsidTr="00EC0612">
        <w:trPr>
          <w:cantSplit/>
        </w:trPr>
        <w:tc>
          <w:tcPr>
            <w:tcW w:w="3579" w:type="dxa"/>
            <w:gridSpan w:val="2"/>
          </w:tcPr>
          <w:p w14:paraId="5F9A2633" w14:textId="77777777" w:rsidR="003B7027" w:rsidRPr="0028514E" w:rsidRDefault="00296A74" w:rsidP="006E5F9A">
            <w:pPr>
              <w:pStyle w:val="TableParagraph"/>
              <w:suppressAutoHyphens/>
              <w:jc w:val="right"/>
              <w:rPr>
                <w:bCs/>
                <w:sz w:val="20"/>
                <w:szCs w:val="20"/>
              </w:rPr>
            </w:pPr>
            <w:r w:rsidRPr="0028514E">
              <w:rPr>
                <w:bCs/>
                <w:sz w:val="20"/>
                <w:szCs w:val="20"/>
              </w:rPr>
              <w:t>Korjatun keskiarvon ero (95 %:n</w:t>
            </w:r>
            <w:r w:rsidR="00873146" w:rsidRPr="0028514E">
              <w:rPr>
                <w:bCs/>
                <w:sz w:val="20"/>
                <w:szCs w:val="20"/>
              </w:rPr>
              <w:t xml:space="preserve"> </w:t>
            </w:r>
            <w:r w:rsidRPr="0028514E">
              <w:rPr>
                <w:bCs/>
                <w:sz w:val="20"/>
                <w:szCs w:val="20"/>
              </w:rPr>
              <w:t>luottamusväli)</w:t>
            </w:r>
          </w:p>
        </w:tc>
        <w:tc>
          <w:tcPr>
            <w:tcW w:w="3504" w:type="dxa"/>
            <w:gridSpan w:val="2"/>
            <w:vAlign w:val="center"/>
          </w:tcPr>
          <w:p w14:paraId="37B8494C" w14:textId="77777777" w:rsidR="003B7027" w:rsidRPr="0028514E" w:rsidRDefault="00296A74" w:rsidP="006E5F9A">
            <w:pPr>
              <w:pStyle w:val="TableParagraph"/>
              <w:suppressAutoHyphens/>
              <w:jc w:val="center"/>
              <w:rPr>
                <w:bCs/>
                <w:sz w:val="20"/>
                <w:szCs w:val="20"/>
              </w:rPr>
            </w:pPr>
            <w:r w:rsidRPr="0028514E">
              <w:rPr>
                <w:bCs/>
                <w:sz w:val="20"/>
                <w:szCs w:val="20"/>
              </w:rPr>
              <w:t>-1,5 (-1,8, -1,1)</w:t>
            </w:r>
          </w:p>
        </w:tc>
        <w:tc>
          <w:tcPr>
            <w:tcW w:w="1417" w:type="dxa"/>
            <w:vAlign w:val="center"/>
          </w:tcPr>
          <w:p w14:paraId="33E0A920" w14:textId="77777777" w:rsidR="003B7027" w:rsidRPr="0028514E" w:rsidRDefault="00296A74" w:rsidP="006E5F9A">
            <w:pPr>
              <w:pStyle w:val="TableParagraph"/>
              <w:suppressAutoHyphens/>
              <w:jc w:val="center"/>
              <w:rPr>
                <w:bCs/>
                <w:sz w:val="20"/>
                <w:szCs w:val="20"/>
              </w:rPr>
            </w:pPr>
            <w:r w:rsidRPr="0028514E">
              <w:rPr>
                <w:bCs/>
                <w:sz w:val="20"/>
                <w:szCs w:val="20"/>
              </w:rPr>
              <w:t>&lt; 0,0001</w:t>
            </w:r>
          </w:p>
        </w:tc>
      </w:tr>
      <w:tr w:rsidR="003B7027" w:rsidRPr="00ED6BAC" w14:paraId="3F81FB50" w14:textId="77777777" w:rsidTr="00EC0612">
        <w:trPr>
          <w:cantSplit/>
        </w:trPr>
        <w:tc>
          <w:tcPr>
            <w:tcW w:w="8500" w:type="dxa"/>
            <w:gridSpan w:val="5"/>
          </w:tcPr>
          <w:p w14:paraId="3AB15120" w14:textId="77777777" w:rsidR="003B7027" w:rsidRPr="0028514E" w:rsidRDefault="00296A74" w:rsidP="006E5F9A">
            <w:pPr>
              <w:pStyle w:val="TableParagraph"/>
              <w:suppressAutoHyphens/>
              <w:rPr>
                <w:b/>
                <w:sz w:val="20"/>
                <w:szCs w:val="20"/>
              </w:rPr>
            </w:pPr>
            <w:r w:rsidRPr="0028514E">
              <w:rPr>
                <w:b/>
                <w:sz w:val="20"/>
                <w:szCs w:val="20"/>
              </w:rPr>
              <w:t xml:space="preserve">Toissijaiset päätetapahtumat: vasteen saaneiden prosenttiosuus viikolla 24 </w:t>
            </w:r>
            <w:r w:rsidRPr="0028514E">
              <w:rPr>
                <w:b/>
                <w:sz w:val="20"/>
                <w:szCs w:val="20"/>
                <w:vertAlign w:val="superscript"/>
              </w:rPr>
              <w:t>(b)</w:t>
            </w:r>
          </w:p>
        </w:tc>
      </w:tr>
      <w:tr w:rsidR="003B7027" w:rsidRPr="00777B93" w14:paraId="0EC9AF17" w14:textId="77777777" w:rsidTr="00EC0612">
        <w:trPr>
          <w:cantSplit/>
        </w:trPr>
        <w:tc>
          <w:tcPr>
            <w:tcW w:w="3579" w:type="dxa"/>
            <w:gridSpan w:val="2"/>
          </w:tcPr>
          <w:p w14:paraId="7892F8DC" w14:textId="77777777" w:rsidR="003B7027" w:rsidRPr="0028514E" w:rsidRDefault="00296A74" w:rsidP="006E5F9A">
            <w:pPr>
              <w:pStyle w:val="TableParagraph"/>
              <w:suppressAutoHyphens/>
              <w:jc w:val="right"/>
              <w:rPr>
                <w:sz w:val="20"/>
                <w:szCs w:val="20"/>
              </w:rPr>
            </w:pPr>
            <w:r w:rsidRPr="0028514E">
              <w:rPr>
                <w:sz w:val="20"/>
                <w:szCs w:val="20"/>
              </w:rPr>
              <w:t>DAS28 &lt; 2,6, n (%)</w:t>
            </w:r>
          </w:p>
        </w:tc>
        <w:tc>
          <w:tcPr>
            <w:tcW w:w="1661" w:type="dxa"/>
          </w:tcPr>
          <w:p w14:paraId="39621718" w14:textId="77777777" w:rsidR="003B7027" w:rsidRPr="0028514E" w:rsidRDefault="00296A74" w:rsidP="006E5F9A">
            <w:pPr>
              <w:pStyle w:val="TableParagraph"/>
              <w:suppressAutoHyphens/>
              <w:jc w:val="center"/>
              <w:rPr>
                <w:sz w:val="20"/>
                <w:szCs w:val="20"/>
              </w:rPr>
            </w:pPr>
            <w:r w:rsidRPr="0028514E">
              <w:rPr>
                <w:sz w:val="20"/>
                <w:szCs w:val="20"/>
              </w:rPr>
              <w:t>17 (10,5)</w:t>
            </w:r>
          </w:p>
        </w:tc>
        <w:tc>
          <w:tcPr>
            <w:tcW w:w="1843" w:type="dxa"/>
          </w:tcPr>
          <w:p w14:paraId="031CC146" w14:textId="77777777" w:rsidR="003B7027" w:rsidRPr="0028514E" w:rsidRDefault="00296A74" w:rsidP="006E5F9A">
            <w:pPr>
              <w:pStyle w:val="TableParagraph"/>
              <w:suppressAutoHyphens/>
              <w:jc w:val="center"/>
              <w:rPr>
                <w:sz w:val="20"/>
                <w:szCs w:val="20"/>
              </w:rPr>
            </w:pPr>
            <w:r w:rsidRPr="0028514E">
              <w:rPr>
                <w:sz w:val="20"/>
                <w:szCs w:val="20"/>
              </w:rPr>
              <w:t>65 (39,9)</w:t>
            </w:r>
          </w:p>
        </w:tc>
        <w:tc>
          <w:tcPr>
            <w:tcW w:w="1417" w:type="dxa"/>
          </w:tcPr>
          <w:p w14:paraId="012F4DD6" w14:textId="77777777" w:rsidR="003B7027" w:rsidRPr="0028514E" w:rsidRDefault="00296A74" w:rsidP="006E5F9A">
            <w:pPr>
              <w:pStyle w:val="TableParagraph"/>
              <w:suppressAutoHyphens/>
              <w:jc w:val="center"/>
              <w:rPr>
                <w:sz w:val="20"/>
                <w:szCs w:val="20"/>
              </w:rPr>
            </w:pPr>
            <w:r w:rsidRPr="0028514E">
              <w:rPr>
                <w:sz w:val="20"/>
                <w:szCs w:val="20"/>
              </w:rPr>
              <w:t>&lt; 0,0001</w:t>
            </w:r>
          </w:p>
        </w:tc>
      </w:tr>
      <w:tr w:rsidR="003B7027" w:rsidRPr="00777B93" w14:paraId="232DE4EE" w14:textId="77777777" w:rsidTr="00EC0612">
        <w:trPr>
          <w:cantSplit/>
        </w:trPr>
        <w:tc>
          <w:tcPr>
            <w:tcW w:w="3579" w:type="dxa"/>
            <w:gridSpan w:val="2"/>
          </w:tcPr>
          <w:p w14:paraId="6A4EAD22" w14:textId="77777777" w:rsidR="003B7027" w:rsidRPr="0028514E" w:rsidRDefault="00296A74" w:rsidP="006E5F9A">
            <w:pPr>
              <w:pStyle w:val="TableParagraph"/>
              <w:suppressAutoHyphens/>
              <w:jc w:val="right"/>
              <w:rPr>
                <w:sz w:val="20"/>
                <w:szCs w:val="20"/>
              </w:rPr>
            </w:pPr>
            <w:r w:rsidRPr="0028514E">
              <w:rPr>
                <w:sz w:val="20"/>
                <w:szCs w:val="20"/>
              </w:rPr>
              <w:t>DAS28 ≤ 3,2, n (%)</w:t>
            </w:r>
          </w:p>
        </w:tc>
        <w:tc>
          <w:tcPr>
            <w:tcW w:w="1661" w:type="dxa"/>
          </w:tcPr>
          <w:p w14:paraId="6754EFBC" w14:textId="77777777" w:rsidR="003B7027" w:rsidRPr="0028514E" w:rsidRDefault="00296A74" w:rsidP="006E5F9A">
            <w:pPr>
              <w:pStyle w:val="TableParagraph"/>
              <w:suppressAutoHyphens/>
              <w:jc w:val="center"/>
              <w:rPr>
                <w:sz w:val="20"/>
                <w:szCs w:val="20"/>
              </w:rPr>
            </w:pPr>
            <w:r w:rsidRPr="0028514E">
              <w:rPr>
                <w:sz w:val="20"/>
                <w:szCs w:val="20"/>
              </w:rPr>
              <w:t>32 (19,8)</w:t>
            </w:r>
          </w:p>
        </w:tc>
        <w:tc>
          <w:tcPr>
            <w:tcW w:w="1843" w:type="dxa"/>
          </w:tcPr>
          <w:p w14:paraId="407DF16A" w14:textId="77777777" w:rsidR="003B7027" w:rsidRPr="0028514E" w:rsidRDefault="00296A74" w:rsidP="006E5F9A">
            <w:pPr>
              <w:pStyle w:val="TableParagraph"/>
              <w:suppressAutoHyphens/>
              <w:jc w:val="center"/>
              <w:rPr>
                <w:sz w:val="20"/>
                <w:szCs w:val="20"/>
              </w:rPr>
            </w:pPr>
            <w:r w:rsidRPr="0028514E">
              <w:rPr>
                <w:sz w:val="20"/>
                <w:szCs w:val="20"/>
              </w:rPr>
              <w:t>84 (51,5)</w:t>
            </w:r>
          </w:p>
        </w:tc>
        <w:tc>
          <w:tcPr>
            <w:tcW w:w="1417" w:type="dxa"/>
          </w:tcPr>
          <w:p w14:paraId="3AA33B7C" w14:textId="77777777" w:rsidR="003B7027" w:rsidRPr="0028514E" w:rsidRDefault="00296A74" w:rsidP="006E5F9A">
            <w:pPr>
              <w:pStyle w:val="TableParagraph"/>
              <w:suppressAutoHyphens/>
              <w:jc w:val="center"/>
              <w:rPr>
                <w:sz w:val="20"/>
                <w:szCs w:val="20"/>
              </w:rPr>
            </w:pPr>
            <w:r w:rsidRPr="0028514E">
              <w:rPr>
                <w:sz w:val="20"/>
                <w:szCs w:val="20"/>
              </w:rPr>
              <w:t>&lt; 0,0001</w:t>
            </w:r>
          </w:p>
        </w:tc>
      </w:tr>
      <w:tr w:rsidR="003B7027" w:rsidRPr="00777B93" w14:paraId="269BA55D" w14:textId="77777777" w:rsidTr="00EC0612">
        <w:trPr>
          <w:cantSplit/>
        </w:trPr>
        <w:tc>
          <w:tcPr>
            <w:tcW w:w="3579" w:type="dxa"/>
            <w:gridSpan w:val="2"/>
          </w:tcPr>
          <w:p w14:paraId="32B452FB" w14:textId="77777777" w:rsidR="003B7027" w:rsidRPr="0028514E" w:rsidRDefault="00296A74" w:rsidP="006E5F9A">
            <w:pPr>
              <w:pStyle w:val="TableParagraph"/>
              <w:suppressAutoHyphens/>
              <w:jc w:val="right"/>
              <w:rPr>
                <w:sz w:val="20"/>
                <w:szCs w:val="20"/>
              </w:rPr>
            </w:pPr>
            <w:r w:rsidRPr="0028514E">
              <w:rPr>
                <w:sz w:val="20"/>
                <w:szCs w:val="20"/>
              </w:rPr>
              <w:t>ACR20-vaste, n (%)</w:t>
            </w:r>
          </w:p>
        </w:tc>
        <w:tc>
          <w:tcPr>
            <w:tcW w:w="1661" w:type="dxa"/>
          </w:tcPr>
          <w:p w14:paraId="4AE03CD4" w14:textId="77777777" w:rsidR="003B7027" w:rsidRPr="0028514E" w:rsidRDefault="00296A74" w:rsidP="006E5F9A">
            <w:pPr>
              <w:pStyle w:val="TableParagraph"/>
              <w:suppressAutoHyphens/>
              <w:jc w:val="center"/>
              <w:rPr>
                <w:sz w:val="20"/>
                <w:szCs w:val="20"/>
              </w:rPr>
            </w:pPr>
            <w:r w:rsidRPr="0028514E">
              <w:rPr>
                <w:sz w:val="20"/>
                <w:szCs w:val="20"/>
              </w:rPr>
              <w:t>80 (49,4)</w:t>
            </w:r>
          </w:p>
        </w:tc>
        <w:tc>
          <w:tcPr>
            <w:tcW w:w="1843" w:type="dxa"/>
          </w:tcPr>
          <w:p w14:paraId="178A5C19" w14:textId="77777777" w:rsidR="003B7027" w:rsidRPr="0028514E" w:rsidRDefault="00296A74" w:rsidP="006E5F9A">
            <w:pPr>
              <w:pStyle w:val="TableParagraph"/>
              <w:suppressAutoHyphens/>
              <w:jc w:val="center"/>
              <w:rPr>
                <w:sz w:val="20"/>
                <w:szCs w:val="20"/>
              </w:rPr>
            </w:pPr>
            <w:r w:rsidRPr="0028514E">
              <w:rPr>
                <w:sz w:val="20"/>
                <w:szCs w:val="20"/>
              </w:rPr>
              <w:t>106 (65,0)</w:t>
            </w:r>
          </w:p>
        </w:tc>
        <w:tc>
          <w:tcPr>
            <w:tcW w:w="1417" w:type="dxa"/>
          </w:tcPr>
          <w:p w14:paraId="31FBDEB5" w14:textId="77777777" w:rsidR="003B7027" w:rsidRPr="0028514E" w:rsidRDefault="00296A74" w:rsidP="006E5F9A">
            <w:pPr>
              <w:pStyle w:val="TableParagraph"/>
              <w:suppressAutoHyphens/>
              <w:jc w:val="center"/>
              <w:rPr>
                <w:sz w:val="20"/>
                <w:szCs w:val="20"/>
              </w:rPr>
            </w:pPr>
            <w:r w:rsidRPr="0028514E">
              <w:rPr>
                <w:sz w:val="20"/>
                <w:szCs w:val="20"/>
              </w:rPr>
              <w:t>0,0038</w:t>
            </w:r>
          </w:p>
        </w:tc>
      </w:tr>
      <w:tr w:rsidR="003B7027" w:rsidRPr="00777B93" w14:paraId="3CB47485" w14:textId="77777777" w:rsidTr="00EC0612">
        <w:trPr>
          <w:cantSplit/>
        </w:trPr>
        <w:tc>
          <w:tcPr>
            <w:tcW w:w="3579" w:type="dxa"/>
            <w:gridSpan w:val="2"/>
          </w:tcPr>
          <w:p w14:paraId="3C23B1EF" w14:textId="77777777" w:rsidR="003B7027" w:rsidRPr="0028514E" w:rsidRDefault="00296A74" w:rsidP="006E5F9A">
            <w:pPr>
              <w:pStyle w:val="TableParagraph"/>
              <w:suppressAutoHyphens/>
              <w:jc w:val="right"/>
              <w:rPr>
                <w:sz w:val="20"/>
                <w:szCs w:val="20"/>
              </w:rPr>
            </w:pPr>
            <w:r w:rsidRPr="0028514E">
              <w:rPr>
                <w:sz w:val="20"/>
                <w:szCs w:val="20"/>
              </w:rPr>
              <w:t>ACR50-vaste, n (%)</w:t>
            </w:r>
          </w:p>
        </w:tc>
        <w:tc>
          <w:tcPr>
            <w:tcW w:w="1661" w:type="dxa"/>
          </w:tcPr>
          <w:p w14:paraId="406DECCD" w14:textId="77777777" w:rsidR="003B7027" w:rsidRPr="0028514E" w:rsidRDefault="00296A74" w:rsidP="006E5F9A">
            <w:pPr>
              <w:pStyle w:val="TableParagraph"/>
              <w:suppressAutoHyphens/>
              <w:jc w:val="center"/>
              <w:rPr>
                <w:sz w:val="20"/>
                <w:szCs w:val="20"/>
              </w:rPr>
            </w:pPr>
            <w:r w:rsidRPr="0028514E">
              <w:rPr>
                <w:sz w:val="20"/>
                <w:szCs w:val="20"/>
              </w:rPr>
              <w:t>45 (27,8)</w:t>
            </w:r>
          </w:p>
        </w:tc>
        <w:tc>
          <w:tcPr>
            <w:tcW w:w="1843" w:type="dxa"/>
          </w:tcPr>
          <w:p w14:paraId="5422392E" w14:textId="77777777" w:rsidR="003B7027" w:rsidRPr="0028514E" w:rsidRDefault="00296A74" w:rsidP="006E5F9A">
            <w:pPr>
              <w:pStyle w:val="TableParagraph"/>
              <w:suppressAutoHyphens/>
              <w:jc w:val="center"/>
              <w:rPr>
                <w:sz w:val="20"/>
                <w:szCs w:val="20"/>
              </w:rPr>
            </w:pPr>
            <w:r w:rsidRPr="0028514E">
              <w:rPr>
                <w:sz w:val="20"/>
                <w:szCs w:val="20"/>
              </w:rPr>
              <w:t>77 (47,2)</w:t>
            </w:r>
          </w:p>
        </w:tc>
        <w:tc>
          <w:tcPr>
            <w:tcW w:w="1417" w:type="dxa"/>
          </w:tcPr>
          <w:p w14:paraId="3FF88934" w14:textId="77777777" w:rsidR="003B7027" w:rsidRPr="0028514E" w:rsidRDefault="00296A74" w:rsidP="006E5F9A">
            <w:pPr>
              <w:pStyle w:val="TableParagraph"/>
              <w:suppressAutoHyphens/>
              <w:jc w:val="center"/>
              <w:rPr>
                <w:sz w:val="20"/>
                <w:szCs w:val="20"/>
              </w:rPr>
            </w:pPr>
            <w:r w:rsidRPr="0028514E">
              <w:rPr>
                <w:sz w:val="20"/>
                <w:szCs w:val="20"/>
              </w:rPr>
              <w:t>0,0002</w:t>
            </w:r>
          </w:p>
        </w:tc>
      </w:tr>
      <w:tr w:rsidR="003B7027" w:rsidRPr="00777B93" w14:paraId="0DED378C" w14:textId="77777777" w:rsidTr="00EC0612">
        <w:trPr>
          <w:cantSplit/>
        </w:trPr>
        <w:tc>
          <w:tcPr>
            <w:tcW w:w="3579" w:type="dxa"/>
            <w:gridSpan w:val="2"/>
          </w:tcPr>
          <w:p w14:paraId="71E6E9FB" w14:textId="77777777" w:rsidR="003B7027" w:rsidRPr="0028514E" w:rsidRDefault="00296A74" w:rsidP="006E5F9A">
            <w:pPr>
              <w:pStyle w:val="TableParagraph"/>
              <w:suppressAutoHyphens/>
              <w:jc w:val="right"/>
              <w:rPr>
                <w:sz w:val="20"/>
                <w:szCs w:val="20"/>
              </w:rPr>
            </w:pPr>
            <w:r w:rsidRPr="0028514E">
              <w:rPr>
                <w:sz w:val="20"/>
                <w:szCs w:val="20"/>
              </w:rPr>
              <w:t>ACR70-vaste, n (%)</w:t>
            </w:r>
          </w:p>
        </w:tc>
        <w:tc>
          <w:tcPr>
            <w:tcW w:w="1661" w:type="dxa"/>
          </w:tcPr>
          <w:p w14:paraId="42AB2FF4" w14:textId="77777777" w:rsidR="003B7027" w:rsidRPr="0028514E" w:rsidRDefault="00296A74" w:rsidP="006E5F9A">
            <w:pPr>
              <w:pStyle w:val="TableParagraph"/>
              <w:suppressAutoHyphens/>
              <w:jc w:val="center"/>
              <w:rPr>
                <w:sz w:val="20"/>
                <w:szCs w:val="20"/>
              </w:rPr>
            </w:pPr>
            <w:r w:rsidRPr="0028514E">
              <w:rPr>
                <w:sz w:val="20"/>
                <w:szCs w:val="20"/>
              </w:rPr>
              <w:t>29 (17,9)</w:t>
            </w:r>
          </w:p>
        </w:tc>
        <w:tc>
          <w:tcPr>
            <w:tcW w:w="1843" w:type="dxa"/>
          </w:tcPr>
          <w:p w14:paraId="3C5B8187" w14:textId="77777777" w:rsidR="003B7027" w:rsidRPr="0028514E" w:rsidRDefault="00296A74" w:rsidP="006E5F9A">
            <w:pPr>
              <w:pStyle w:val="TableParagraph"/>
              <w:suppressAutoHyphens/>
              <w:jc w:val="center"/>
              <w:rPr>
                <w:sz w:val="20"/>
                <w:szCs w:val="20"/>
              </w:rPr>
            </w:pPr>
            <w:r w:rsidRPr="0028514E">
              <w:rPr>
                <w:sz w:val="20"/>
                <w:szCs w:val="20"/>
              </w:rPr>
              <w:t>53 (32,5)</w:t>
            </w:r>
          </w:p>
        </w:tc>
        <w:tc>
          <w:tcPr>
            <w:tcW w:w="1417" w:type="dxa"/>
          </w:tcPr>
          <w:p w14:paraId="1D84E260" w14:textId="77777777" w:rsidR="003B7027" w:rsidRPr="0028514E" w:rsidRDefault="00296A74" w:rsidP="006E5F9A">
            <w:pPr>
              <w:pStyle w:val="TableParagraph"/>
              <w:suppressAutoHyphens/>
              <w:jc w:val="center"/>
              <w:rPr>
                <w:sz w:val="20"/>
                <w:szCs w:val="20"/>
              </w:rPr>
            </w:pPr>
            <w:r w:rsidRPr="0028514E">
              <w:rPr>
                <w:sz w:val="20"/>
                <w:szCs w:val="20"/>
              </w:rPr>
              <w:t>0,0023</w:t>
            </w:r>
          </w:p>
        </w:tc>
      </w:tr>
    </w:tbl>
    <w:p w14:paraId="6078B1F3" w14:textId="77777777" w:rsidR="003B7027" w:rsidRPr="00CA43F5" w:rsidRDefault="00296A74" w:rsidP="006E5F9A">
      <w:pPr>
        <w:rPr>
          <w:i/>
          <w:sz w:val="18"/>
          <w:szCs w:val="24"/>
          <w:lang w:val="fi-FI"/>
        </w:rPr>
      </w:pPr>
      <w:r w:rsidRPr="00CA43F5">
        <w:rPr>
          <w:i/>
          <w:sz w:val="18"/>
          <w:szCs w:val="24"/>
          <w:vertAlign w:val="superscript"/>
          <w:lang w:val="fi-FI"/>
        </w:rPr>
        <w:t>a</w:t>
      </w:r>
      <w:r w:rsidR="006C42DC" w:rsidRPr="00CA43F5">
        <w:rPr>
          <w:i/>
          <w:sz w:val="18"/>
          <w:szCs w:val="24"/>
          <w:vertAlign w:val="superscript"/>
          <w:lang w:val="fi-FI"/>
        </w:rPr>
        <w:t xml:space="preserve"> </w:t>
      </w:r>
      <w:r w:rsidRPr="00CA43F5">
        <w:rPr>
          <w:i/>
          <w:sz w:val="18"/>
          <w:szCs w:val="24"/>
          <w:lang w:val="fi-FI"/>
        </w:rPr>
        <w:t>p-arvo on korjattu potilaiden maantieteellisen sijainnin ja nivelreuman kestoajan suhteen kaikkien päätetapahtumien osalta sekä lisäksi kaikkien jatkuvien päätetapahtumien lähtötilanteen arvon osalta.</w:t>
      </w:r>
    </w:p>
    <w:p w14:paraId="114FAB0B" w14:textId="77777777" w:rsidR="003B7027" w:rsidRPr="00CA43F5" w:rsidRDefault="00296A74" w:rsidP="006E5F9A">
      <w:pPr>
        <w:rPr>
          <w:i/>
          <w:sz w:val="18"/>
          <w:szCs w:val="24"/>
          <w:lang w:val="fi-FI"/>
        </w:rPr>
      </w:pPr>
      <w:r w:rsidRPr="00CA43F5">
        <w:rPr>
          <w:i/>
          <w:sz w:val="18"/>
          <w:szCs w:val="24"/>
          <w:vertAlign w:val="superscript"/>
          <w:lang w:val="fi-FI"/>
        </w:rPr>
        <w:t>b</w:t>
      </w:r>
      <w:r w:rsidRPr="00CA43F5">
        <w:rPr>
          <w:i/>
          <w:sz w:val="18"/>
          <w:szCs w:val="24"/>
          <w:lang w:val="fi-FI"/>
        </w:rPr>
        <w:t xml:space="preserve"> Hoitoon vastaamattomien potilaiden puuttuvien tietojen paikkaus. Monivertailun hallintaan käytetty Bonferroni-Holmin menetelmää</w:t>
      </w:r>
    </w:p>
    <w:p w14:paraId="386190D3" w14:textId="77777777" w:rsidR="003B7027" w:rsidRPr="0028514E" w:rsidRDefault="003B7027" w:rsidP="006E5F9A">
      <w:pPr>
        <w:pStyle w:val="a4"/>
        <w:ind w:left="0"/>
        <w:rPr>
          <w:i/>
          <w:sz w:val="16"/>
        </w:rPr>
      </w:pPr>
    </w:p>
    <w:p w14:paraId="11FDC19A" w14:textId="19D09133" w:rsidR="003B7027" w:rsidRPr="0028514E" w:rsidRDefault="000C4216" w:rsidP="006E5F9A">
      <w:pPr>
        <w:pStyle w:val="a4"/>
        <w:ind w:left="0"/>
      </w:pPr>
      <w:r>
        <w:t xml:space="preserve">Tosilitsumabin </w:t>
      </w:r>
      <w:r w:rsidR="00296A74" w:rsidRPr="0028514E">
        <w:t>ja adalimumabin kliiniset haittatapahtumaprofiilit olivat yleisesti ottaen samankaltaiset. Niiden potilaiden osuus, joilla esiintyi vakavia haittatapahtumia, oli samankaltainen kummassakin</w:t>
      </w:r>
      <w:r w:rsidR="003B2F4E" w:rsidRPr="0028514E">
        <w:t xml:space="preserve"> </w:t>
      </w:r>
      <w:r w:rsidR="00296A74" w:rsidRPr="0028514E">
        <w:t>hoitoryhmässä (</w:t>
      </w:r>
      <w:r>
        <w:t xml:space="preserve">tosilitsumabi </w:t>
      </w:r>
      <w:r w:rsidR="00296A74" w:rsidRPr="0028514E">
        <w:t xml:space="preserve">11,7 % vs. adalimumabi 9,9 %). </w:t>
      </w:r>
      <w:r>
        <w:t>Tosilitsumabi</w:t>
      </w:r>
      <w:r w:rsidR="00296A74" w:rsidRPr="0028514E">
        <w:t xml:space="preserve">haarassa havaitut haittavaikutukset olivat luonteeltaan yhdenmukaisia </w:t>
      </w:r>
      <w:r>
        <w:t xml:space="preserve">tosilitsumabin </w:t>
      </w:r>
      <w:r w:rsidR="00296A74" w:rsidRPr="0028514E">
        <w:t xml:space="preserve">tunnetun turvallisuusprofiilin kanssa ja ne ilmenivät vastaavalla frekvenssillä kuin taulukossa 1 luetellut haittavaikutukset. Infektioita ja infestaatioita ilmeni enemmän </w:t>
      </w:r>
      <w:r>
        <w:t>tosilitsumabi</w:t>
      </w:r>
      <w:r w:rsidR="00296A74" w:rsidRPr="0028514E">
        <w:t xml:space="preserve">haarassa (48 % vs. 42 %), vakavien infektioiden ilmaantuvuus oli samanlainen (3,1 %). Kumpikin tutkimushoito aiheutti samantyyppisiä </w:t>
      </w:r>
      <w:r w:rsidR="00296A74" w:rsidRPr="0028514E">
        <w:lastRenderedPageBreak/>
        <w:t xml:space="preserve">turvallisuuteen liittyvien laboratorioarvojen muutoksia (neutrofiili- ja trombosyyttimäärän vähenemistä, ALAT- ja ASAT- sekä lipidiarvojen suurenemista), mutta muutosten suuruus ja huomattavien poikkeavuuksien esiintymistiheys oli </w:t>
      </w:r>
      <w:r>
        <w:t>tosilitsumabi</w:t>
      </w:r>
      <w:r w:rsidR="00296A74" w:rsidRPr="0028514E">
        <w:t xml:space="preserve">ryhmässä suurempi kuin adalimumabiryhmässä. Neljällä (2,5 %) potilaalla </w:t>
      </w:r>
      <w:r>
        <w:t>tosilitsumabi</w:t>
      </w:r>
      <w:r w:rsidR="00296A74" w:rsidRPr="0028514E">
        <w:t xml:space="preserve">ryhmässä ja kahdella (1,2 %) potilaalla adalimumabiryhmässä esiintyi CTC-luokituksen mukaista gradus 3 tai 4 neutrofiilimäärän vähenemistä. Yhdellätoista (6,8 %) potilaalla </w:t>
      </w:r>
      <w:r>
        <w:t>tosilitsumabi</w:t>
      </w:r>
      <w:r w:rsidR="00296A74" w:rsidRPr="0028514E">
        <w:t xml:space="preserve">ryhmässä ja viidellä (3,1 %) potilaalla adalimumabiryhmässä esiintyi CTC-luokituksen mukaista gradus 2 tai vaikeampiasteista ALAT-arvon suurenemista. LDL-arvo suureni lähtötilanteesta </w:t>
      </w:r>
      <w:r w:rsidR="006443E2">
        <w:t>tosilitsumabi</w:t>
      </w:r>
      <w:r w:rsidR="00296A74" w:rsidRPr="0028514E">
        <w:t>ryhmässä keskimäärin 0,64 mmol/l</w:t>
      </w:r>
      <w:r w:rsidR="003B2F4E" w:rsidRPr="0028514E">
        <w:t xml:space="preserve"> </w:t>
      </w:r>
      <w:r w:rsidR="00296A74" w:rsidRPr="0028514E">
        <w:t xml:space="preserve">(25 mg/dl) ja adalimumabiryhmässä 0,19 mmol/l (7 mg/dl). Turvallisuuden havaittiin olleen </w:t>
      </w:r>
      <w:r>
        <w:t>tosilitsumabi</w:t>
      </w:r>
      <w:r w:rsidR="00296A74" w:rsidRPr="0028514E">
        <w:t xml:space="preserve">ryhmässä yhdenmukainen </w:t>
      </w:r>
      <w:r>
        <w:t>tosilitsumabin</w:t>
      </w:r>
      <w:r w:rsidR="00296A74" w:rsidRPr="0028514E">
        <w:t xml:space="preserve"> tunnetun turvallisuusprofiilin kanssa eikä uusia tai odottamattomia haittavaikutuksia havaittu (ks. taulukko 1).</w:t>
      </w:r>
    </w:p>
    <w:p w14:paraId="4EF8E758" w14:textId="77777777" w:rsidR="003B7027" w:rsidRPr="0028514E" w:rsidRDefault="003B7027" w:rsidP="006E5F9A">
      <w:pPr>
        <w:pStyle w:val="a4"/>
        <w:ind w:left="0"/>
      </w:pPr>
    </w:p>
    <w:p w14:paraId="3DCFEFDD" w14:textId="77777777" w:rsidR="003B7027" w:rsidRPr="0028514E" w:rsidRDefault="00296A74" w:rsidP="006E4E50">
      <w:pPr>
        <w:pStyle w:val="2"/>
        <w:keepNext/>
      </w:pPr>
      <w:r w:rsidRPr="0028514E">
        <w:t>5.2</w:t>
      </w:r>
      <w:r w:rsidRPr="0028514E">
        <w:tab/>
        <w:t>Farmakokinetiikka</w:t>
      </w:r>
    </w:p>
    <w:p w14:paraId="6D31C367" w14:textId="77777777" w:rsidR="003B2F4E" w:rsidRPr="0028514E" w:rsidRDefault="003B2F4E" w:rsidP="001C1F69"/>
    <w:p w14:paraId="2922499E" w14:textId="4CF49C23" w:rsidR="003B7027" w:rsidRPr="0028514E" w:rsidRDefault="000C4216" w:rsidP="006E5F9A">
      <w:pPr>
        <w:pStyle w:val="a4"/>
        <w:ind w:left="0"/>
      </w:pPr>
      <w:r>
        <w:t xml:space="preserve">Tosilitsumabin </w:t>
      </w:r>
      <w:r w:rsidR="00296A74" w:rsidRPr="0028514E">
        <w:t xml:space="preserve">farmakokinetiikalle tyypillistä on epälineaarinen eliminaatio, joka on lineaarisen puhdistuman ja Michaelis-Mentenin eliminaation yhdistelmä. </w:t>
      </w:r>
      <w:r>
        <w:t xml:space="preserve">Tosilitsumabin </w:t>
      </w:r>
      <w:r w:rsidR="00296A74" w:rsidRPr="0028514E">
        <w:t xml:space="preserve">eliminaation epälineaarinen osuus johtaa altistuksen lisääntymiseen enemmän kuin suhteessa annokseen. </w:t>
      </w:r>
      <w:r>
        <w:t xml:space="preserve">Tosilitsumabin </w:t>
      </w:r>
      <w:r w:rsidR="00296A74" w:rsidRPr="0028514E">
        <w:t xml:space="preserve">farmakokineettiset parametrit eivät muutu ajan mittaan. Koska kokonaispuhdistuma on riippuvainen </w:t>
      </w:r>
      <w:r>
        <w:t xml:space="preserve">tosilitsumabin </w:t>
      </w:r>
      <w:r w:rsidR="00296A74" w:rsidRPr="0028514E">
        <w:t xml:space="preserve">pitoisuudesta seerumissa, myös </w:t>
      </w:r>
      <w:r>
        <w:t xml:space="preserve">tosilitsumabin </w:t>
      </w:r>
      <w:r w:rsidR="00296A74" w:rsidRPr="0028514E">
        <w:t>puoliintumisaika on pitoisuudesta riippuvainen ja vaihtelee seerumissa olevan pitoisuuden mukaan. Minkään tähän mennessä testatun potilasjoukon populaatiofarmakokineettiset analyysit eivät osoita, että näennäisen puhdistuman ja vasta-aineiden esiintymisen lääkkeelle välillä olisi suhde.</w:t>
      </w:r>
    </w:p>
    <w:p w14:paraId="236F0E56" w14:textId="77777777" w:rsidR="003B7027" w:rsidRPr="0028514E" w:rsidRDefault="003B7027" w:rsidP="006E5F9A">
      <w:pPr>
        <w:pStyle w:val="a4"/>
        <w:ind w:left="0"/>
      </w:pPr>
    </w:p>
    <w:p w14:paraId="7685CE35" w14:textId="77777777" w:rsidR="008B2BB7" w:rsidRPr="0028514E" w:rsidRDefault="00296A74" w:rsidP="004F5142">
      <w:pPr>
        <w:pStyle w:val="a4"/>
        <w:keepNext/>
        <w:ind w:left="0"/>
      </w:pPr>
      <w:r w:rsidRPr="0028514E">
        <w:rPr>
          <w:u w:val="single"/>
        </w:rPr>
        <w:t>Nivelreuma</w:t>
      </w:r>
    </w:p>
    <w:p w14:paraId="0644C6B6" w14:textId="77777777" w:rsidR="003B7027" w:rsidRPr="0028514E" w:rsidRDefault="00296A74" w:rsidP="004F5142">
      <w:pPr>
        <w:pStyle w:val="a4"/>
        <w:keepNext/>
        <w:ind w:left="0"/>
      </w:pPr>
      <w:r w:rsidRPr="0028514E">
        <w:rPr>
          <w:u w:val="single"/>
        </w:rPr>
        <w:t>Laskimonsisäinen annostelu</w:t>
      </w:r>
    </w:p>
    <w:p w14:paraId="1787E68C" w14:textId="0A620C06" w:rsidR="003B7027" w:rsidRPr="0028514E" w:rsidRDefault="000C4216" w:rsidP="006E5F9A">
      <w:pPr>
        <w:pStyle w:val="a4"/>
        <w:ind w:left="0"/>
      </w:pPr>
      <w:r>
        <w:t xml:space="preserve">Tosilitsumabin </w:t>
      </w:r>
      <w:r w:rsidR="00296A74" w:rsidRPr="0028514E">
        <w:t>farmakokinetiikka määritettiin populaatiofarmakokineettisellä analyysillä</w:t>
      </w:r>
      <w:r w:rsidR="003B2F4E" w:rsidRPr="0028514E">
        <w:t xml:space="preserve"> </w:t>
      </w:r>
      <w:r w:rsidR="00296A74" w:rsidRPr="0028514E">
        <w:t xml:space="preserve">3552 nivelreumapotilaan tietokannasta. Potilaat saivat </w:t>
      </w:r>
      <w:r>
        <w:t xml:space="preserve">tosilitsumabia </w:t>
      </w:r>
      <w:r w:rsidR="00296A74" w:rsidRPr="0028514E">
        <w:t>4 mg/kg tai 8 mg/kg tunnin kestävänä infuusiona neljän viikon välein 24 viikon ajan, tai 162 mg ihon alle joko kerran viikossa tai kerran kahdessa viikossa 24 viikon ajan.</w:t>
      </w:r>
    </w:p>
    <w:p w14:paraId="53A445B3" w14:textId="77777777" w:rsidR="003B7027" w:rsidRPr="0028514E" w:rsidRDefault="003B7027" w:rsidP="006E5F9A">
      <w:pPr>
        <w:pStyle w:val="a4"/>
        <w:ind w:left="0"/>
      </w:pPr>
    </w:p>
    <w:p w14:paraId="26AAC2A1" w14:textId="4DE9D089" w:rsidR="003B7027" w:rsidRPr="006C42DC" w:rsidRDefault="00296A74" w:rsidP="006E5F9A">
      <w:pPr>
        <w:pStyle w:val="a4"/>
        <w:ind w:left="0"/>
      </w:pPr>
      <w:r w:rsidRPr="006C42DC">
        <w:t xml:space="preserve">Seuraavat parametrit (odotettu keskiarvo ± SD) arvioitiin </w:t>
      </w:r>
      <w:r w:rsidR="000C4216">
        <w:t>tosilitsumabi</w:t>
      </w:r>
      <w:r w:rsidRPr="006C42DC">
        <w:t>annokselle 8 mg/kg, joka annettiin neljän viikon välein: vakaan tilan AUC = 38000 ± 13000 h•µg/ml, minimipitoisuus (C</w:t>
      </w:r>
      <w:r w:rsidRPr="006C42DC">
        <w:rPr>
          <w:vertAlign w:val="subscript"/>
        </w:rPr>
        <w:t>min</w:t>
      </w:r>
      <w:r w:rsidRPr="006C42DC">
        <w:t>) = 15,9 ± 13,1 μg/ml ja maksimipitoisuus (C</w:t>
      </w:r>
      <w:r w:rsidRPr="006C42DC">
        <w:rPr>
          <w:vertAlign w:val="subscript"/>
        </w:rPr>
        <w:t>max</w:t>
      </w:r>
      <w:r w:rsidRPr="006C42DC">
        <w:t>) = 182 ± 50,4 µg/ml. AUC- ja C</w:t>
      </w:r>
      <w:r w:rsidRPr="006C42DC">
        <w:rPr>
          <w:vertAlign w:val="subscript"/>
        </w:rPr>
        <w:t>max</w:t>
      </w:r>
      <w:r w:rsidRPr="006C42DC">
        <w:t>-arvojen kumulaatiosuhteet olivat pienet: AUC 1,32 ja C</w:t>
      </w:r>
      <w:r w:rsidRPr="006C42DC">
        <w:rPr>
          <w:vertAlign w:val="subscript"/>
        </w:rPr>
        <w:t>max</w:t>
      </w:r>
      <w:r w:rsidRPr="006C42DC">
        <w:t xml:space="preserve"> 1,09. Kumulaatiosuhde oli suurempi C</w:t>
      </w:r>
      <w:r w:rsidRPr="006C42DC">
        <w:rPr>
          <w:vertAlign w:val="subscript"/>
        </w:rPr>
        <w:t>min</w:t>
      </w:r>
      <w:r w:rsidRPr="006C42DC">
        <w:t>-arvojen osalta (2,49), mikä oli odotettua johtuen epälineaarisesta puhdistumasta alhaisilla pitoisuustasoilla.</w:t>
      </w:r>
      <w:r w:rsidR="000C4216">
        <w:t xml:space="preserve"> </w:t>
      </w:r>
      <w:r w:rsidRPr="006C42DC">
        <w:t>C</w:t>
      </w:r>
      <w:r w:rsidRPr="006C42DC">
        <w:rPr>
          <w:vertAlign w:val="subscript"/>
        </w:rPr>
        <w:t>max</w:t>
      </w:r>
      <w:r w:rsidRPr="006C42DC">
        <w:t>-arvon osalta vakaa tila saavutettiin ensimmäisen annoksen jälkeen, AUC:n osalta 8 viikon kuluttua ja C</w:t>
      </w:r>
      <w:r w:rsidRPr="006C42DC">
        <w:rPr>
          <w:vertAlign w:val="subscript"/>
        </w:rPr>
        <w:t>min</w:t>
      </w:r>
      <w:r w:rsidRPr="006C42DC">
        <w:t xml:space="preserve">-arvon osalta 20 viikon kuluttua. </w:t>
      </w:r>
      <w:r w:rsidR="000C4216">
        <w:t xml:space="preserve">Tosilitsumabin </w:t>
      </w:r>
      <w:r w:rsidRPr="006C42DC">
        <w:t>AUC-, C</w:t>
      </w:r>
      <w:r w:rsidRPr="006C42DC">
        <w:rPr>
          <w:vertAlign w:val="subscript"/>
        </w:rPr>
        <w:t>min</w:t>
      </w:r>
      <w:r w:rsidRPr="006C42DC">
        <w:t>- ja C</w:t>
      </w:r>
      <w:r w:rsidRPr="006C42DC">
        <w:rPr>
          <w:vertAlign w:val="subscript"/>
        </w:rPr>
        <w:t>max</w:t>
      </w:r>
      <w:r w:rsidRPr="006C42DC">
        <w:t xml:space="preserve">-arvot nousivat potilaan painon mukaan. Jos potilas painoi 100 kg tai enemmän, </w:t>
      </w:r>
      <w:r w:rsidR="000C4216">
        <w:t xml:space="preserve">tosilitsumabin </w:t>
      </w:r>
      <w:r w:rsidRPr="006C42DC">
        <w:t>vakaan tilan AUC-arvo (odotettu keskiarvo ± SD) oli 50000 ± 16800 μg•h/ml, C</w:t>
      </w:r>
      <w:r w:rsidRPr="006C42DC">
        <w:rPr>
          <w:vertAlign w:val="subscript"/>
        </w:rPr>
        <w:t>min</w:t>
      </w:r>
      <w:r w:rsidRPr="006C42DC">
        <w:t>-arvo 24,4 ± 17,5 μg/ml, ja C</w:t>
      </w:r>
      <w:r w:rsidRPr="006C42DC">
        <w:rPr>
          <w:vertAlign w:val="subscript"/>
        </w:rPr>
        <w:t>max</w:t>
      </w:r>
      <w:r w:rsidRPr="006C42DC">
        <w:t>-arvo</w:t>
      </w:r>
      <w:r w:rsidR="008B2BB7" w:rsidRPr="006C42DC">
        <w:t xml:space="preserve"> </w:t>
      </w:r>
      <w:r w:rsidRPr="006C42DC">
        <w:t xml:space="preserve">226 ± 50,3 μg/ml. Arvot ovat korkeammat kuin edellä analysoidun potilaspopulaation keskimääräiset arvot (ts. kaikki painoryhmät). </w:t>
      </w:r>
      <w:r w:rsidR="000C4216">
        <w:t xml:space="preserve">Tosilitsumabin </w:t>
      </w:r>
      <w:r w:rsidRPr="006C42DC">
        <w:t xml:space="preserve">annosvastekäyrä tasaantuu suuremmilla altistuksilla siten, että lisäykset </w:t>
      </w:r>
      <w:r w:rsidR="000C4216">
        <w:t xml:space="preserve">tosilitsumabin </w:t>
      </w:r>
      <w:r w:rsidRPr="006C42DC">
        <w:t xml:space="preserve">pitoisuudessa eivät samassa suhteessa anna lisähyötyä tehossa. Kliinisesti merkittävää parannusta tehossa ei havaittu potilailla, joita hoidettiin yli 800 mg:n </w:t>
      </w:r>
      <w:r w:rsidR="000C4216">
        <w:t>tosilitsumabi</w:t>
      </w:r>
      <w:r w:rsidRPr="006C42DC">
        <w:t xml:space="preserve">annoksilla. Siksi ei suositella </w:t>
      </w:r>
      <w:r w:rsidR="000C4216">
        <w:t xml:space="preserve">tosilitsumabin </w:t>
      </w:r>
      <w:r w:rsidRPr="006C42DC">
        <w:t>kerta-annoksia, jotka ylittävät 800 mg (ks. kohta 4.2).</w:t>
      </w:r>
    </w:p>
    <w:p w14:paraId="7FF95408" w14:textId="77777777" w:rsidR="003B7027" w:rsidRPr="006C42DC" w:rsidRDefault="003B7027" w:rsidP="006E5F9A">
      <w:pPr>
        <w:pStyle w:val="a4"/>
        <w:ind w:left="0"/>
      </w:pPr>
    </w:p>
    <w:p w14:paraId="1B19A3EE" w14:textId="77777777" w:rsidR="003B7027" w:rsidRPr="0028514E" w:rsidRDefault="00296A74" w:rsidP="006E5F9A">
      <w:pPr>
        <w:pStyle w:val="a4"/>
        <w:ind w:left="0"/>
      </w:pPr>
      <w:r w:rsidRPr="0028514E">
        <w:rPr>
          <w:u w:val="single"/>
        </w:rPr>
        <w:t>Jakautuminen</w:t>
      </w:r>
    </w:p>
    <w:p w14:paraId="41B2A007" w14:textId="77777777" w:rsidR="003B7027" w:rsidRPr="0028514E" w:rsidRDefault="00296A74" w:rsidP="006E5F9A">
      <w:pPr>
        <w:pStyle w:val="a4"/>
        <w:ind w:left="0"/>
      </w:pPr>
      <w:r w:rsidRPr="0028514E">
        <w:t>Nivelreumapotilailla sentraalinen jakautumistilavuus oli 3,72 ja perifeerinen jakautumistilavuus 3,35, joten jakautumistilavuus oli vakaan tilan aikana 7,07.</w:t>
      </w:r>
    </w:p>
    <w:p w14:paraId="7CB1F9B7" w14:textId="77777777" w:rsidR="008B2BB7" w:rsidRPr="0028514E" w:rsidRDefault="008B2BB7" w:rsidP="006E5F9A">
      <w:pPr>
        <w:pStyle w:val="a4"/>
        <w:ind w:left="0"/>
      </w:pPr>
    </w:p>
    <w:p w14:paraId="52C5E521" w14:textId="77777777" w:rsidR="003B7027" w:rsidRPr="0028514E" w:rsidRDefault="00296A74" w:rsidP="006E5F9A">
      <w:pPr>
        <w:pStyle w:val="a4"/>
        <w:ind w:left="0"/>
      </w:pPr>
      <w:r w:rsidRPr="0028514E">
        <w:rPr>
          <w:u w:val="single"/>
        </w:rPr>
        <w:t>Eliminaatio</w:t>
      </w:r>
    </w:p>
    <w:p w14:paraId="0CF40260" w14:textId="6F8D6CBB" w:rsidR="003B7027" w:rsidRPr="0028514E" w:rsidRDefault="00296A74" w:rsidP="006E5F9A">
      <w:pPr>
        <w:pStyle w:val="a4"/>
        <w:ind w:left="0"/>
      </w:pPr>
      <w:r w:rsidRPr="0028514E">
        <w:t xml:space="preserve">Laskimoon annettu </w:t>
      </w:r>
      <w:r w:rsidR="000C4216">
        <w:t xml:space="preserve">tosilitsumabi </w:t>
      </w:r>
      <w:r w:rsidRPr="0028514E">
        <w:t xml:space="preserve">poistuu verenkierrosta kaksivaiheisesti. </w:t>
      </w:r>
      <w:r w:rsidR="000C4216">
        <w:t xml:space="preserve">Tosilitsumabin </w:t>
      </w:r>
      <w:r w:rsidRPr="0028514E">
        <w:t xml:space="preserve">kokonaispuhdistuma oli pitoisuudesta riippuva, ja se on lineaarisen ja epälineaarisen puhdistuman summa. Lineaarinen puhdistuma arvioitiin populaatiofarmakokineettisen analyysin parametrina, ja se oli 9,5 ml/h. Pitoisuudesta riippuva epälineaarinen puhdistuma on ratkaisevassa asemassa, kun </w:t>
      </w:r>
      <w:r w:rsidR="000C4216">
        <w:t>tosilitsumabi</w:t>
      </w:r>
      <w:r w:rsidRPr="0028514E">
        <w:t xml:space="preserve">pitoisuus on alhainen. </w:t>
      </w:r>
      <w:r w:rsidR="000C4216">
        <w:t>Tosilitsumabi</w:t>
      </w:r>
      <w:r w:rsidRPr="0028514E">
        <w:t xml:space="preserve">pitoisuuden suurentuessa epälineaarinen </w:t>
      </w:r>
      <w:r w:rsidRPr="0028514E">
        <w:lastRenderedPageBreak/>
        <w:t>puhdistumareitti kyllästyy, minkä jälkeen puhdistuma määräytyy pääasiassa lineaarisen puhdistuman perusteella.</w:t>
      </w:r>
    </w:p>
    <w:p w14:paraId="49952F3C" w14:textId="1F91425D" w:rsidR="003B7027" w:rsidRPr="006C42DC" w:rsidRDefault="000C4216" w:rsidP="00E05E35">
      <w:pPr>
        <w:pStyle w:val="a4"/>
        <w:ind w:left="0"/>
      </w:pPr>
      <w:r>
        <w:t>Tosilitsumabin</w:t>
      </w:r>
      <w:r w:rsidR="00296A74" w:rsidRPr="006C42DC">
        <w:t xml:space="preserve"> puoliintumisaika (t</w:t>
      </w:r>
      <w:r w:rsidR="00296A74" w:rsidRPr="006C42DC">
        <w:rPr>
          <w:vertAlign w:val="subscript"/>
        </w:rPr>
        <w:t>1/2</w:t>
      </w:r>
      <w:r w:rsidR="00296A74" w:rsidRPr="006C42DC">
        <w:t>) riippui pitoisuudesta. Kun vakaa tila oli saavutettu annoksen ollessa 8 mg/kg neljän viikon välein, efektiivinen t</w:t>
      </w:r>
      <w:r w:rsidR="00296A74" w:rsidRPr="006C42DC">
        <w:rPr>
          <w:vertAlign w:val="subscript"/>
        </w:rPr>
        <w:t>1/2</w:t>
      </w:r>
      <w:r w:rsidR="00296A74" w:rsidRPr="006C42DC">
        <w:t xml:space="preserve"> lyheni pitoisuuden pienentyessä annosvälin aikana 18 vuorokaudesta 6 vuorokauteen.</w:t>
      </w:r>
    </w:p>
    <w:p w14:paraId="7B41FABE" w14:textId="77777777" w:rsidR="008B2BB7" w:rsidRPr="006C42DC" w:rsidRDefault="008B2BB7" w:rsidP="00E05E35">
      <w:pPr>
        <w:pStyle w:val="a4"/>
        <w:ind w:left="0"/>
      </w:pPr>
    </w:p>
    <w:p w14:paraId="2D3D4515" w14:textId="77777777" w:rsidR="003B7027" w:rsidRPr="0028514E" w:rsidRDefault="00296A74" w:rsidP="00455598">
      <w:pPr>
        <w:pStyle w:val="a4"/>
        <w:keepNext/>
        <w:ind w:left="0"/>
      </w:pPr>
      <w:r w:rsidRPr="0028514E">
        <w:rPr>
          <w:u w:val="single"/>
        </w:rPr>
        <w:t>Lineaarisuus</w:t>
      </w:r>
    </w:p>
    <w:p w14:paraId="22900C6D" w14:textId="22ABAA27" w:rsidR="003B7027" w:rsidRPr="006C42DC" w:rsidRDefault="000C4216" w:rsidP="00E05E35">
      <w:pPr>
        <w:pStyle w:val="a4"/>
        <w:ind w:left="0"/>
      </w:pPr>
      <w:r>
        <w:t xml:space="preserve">Tosilitsumabin </w:t>
      </w:r>
      <w:r w:rsidR="00296A74" w:rsidRPr="006C42DC">
        <w:t>farmakokineettiset parametrit eivät muuttuneet ajan myötä. AUC- ja C</w:t>
      </w:r>
      <w:r w:rsidR="00296A74" w:rsidRPr="006C42DC">
        <w:rPr>
          <w:vertAlign w:val="subscript"/>
        </w:rPr>
        <w:t>min</w:t>
      </w:r>
      <w:r w:rsidR="00296A74" w:rsidRPr="006C42DC">
        <w:t>-arvojen havaittiin suurenevan annossuhdetta enemmän annoksen ollessa 4 mg/kg tai 8 mg/kg neljän viikon välein. C</w:t>
      </w:r>
      <w:r w:rsidR="00296A74" w:rsidRPr="006C42DC">
        <w:rPr>
          <w:vertAlign w:val="subscript"/>
        </w:rPr>
        <w:t>max</w:t>
      </w:r>
      <w:r w:rsidR="00296A74" w:rsidRPr="006C42DC">
        <w:t xml:space="preserve"> nousi samassa suhteessa kuin annos. Annoksen ollessa 8 mg/kg arvioitu vakaan tilan AUC-arvo oli 3,2-kertainen verrattuna annokseen 4 mg/kg. Vastaava vakaan tilan C</w:t>
      </w:r>
      <w:r w:rsidR="00296A74" w:rsidRPr="006C42DC">
        <w:rPr>
          <w:vertAlign w:val="subscript"/>
        </w:rPr>
        <w:t>min</w:t>
      </w:r>
      <w:r w:rsidR="00296A74" w:rsidRPr="006C42DC">
        <w:t>-arvo oli 30- kertainen.</w:t>
      </w:r>
    </w:p>
    <w:p w14:paraId="0B396441" w14:textId="77777777" w:rsidR="003B7027" w:rsidRPr="0028514E" w:rsidRDefault="003B7027" w:rsidP="006E5F9A">
      <w:pPr>
        <w:pStyle w:val="a4"/>
        <w:ind w:left="0"/>
      </w:pPr>
    </w:p>
    <w:p w14:paraId="33C7BCFF" w14:textId="77777777" w:rsidR="003B7027" w:rsidRPr="0028514E" w:rsidRDefault="00296A74" w:rsidP="006E5F9A">
      <w:pPr>
        <w:pStyle w:val="a4"/>
        <w:ind w:left="0"/>
      </w:pPr>
      <w:r w:rsidRPr="0028514E">
        <w:rPr>
          <w:u w:val="single"/>
        </w:rPr>
        <w:t>Ihonalainen annostelu</w:t>
      </w:r>
    </w:p>
    <w:p w14:paraId="10AA62FF" w14:textId="7CF9A2AC" w:rsidR="003B7027" w:rsidRPr="0028514E" w:rsidRDefault="000C4216" w:rsidP="006E5F9A">
      <w:pPr>
        <w:pStyle w:val="a4"/>
        <w:ind w:left="0"/>
      </w:pPr>
      <w:r>
        <w:t xml:space="preserve">Tosilitsumabin </w:t>
      </w:r>
      <w:r w:rsidR="00296A74" w:rsidRPr="0028514E">
        <w:t>farmakokinetiikka määritettiin populaatiofarmakokineettisellä analyysillä</w:t>
      </w:r>
      <w:r w:rsidR="008B2BB7" w:rsidRPr="0028514E">
        <w:t xml:space="preserve"> </w:t>
      </w:r>
      <w:r w:rsidR="00296A74" w:rsidRPr="0028514E">
        <w:t xml:space="preserve">3552 nivelreumapotilaan tietokannasta. Potilaat olivat saaneet </w:t>
      </w:r>
      <w:r w:rsidR="006443E2">
        <w:t>tosilitsumabia</w:t>
      </w:r>
      <w:r w:rsidR="006443E2" w:rsidRPr="0028514E">
        <w:t xml:space="preserve"> </w:t>
      </w:r>
      <w:r w:rsidR="00296A74" w:rsidRPr="0028514E">
        <w:t>162 mg ihon alle viikoittain, 162 mg ihon alle kerran kahdessa viikossa tai 4 mg/kg tai 8 mg/kg laskimoon neljän viikon välein 24 viikon ajan.</w:t>
      </w:r>
    </w:p>
    <w:p w14:paraId="73A49ABD" w14:textId="77777777" w:rsidR="003B7027" w:rsidRPr="0028514E" w:rsidRDefault="003B7027" w:rsidP="006E5F9A">
      <w:pPr>
        <w:pStyle w:val="a4"/>
        <w:ind w:left="0"/>
      </w:pPr>
    </w:p>
    <w:p w14:paraId="0CD13727" w14:textId="00A65ADE" w:rsidR="003B7027" w:rsidRPr="006C42DC" w:rsidRDefault="000C4216" w:rsidP="006E5F9A">
      <w:pPr>
        <w:pStyle w:val="a4"/>
        <w:ind w:left="0"/>
      </w:pPr>
      <w:r>
        <w:t xml:space="preserve">Tosilitsumabin </w:t>
      </w:r>
      <w:r w:rsidR="00296A74" w:rsidRPr="006C42DC">
        <w:t>farmakokineettiset parametrit eivät muuttuneet ajan myötä. Viikoittain annettujen</w:t>
      </w:r>
      <w:r w:rsidR="008B2BB7" w:rsidRPr="006C42DC">
        <w:t xml:space="preserve"> </w:t>
      </w:r>
      <w:r w:rsidR="00296A74" w:rsidRPr="006C42DC">
        <w:t xml:space="preserve">162 mg:n annosten yhteydessä </w:t>
      </w:r>
      <w:r>
        <w:t xml:space="preserve">tosilitsumabin </w:t>
      </w:r>
      <w:r w:rsidR="00296A74" w:rsidRPr="006C42DC">
        <w:t>vakaan tilan AUC</w:t>
      </w:r>
      <w:r w:rsidR="00296A74" w:rsidRPr="006C42DC">
        <w:rPr>
          <w:vertAlign w:val="subscript"/>
        </w:rPr>
        <w:t>1 viikon</w:t>
      </w:r>
      <w:r w:rsidR="00296A74" w:rsidRPr="006C42DC">
        <w:t xml:space="preserve"> -arvo (odotettu keskiarvo ±SD) oli 7970 ± 3432 μg•h/ml, C</w:t>
      </w:r>
      <w:r w:rsidR="00296A74" w:rsidRPr="006C42DC">
        <w:rPr>
          <w:vertAlign w:val="subscript"/>
        </w:rPr>
        <w:t>min</w:t>
      </w:r>
      <w:r w:rsidR="00296A74" w:rsidRPr="006C42DC">
        <w:t>-arvo oli 43,0 ± 19,8 μg/ml ja C</w:t>
      </w:r>
      <w:r w:rsidR="00296A74" w:rsidRPr="006C42DC">
        <w:rPr>
          <w:vertAlign w:val="subscript"/>
        </w:rPr>
        <w:t>max</w:t>
      </w:r>
      <w:r w:rsidR="00296A74" w:rsidRPr="006C42DC">
        <w:t>-arvo oli 49,8 ± 21,0 μg/ml.</w:t>
      </w:r>
      <w:r w:rsidR="008B2BB7" w:rsidRPr="006C42DC">
        <w:t xml:space="preserve"> </w:t>
      </w:r>
      <w:r w:rsidR="00296A74" w:rsidRPr="006C42DC">
        <w:t>Kumulaatiosuhde oli AUC-arvon osalta 6,32, C</w:t>
      </w:r>
      <w:r w:rsidR="00296A74" w:rsidRPr="006C42DC">
        <w:rPr>
          <w:vertAlign w:val="subscript"/>
        </w:rPr>
        <w:t>min</w:t>
      </w:r>
      <w:r w:rsidR="00296A74" w:rsidRPr="006C42DC">
        <w:t>-arvon osalta 6,30 ja C</w:t>
      </w:r>
      <w:r w:rsidR="00296A74" w:rsidRPr="006C42DC">
        <w:rPr>
          <w:vertAlign w:val="subscript"/>
        </w:rPr>
        <w:t>max</w:t>
      </w:r>
      <w:r w:rsidR="00296A74" w:rsidRPr="006C42DC">
        <w:t>-arvon osalta 5,27. AUC-, C</w:t>
      </w:r>
      <w:r w:rsidR="00296A74" w:rsidRPr="006C42DC">
        <w:rPr>
          <w:vertAlign w:val="subscript"/>
        </w:rPr>
        <w:t>min</w:t>
      </w:r>
      <w:r w:rsidR="00296A74" w:rsidRPr="006C42DC">
        <w:t>- ja C</w:t>
      </w:r>
      <w:r w:rsidR="00296A74" w:rsidRPr="006C42DC">
        <w:rPr>
          <w:vertAlign w:val="subscript"/>
        </w:rPr>
        <w:t>max</w:t>
      </w:r>
      <w:r w:rsidR="00296A74" w:rsidRPr="006C42DC">
        <w:t>-arvojen vakaa tila saavutettiin 12 viikon jälkeen.</w:t>
      </w:r>
    </w:p>
    <w:p w14:paraId="513D9B9F" w14:textId="77777777" w:rsidR="008B2BB7" w:rsidRPr="0028514E" w:rsidRDefault="008B2BB7" w:rsidP="006E5F9A">
      <w:pPr>
        <w:pStyle w:val="a4"/>
        <w:ind w:left="0"/>
      </w:pPr>
    </w:p>
    <w:p w14:paraId="43881567" w14:textId="08F8B3F2" w:rsidR="003B7027" w:rsidRPr="006C42DC" w:rsidRDefault="00296A74" w:rsidP="006E5F9A">
      <w:pPr>
        <w:pStyle w:val="a4"/>
        <w:ind w:left="0"/>
      </w:pPr>
      <w:r w:rsidRPr="006C42DC">
        <w:t xml:space="preserve">Kerran kahdessa viikossa annettujen 162 mg:n annosten yhteydessä </w:t>
      </w:r>
      <w:r w:rsidR="000C4216">
        <w:t xml:space="preserve">tosilitsumabin </w:t>
      </w:r>
      <w:r w:rsidRPr="006C42DC">
        <w:t>vakaan tilan AUC</w:t>
      </w:r>
      <w:r w:rsidRPr="006C42DC">
        <w:rPr>
          <w:vertAlign w:val="subscript"/>
        </w:rPr>
        <w:t>2 viikon</w:t>
      </w:r>
      <w:r w:rsidRPr="006C42DC">
        <w:t xml:space="preserve"> -arvo (odotettu keskiarvo ±SD) oli 3430 ± 2660 μg•h/ml, C</w:t>
      </w:r>
      <w:r w:rsidRPr="006C42DC">
        <w:rPr>
          <w:vertAlign w:val="subscript"/>
        </w:rPr>
        <w:t>min</w:t>
      </w:r>
      <w:r w:rsidRPr="006C42DC">
        <w:t>-arvo oli 5,7 ± 6,8 μg/ml ja</w:t>
      </w:r>
      <w:r w:rsidR="008B2BB7" w:rsidRPr="006C42DC">
        <w:t xml:space="preserve"> </w:t>
      </w:r>
      <w:r w:rsidRPr="006C42DC">
        <w:t>C</w:t>
      </w:r>
      <w:r w:rsidRPr="006C42DC">
        <w:rPr>
          <w:vertAlign w:val="subscript"/>
        </w:rPr>
        <w:t>max</w:t>
      </w:r>
      <w:r w:rsidRPr="006C42DC">
        <w:t>-arvo oli 13,2 ± 8,8 μg/ml. Kumulaatiosuhde oli AUC-arvon osalta 2,67, C</w:t>
      </w:r>
      <w:r w:rsidRPr="006C42DC">
        <w:rPr>
          <w:vertAlign w:val="subscript"/>
        </w:rPr>
        <w:t>min</w:t>
      </w:r>
      <w:r w:rsidRPr="006C42DC">
        <w:t>-arvon osalta 6,02 ja C</w:t>
      </w:r>
      <w:r w:rsidRPr="006C42DC">
        <w:rPr>
          <w:vertAlign w:val="subscript"/>
        </w:rPr>
        <w:t>max</w:t>
      </w:r>
      <w:r w:rsidRPr="006C42DC">
        <w:t>-arvon osalta 2,12. AUC- ja C</w:t>
      </w:r>
      <w:r w:rsidRPr="001327AB">
        <w:rPr>
          <w:vertAlign w:val="subscript"/>
        </w:rPr>
        <w:t>min</w:t>
      </w:r>
      <w:r w:rsidRPr="006C42DC">
        <w:t>-arvojen vakaa tila saavutettiin 12 viikon jälkeen ja C</w:t>
      </w:r>
      <w:r w:rsidRPr="006C42DC">
        <w:rPr>
          <w:vertAlign w:val="subscript"/>
        </w:rPr>
        <w:t>max</w:t>
      </w:r>
      <w:r w:rsidRPr="006C42DC">
        <w:t>-arvon vakaa tila 10 viikon jälkeen.</w:t>
      </w:r>
    </w:p>
    <w:p w14:paraId="56A9E6CF" w14:textId="77777777" w:rsidR="003B7027" w:rsidRPr="0028514E" w:rsidRDefault="003B7027" w:rsidP="006E5F9A">
      <w:pPr>
        <w:pStyle w:val="a4"/>
        <w:ind w:left="0"/>
      </w:pPr>
    </w:p>
    <w:p w14:paraId="4F087D99" w14:textId="77777777" w:rsidR="003B7027" w:rsidRPr="0028514E" w:rsidRDefault="00296A74" w:rsidP="006E5F9A">
      <w:pPr>
        <w:pStyle w:val="a4"/>
        <w:ind w:left="0"/>
      </w:pPr>
      <w:r w:rsidRPr="0028514E">
        <w:rPr>
          <w:u w:val="single"/>
        </w:rPr>
        <w:t>Imeytyminen</w:t>
      </w:r>
    </w:p>
    <w:p w14:paraId="13C72DBA" w14:textId="481BEE5B" w:rsidR="003B7027" w:rsidRPr="006C42DC" w:rsidRDefault="00296A74" w:rsidP="006E5F9A">
      <w:pPr>
        <w:pStyle w:val="a4"/>
        <w:ind w:left="0"/>
      </w:pPr>
      <w:r w:rsidRPr="006C42DC">
        <w:t xml:space="preserve">Ihon alle annostellun </w:t>
      </w:r>
      <w:r w:rsidR="000C4216">
        <w:t xml:space="preserve">tosilitsumabin </w:t>
      </w:r>
      <w:r w:rsidRPr="006C42DC">
        <w:t>t</w:t>
      </w:r>
      <w:r w:rsidRPr="006C42DC">
        <w:rPr>
          <w:vertAlign w:val="subscript"/>
        </w:rPr>
        <w:t>max</w:t>
      </w:r>
      <w:r w:rsidRPr="006C42DC">
        <w:t>-arvo (huippupitoisuuden ajankohta) nivelreumapotilailla oli noin 2,8 vuorokautta. Ihon alle annosteltavan lääkemuodon biologinen hyötyosuus oli 79 %.</w:t>
      </w:r>
    </w:p>
    <w:p w14:paraId="5B31F590" w14:textId="77777777" w:rsidR="003B7027" w:rsidRPr="0028514E" w:rsidRDefault="003B7027" w:rsidP="006E5F9A">
      <w:pPr>
        <w:pStyle w:val="a4"/>
        <w:ind w:left="0"/>
      </w:pPr>
    </w:p>
    <w:p w14:paraId="26A6699C" w14:textId="77777777" w:rsidR="003B7027" w:rsidRPr="0028514E" w:rsidRDefault="00296A74" w:rsidP="006E5F9A">
      <w:pPr>
        <w:pStyle w:val="a4"/>
        <w:ind w:left="0"/>
      </w:pPr>
      <w:r w:rsidRPr="0028514E">
        <w:rPr>
          <w:u w:val="single"/>
        </w:rPr>
        <w:t>Eliminaatio</w:t>
      </w:r>
    </w:p>
    <w:p w14:paraId="592E4669" w14:textId="77777777" w:rsidR="003B7027" w:rsidRPr="0028514E" w:rsidRDefault="00296A74" w:rsidP="006E5F9A">
      <w:pPr>
        <w:pStyle w:val="a4"/>
        <w:ind w:left="0"/>
      </w:pPr>
      <w:r w:rsidRPr="0028514E">
        <w:t>Nivelreumapotilailla tosilitsumabin pitoisuusriippuvainen puoliintumisaika vakaassa tilassa oli enintään 12 vuorokautta potilailla, jotka saivat tosilitsumabia 162 mg viikossa ihon alle ja enintään viisi vuorokautta potilailla, jotka saivat tosilitsumabia 162 mg kerran kahdessa viikossa.</w:t>
      </w:r>
    </w:p>
    <w:p w14:paraId="5F500196" w14:textId="77777777" w:rsidR="008B2BB7" w:rsidRPr="0028514E" w:rsidRDefault="008B2BB7" w:rsidP="006E5F9A">
      <w:pPr>
        <w:pStyle w:val="a4"/>
        <w:ind w:left="0"/>
      </w:pPr>
    </w:p>
    <w:p w14:paraId="1B59B05C" w14:textId="77777777" w:rsidR="003B7027" w:rsidRPr="0028514E" w:rsidRDefault="00296A74" w:rsidP="006E5F9A">
      <w:pPr>
        <w:pStyle w:val="a4"/>
        <w:ind w:left="0"/>
      </w:pPr>
      <w:r w:rsidRPr="0028514E">
        <w:rPr>
          <w:u w:val="single"/>
        </w:rPr>
        <w:t>Yleisoireista lastenreumaa sairastavat potilaat</w:t>
      </w:r>
      <w:r w:rsidRPr="0028514E">
        <w:t xml:space="preserve"> </w:t>
      </w:r>
      <w:r w:rsidRPr="0028514E">
        <w:rPr>
          <w:u w:val="single"/>
        </w:rPr>
        <w:t>Ihonalainen annostelu</w:t>
      </w:r>
    </w:p>
    <w:p w14:paraId="5ACF7D3B" w14:textId="3217D4E6" w:rsidR="003B7027" w:rsidRPr="0028514E" w:rsidRDefault="000C4216" w:rsidP="006E5F9A">
      <w:pPr>
        <w:pStyle w:val="a4"/>
        <w:ind w:left="0"/>
      </w:pPr>
      <w:r>
        <w:t xml:space="preserve">Tosilitsumabin </w:t>
      </w:r>
      <w:r w:rsidR="00296A74" w:rsidRPr="0028514E">
        <w:t>farmakokinetiikka määritettiin populaatiofarmakokineettisellä analyysillä</w:t>
      </w:r>
      <w:r w:rsidR="008B2BB7" w:rsidRPr="0028514E">
        <w:t xml:space="preserve"> </w:t>
      </w:r>
      <w:r w:rsidR="00296A74" w:rsidRPr="0028514E">
        <w:t xml:space="preserve">140 yleisoireista lastenreumaa sairastavan potilaan potilasjoukosta. Potilaat olivat saaneet </w:t>
      </w:r>
      <w:r>
        <w:t xml:space="preserve">tosilitsumabia </w:t>
      </w:r>
      <w:r w:rsidR="00296A74" w:rsidRPr="0028514E">
        <w:t>8 mg/kg laskimoon joka toinen viikko (≥ 30 kg painavat potilaat), 12 mg/kg laskimoon joka toinen viikko (&lt; 30 kg painavat potilaat), 162 mg ihon alle joka viikko (≥ 30 kg painavat potilaat), 162 mg ihon alle 10 päivän välein tai joka toinen viikko (&lt; 30 kg painavat potilaat).</w:t>
      </w:r>
    </w:p>
    <w:p w14:paraId="65042908" w14:textId="77777777" w:rsidR="003B7027" w:rsidRPr="0028514E" w:rsidRDefault="003B7027" w:rsidP="006E5F9A">
      <w:pPr>
        <w:pStyle w:val="a4"/>
        <w:ind w:left="0"/>
      </w:pPr>
    </w:p>
    <w:p w14:paraId="6BA7079F" w14:textId="574F5697" w:rsidR="003B7027" w:rsidRPr="0028514E" w:rsidRDefault="00296A74" w:rsidP="006E5F9A">
      <w:pPr>
        <w:pStyle w:val="a4"/>
        <w:ind w:left="0"/>
      </w:pPr>
      <w:r w:rsidRPr="0028514E">
        <w:t xml:space="preserve">Ihon alle annetun </w:t>
      </w:r>
      <w:r w:rsidR="000C4216">
        <w:t xml:space="preserve">tosilitsumabin </w:t>
      </w:r>
      <w:r w:rsidRPr="0028514E">
        <w:t>altistuksesta yleisoireista lastenreumaa sairastaville alle 2-vuotiaille ja alle 10 kg:n painaville lapsipotilaille on vähän tietoja.</w:t>
      </w:r>
    </w:p>
    <w:p w14:paraId="01DC584D" w14:textId="77777777" w:rsidR="008B2BB7" w:rsidRPr="0028514E" w:rsidRDefault="008B2BB7" w:rsidP="006E5F9A">
      <w:pPr>
        <w:pStyle w:val="a4"/>
        <w:ind w:left="0"/>
      </w:pPr>
    </w:p>
    <w:p w14:paraId="7D34270F" w14:textId="19B9D34C" w:rsidR="003B7027" w:rsidRPr="0028514E" w:rsidRDefault="00296A74" w:rsidP="006E5F9A">
      <w:pPr>
        <w:pStyle w:val="a4"/>
        <w:ind w:left="0"/>
      </w:pPr>
      <w:r w:rsidRPr="0028514E">
        <w:t xml:space="preserve">Yleisoireista lastenreumaa sairastavien potilaiden painon on oltava vähintään 10 kg, jotta heille voidaan antaa </w:t>
      </w:r>
      <w:r w:rsidR="000C4216">
        <w:t>tosilitsumabi</w:t>
      </w:r>
      <w:r w:rsidRPr="0028514E">
        <w:t>hoitoa ihon alle (ks. kohta 4.2).</w:t>
      </w:r>
    </w:p>
    <w:p w14:paraId="54CB6748" w14:textId="77777777" w:rsidR="003B7027" w:rsidRPr="0028514E" w:rsidRDefault="003B7027" w:rsidP="006E5F9A">
      <w:pPr>
        <w:pStyle w:val="a4"/>
        <w:ind w:left="0"/>
      </w:pPr>
    </w:p>
    <w:p w14:paraId="1A46173D" w14:textId="77777777" w:rsidR="003B7027" w:rsidRPr="00CA43F5" w:rsidRDefault="00296A74" w:rsidP="000F5A9F">
      <w:pPr>
        <w:pStyle w:val="Tabletitle"/>
        <w:keepNext/>
        <w:rPr>
          <w:lang w:val="fi-FI"/>
        </w:rPr>
      </w:pPr>
      <w:r w:rsidRPr="00CA43F5">
        <w:rPr>
          <w:lang w:val="fi-FI"/>
        </w:rPr>
        <w:t>Taulukko 8.</w:t>
      </w:r>
      <w:r w:rsidR="008B2BB7" w:rsidRPr="00CA43F5">
        <w:rPr>
          <w:lang w:val="fi-FI"/>
        </w:rPr>
        <w:tab/>
      </w:r>
      <w:r w:rsidRPr="00CA43F5">
        <w:rPr>
          <w:lang w:val="fi-FI"/>
        </w:rPr>
        <w:t>Yleisoireista lastenreumaa sairastaville lapsipotilaille ihon alle annetun hoidon farmakokineettisten parametrien ennakoidut vakaan tilan keskiarvot ± keskihajonnat</w:t>
      </w:r>
    </w:p>
    <w:p w14:paraId="0DF65016" w14:textId="77777777" w:rsidR="00E05E35" w:rsidRPr="00CA43F5" w:rsidRDefault="00E05E35" w:rsidP="00E05E35">
      <w:pPr>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972"/>
        <w:gridCol w:w="2840"/>
        <w:gridCol w:w="2976"/>
      </w:tblGrid>
      <w:tr w:rsidR="003B7027" w:rsidRPr="00ED6BAC" w14:paraId="2F7DDACA" w14:textId="77777777" w:rsidTr="000F5A9F">
        <w:trPr>
          <w:cantSplit/>
          <w:tblHeader/>
        </w:trPr>
        <w:tc>
          <w:tcPr>
            <w:tcW w:w="2972" w:type="dxa"/>
          </w:tcPr>
          <w:p w14:paraId="3D6B1610" w14:textId="08EBC86E" w:rsidR="003B7027" w:rsidRPr="005F70CC" w:rsidRDefault="000C4216" w:rsidP="006E5F9A">
            <w:pPr>
              <w:pStyle w:val="TableParagraph"/>
              <w:suppressAutoHyphens/>
              <w:rPr>
                <w:b/>
                <w:sz w:val="20"/>
                <w:szCs w:val="20"/>
              </w:rPr>
            </w:pPr>
            <w:r>
              <w:rPr>
                <w:b/>
                <w:sz w:val="20"/>
                <w:szCs w:val="20"/>
              </w:rPr>
              <w:lastRenderedPageBreak/>
              <w:t>Tosilitsumabin</w:t>
            </w:r>
            <w:r w:rsidRPr="005F70CC">
              <w:rPr>
                <w:b/>
                <w:sz w:val="20"/>
                <w:szCs w:val="20"/>
              </w:rPr>
              <w:t xml:space="preserve"> </w:t>
            </w:r>
            <w:r w:rsidR="00296A74" w:rsidRPr="005F70CC">
              <w:rPr>
                <w:b/>
                <w:sz w:val="20"/>
                <w:szCs w:val="20"/>
              </w:rPr>
              <w:t>farmakokineettiset parametrit</w:t>
            </w:r>
          </w:p>
        </w:tc>
        <w:tc>
          <w:tcPr>
            <w:tcW w:w="2840" w:type="dxa"/>
          </w:tcPr>
          <w:p w14:paraId="503A34E2" w14:textId="77777777" w:rsidR="003B7027" w:rsidRPr="005F70CC" w:rsidRDefault="00296A74" w:rsidP="006E5F9A">
            <w:pPr>
              <w:pStyle w:val="TableParagraph"/>
              <w:suppressAutoHyphens/>
              <w:jc w:val="center"/>
              <w:rPr>
                <w:b/>
                <w:sz w:val="20"/>
                <w:szCs w:val="20"/>
              </w:rPr>
            </w:pPr>
            <w:r w:rsidRPr="005F70CC">
              <w:rPr>
                <w:b/>
                <w:sz w:val="20"/>
                <w:szCs w:val="20"/>
              </w:rPr>
              <w:t>162 mg joka viikko</w:t>
            </w:r>
            <w:r w:rsidR="005F70CC">
              <w:rPr>
                <w:b/>
                <w:sz w:val="20"/>
                <w:szCs w:val="20"/>
              </w:rPr>
              <w:t xml:space="preserve"> </w:t>
            </w:r>
            <w:r w:rsidRPr="005F70CC">
              <w:rPr>
                <w:b/>
                <w:sz w:val="20"/>
                <w:szCs w:val="20"/>
              </w:rPr>
              <w:t>≥ 30 kg</w:t>
            </w:r>
          </w:p>
        </w:tc>
        <w:tc>
          <w:tcPr>
            <w:tcW w:w="2976" w:type="dxa"/>
          </w:tcPr>
          <w:p w14:paraId="640BB078" w14:textId="77777777" w:rsidR="003B7027" w:rsidRPr="005F70CC" w:rsidRDefault="00296A74" w:rsidP="006E5F9A">
            <w:pPr>
              <w:pStyle w:val="TableParagraph"/>
              <w:suppressAutoHyphens/>
              <w:jc w:val="center"/>
              <w:rPr>
                <w:b/>
                <w:sz w:val="20"/>
                <w:szCs w:val="20"/>
              </w:rPr>
            </w:pPr>
            <w:r w:rsidRPr="005F70CC">
              <w:rPr>
                <w:b/>
                <w:sz w:val="20"/>
                <w:szCs w:val="20"/>
              </w:rPr>
              <w:t>162 mg joka 2. viikko</w:t>
            </w:r>
            <w:r w:rsidR="005F70CC">
              <w:rPr>
                <w:b/>
                <w:sz w:val="20"/>
                <w:szCs w:val="20"/>
              </w:rPr>
              <w:t xml:space="preserve"> </w:t>
            </w:r>
            <w:r w:rsidRPr="005F70CC">
              <w:rPr>
                <w:b/>
                <w:sz w:val="20"/>
                <w:szCs w:val="20"/>
              </w:rPr>
              <w:t>alle 30 kg</w:t>
            </w:r>
          </w:p>
        </w:tc>
      </w:tr>
      <w:tr w:rsidR="003B7027" w:rsidRPr="00777B93" w14:paraId="2EE1EB7C" w14:textId="77777777" w:rsidTr="000F5A9F">
        <w:trPr>
          <w:cantSplit/>
        </w:trPr>
        <w:tc>
          <w:tcPr>
            <w:tcW w:w="2972" w:type="dxa"/>
          </w:tcPr>
          <w:p w14:paraId="0A3F4024" w14:textId="77777777" w:rsidR="003B7027" w:rsidRPr="005F70CC" w:rsidRDefault="00296A74" w:rsidP="006E5F9A">
            <w:pPr>
              <w:pStyle w:val="TableParagraph"/>
              <w:suppressAutoHyphens/>
              <w:rPr>
                <w:sz w:val="20"/>
                <w:szCs w:val="20"/>
              </w:rPr>
            </w:pPr>
            <w:r w:rsidRPr="005F70CC">
              <w:rPr>
                <w:sz w:val="20"/>
                <w:szCs w:val="20"/>
              </w:rPr>
              <w:t>C</w:t>
            </w:r>
            <w:r w:rsidRPr="005F70CC">
              <w:rPr>
                <w:sz w:val="20"/>
                <w:szCs w:val="20"/>
                <w:vertAlign w:val="subscript"/>
              </w:rPr>
              <w:t>max</w:t>
            </w:r>
            <w:r w:rsidRPr="005F70CC">
              <w:rPr>
                <w:sz w:val="20"/>
                <w:szCs w:val="20"/>
              </w:rPr>
              <w:t xml:space="preserve"> (µg/ml)</w:t>
            </w:r>
          </w:p>
        </w:tc>
        <w:tc>
          <w:tcPr>
            <w:tcW w:w="2840" w:type="dxa"/>
          </w:tcPr>
          <w:p w14:paraId="378C66DE" w14:textId="77777777" w:rsidR="003B7027" w:rsidRPr="005F70CC" w:rsidRDefault="00296A74" w:rsidP="006E5F9A">
            <w:pPr>
              <w:pStyle w:val="TableParagraph"/>
              <w:suppressAutoHyphens/>
              <w:jc w:val="center"/>
              <w:rPr>
                <w:sz w:val="20"/>
                <w:szCs w:val="20"/>
              </w:rPr>
            </w:pPr>
            <w:r w:rsidRPr="005F70CC">
              <w:rPr>
                <w:sz w:val="20"/>
                <w:szCs w:val="20"/>
              </w:rPr>
              <w:t>99,8 ± 46,2</w:t>
            </w:r>
          </w:p>
        </w:tc>
        <w:tc>
          <w:tcPr>
            <w:tcW w:w="2976" w:type="dxa"/>
          </w:tcPr>
          <w:p w14:paraId="2053188F" w14:textId="77777777" w:rsidR="003B7027" w:rsidRPr="005F70CC" w:rsidRDefault="00296A74" w:rsidP="006E5F9A">
            <w:pPr>
              <w:pStyle w:val="TableParagraph"/>
              <w:suppressAutoHyphens/>
              <w:jc w:val="center"/>
              <w:rPr>
                <w:sz w:val="20"/>
                <w:szCs w:val="20"/>
              </w:rPr>
            </w:pPr>
            <w:r w:rsidRPr="005F70CC">
              <w:rPr>
                <w:sz w:val="20"/>
                <w:szCs w:val="20"/>
              </w:rPr>
              <w:t>134 ± 58,6</w:t>
            </w:r>
          </w:p>
        </w:tc>
      </w:tr>
      <w:tr w:rsidR="003B7027" w:rsidRPr="00777B93" w14:paraId="1EBC6B9E" w14:textId="77777777" w:rsidTr="000F5A9F">
        <w:trPr>
          <w:cantSplit/>
        </w:trPr>
        <w:tc>
          <w:tcPr>
            <w:tcW w:w="2972" w:type="dxa"/>
          </w:tcPr>
          <w:p w14:paraId="2C13BD1A" w14:textId="77777777" w:rsidR="003B7027" w:rsidRPr="005F70CC" w:rsidRDefault="00296A74" w:rsidP="006E5F9A">
            <w:pPr>
              <w:pStyle w:val="TableParagraph"/>
              <w:suppressAutoHyphens/>
              <w:rPr>
                <w:sz w:val="20"/>
                <w:szCs w:val="20"/>
              </w:rPr>
            </w:pPr>
            <w:r w:rsidRPr="005F70CC">
              <w:rPr>
                <w:sz w:val="20"/>
                <w:szCs w:val="20"/>
              </w:rPr>
              <w:t>C</w:t>
            </w:r>
            <w:r w:rsidRPr="005F70CC">
              <w:rPr>
                <w:sz w:val="20"/>
                <w:szCs w:val="20"/>
                <w:vertAlign w:val="subscript"/>
              </w:rPr>
              <w:t>min</w:t>
            </w:r>
            <w:r w:rsidRPr="005F70CC">
              <w:rPr>
                <w:sz w:val="20"/>
                <w:szCs w:val="20"/>
              </w:rPr>
              <w:t xml:space="preserve"> (µg/ml)</w:t>
            </w:r>
          </w:p>
        </w:tc>
        <w:tc>
          <w:tcPr>
            <w:tcW w:w="2840" w:type="dxa"/>
          </w:tcPr>
          <w:p w14:paraId="0C4A6C1C" w14:textId="77777777" w:rsidR="003B7027" w:rsidRPr="005F70CC" w:rsidRDefault="00296A74" w:rsidP="006E5F9A">
            <w:pPr>
              <w:pStyle w:val="TableParagraph"/>
              <w:suppressAutoHyphens/>
              <w:jc w:val="center"/>
              <w:rPr>
                <w:sz w:val="20"/>
                <w:szCs w:val="20"/>
              </w:rPr>
            </w:pPr>
            <w:r w:rsidRPr="005F70CC">
              <w:rPr>
                <w:sz w:val="20"/>
                <w:szCs w:val="20"/>
              </w:rPr>
              <w:t>79,2 ± 35,6</w:t>
            </w:r>
          </w:p>
        </w:tc>
        <w:tc>
          <w:tcPr>
            <w:tcW w:w="2976" w:type="dxa"/>
          </w:tcPr>
          <w:p w14:paraId="1E222399" w14:textId="77777777" w:rsidR="003B7027" w:rsidRPr="005F70CC" w:rsidRDefault="00296A74" w:rsidP="006E5F9A">
            <w:pPr>
              <w:pStyle w:val="TableParagraph"/>
              <w:suppressAutoHyphens/>
              <w:jc w:val="center"/>
              <w:rPr>
                <w:sz w:val="20"/>
                <w:szCs w:val="20"/>
              </w:rPr>
            </w:pPr>
            <w:r w:rsidRPr="005F70CC">
              <w:rPr>
                <w:sz w:val="20"/>
                <w:szCs w:val="20"/>
              </w:rPr>
              <w:t>65,9 ± 31,3</w:t>
            </w:r>
          </w:p>
        </w:tc>
      </w:tr>
      <w:tr w:rsidR="003B7027" w:rsidRPr="00777B93" w14:paraId="32E1CF54" w14:textId="77777777" w:rsidTr="000F5A9F">
        <w:trPr>
          <w:cantSplit/>
        </w:trPr>
        <w:tc>
          <w:tcPr>
            <w:tcW w:w="2972" w:type="dxa"/>
          </w:tcPr>
          <w:p w14:paraId="3D79475E" w14:textId="77777777" w:rsidR="003B7027" w:rsidRPr="005F70CC" w:rsidRDefault="00296A74" w:rsidP="006E5F9A">
            <w:pPr>
              <w:pStyle w:val="TableParagraph"/>
              <w:suppressAutoHyphens/>
              <w:rPr>
                <w:sz w:val="20"/>
                <w:szCs w:val="20"/>
              </w:rPr>
            </w:pPr>
            <w:r w:rsidRPr="005F70CC">
              <w:rPr>
                <w:sz w:val="20"/>
                <w:szCs w:val="20"/>
              </w:rPr>
              <w:t>C</w:t>
            </w:r>
            <w:r w:rsidRPr="005F70CC">
              <w:rPr>
                <w:sz w:val="20"/>
                <w:szCs w:val="20"/>
                <w:vertAlign w:val="subscript"/>
              </w:rPr>
              <w:t>mean</w:t>
            </w:r>
            <w:r w:rsidRPr="005F70CC">
              <w:rPr>
                <w:sz w:val="20"/>
                <w:szCs w:val="20"/>
              </w:rPr>
              <w:t xml:space="preserve"> (µg/ml)</w:t>
            </w:r>
          </w:p>
        </w:tc>
        <w:tc>
          <w:tcPr>
            <w:tcW w:w="2840" w:type="dxa"/>
          </w:tcPr>
          <w:p w14:paraId="70B3B91D" w14:textId="77777777" w:rsidR="003B7027" w:rsidRPr="005F70CC" w:rsidRDefault="00296A74" w:rsidP="006E5F9A">
            <w:pPr>
              <w:pStyle w:val="TableParagraph"/>
              <w:suppressAutoHyphens/>
              <w:jc w:val="center"/>
              <w:rPr>
                <w:sz w:val="20"/>
                <w:szCs w:val="20"/>
              </w:rPr>
            </w:pPr>
            <w:r w:rsidRPr="005F70CC">
              <w:rPr>
                <w:sz w:val="20"/>
                <w:szCs w:val="20"/>
              </w:rPr>
              <w:t>91,3 ± 40,4</w:t>
            </w:r>
          </w:p>
        </w:tc>
        <w:tc>
          <w:tcPr>
            <w:tcW w:w="2976" w:type="dxa"/>
          </w:tcPr>
          <w:p w14:paraId="39D170D1" w14:textId="77777777" w:rsidR="003B7027" w:rsidRPr="005F70CC" w:rsidRDefault="00296A74" w:rsidP="006E5F9A">
            <w:pPr>
              <w:pStyle w:val="TableParagraph"/>
              <w:suppressAutoHyphens/>
              <w:jc w:val="center"/>
              <w:rPr>
                <w:sz w:val="20"/>
                <w:szCs w:val="20"/>
              </w:rPr>
            </w:pPr>
            <w:r w:rsidRPr="005F70CC">
              <w:rPr>
                <w:sz w:val="20"/>
                <w:szCs w:val="20"/>
              </w:rPr>
              <w:t>101 ± 43,2</w:t>
            </w:r>
          </w:p>
        </w:tc>
      </w:tr>
      <w:tr w:rsidR="003B7027" w:rsidRPr="00777B93" w14:paraId="7858EE75" w14:textId="77777777" w:rsidTr="000F5A9F">
        <w:trPr>
          <w:cantSplit/>
        </w:trPr>
        <w:tc>
          <w:tcPr>
            <w:tcW w:w="2972" w:type="dxa"/>
          </w:tcPr>
          <w:p w14:paraId="1BDB9558" w14:textId="77777777" w:rsidR="003B7027" w:rsidRPr="005F70CC" w:rsidRDefault="00296A74" w:rsidP="006E5F9A">
            <w:pPr>
              <w:pStyle w:val="TableParagraph"/>
              <w:suppressAutoHyphens/>
              <w:rPr>
                <w:sz w:val="20"/>
                <w:szCs w:val="20"/>
              </w:rPr>
            </w:pPr>
            <w:r w:rsidRPr="005F70CC">
              <w:rPr>
                <w:sz w:val="20"/>
                <w:szCs w:val="20"/>
              </w:rPr>
              <w:t>Kumuloitumisen C</w:t>
            </w:r>
            <w:r w:rsidRPr="005F70CC">
              <w:rPr>
                <w:sz w:val="20"/>
                <w:szCs w:val="20"/>
                <w:vertAlign w:val="subscript"/>
              </w:rPr>
              <w:t>max</w:t>
            </w:r>
          </w:p>
        </w:tc>
        <w:tc>
          <w:tcPr>
            <w:tcW w:w="2840" w:type="dxa"/>
          </w:tcPr>
          <w:p w14:paraId="51FD23EA" w14:textId="77777777" w:rsidR="003B7027" w:rsidRPr="005F70CC" w:rsidRDefault="00296A74" w:rsidP="006E5F9A">
            <w:pPr>
              <w:pStyle w:val="TableParagraph"/>
              <w:suppressAutoHyphens/>
              <w:jc w:val="center"/>
              <w:rPr>
                <w:sz w:val="20"/>
                <w:szCs w:val="20"/>
              </w:rPr>
            </w:pPr>
            <w:r w:rsidRPr="005F70CC">
              <w:rPr>
                <w:sz w:val="20"/>
                <w:szCs w:val="20"/>
              </w:rPr>
              <w:t>3,66</w:t>
            </w:r>
          </w:p>
        </w:tc>
        <w:tc>
          <w:tcPr>
            <w:tcW w:w="2976" w:type="dxa"/>
          </w:tcPr>
          <w:p w14:paraId="7757A4C4" w14:textId="77777777" w:rsidR="003B7027" w:rsidRPr="005F70CC" w:rsidRDefault="00296A74" w:rsidP="006E5F9A">
            <w:pPr>
              <w:pStyle w:val="TableParagraph"/>
              <w:suppressAutoHyphens/>
              <w:jc w:val="center"/>
              <w:rPr>
                <w:sz w:val="20"/>
                <w:szCs w:val="20"/>
              </w:rPr>
            </w:pPr>
            <w:r w:rsidRPr="005F70CC">
              <w:rPr>
                <w:sz w:val="20"/>
                <w:szCs w:val="20"/>
              </w:rPr>
              <w:t>1,88</w:t>
            </w:r>
          </w:p>
        </w:tc>
      </w:tr>
      <w:tr w:rsidR="003B7027" w:rsidRPr="00777B93" w14:paraId="47FD1258" w14:textId="77777777" w:rsidTr="000F5A9F">
        <w:trPr>
          <w:cantSplit/>
        </w:trPr>
        <w:tc>
          <w:tcPr>
            <w:tcW w:w="2972" w:type="dxa"/>
          </w:tcPr>
          <w:p w14:paraId="06C0F711" w14:textId="77777777" w:rsidR="003B7027" w:rsidRPr="005F70CC" w:rsidRDefault="00296A74" w:rsidP="006E5F9A">
            <w:pPr>
              <w:pStyle w:val="TableParagraph"/>
              <w:suppressAutoHyphens/>
              <w:rPr>
                <w:sz w:val="20"/>
                <w:szCs w:val="20"/>
              </w:rPr>
            </w:pPr>
            <w:r w:rsidRPr="005F70CC">
              <w:rPr>
                <w:sz w:val="20"/>
                <w:szCs w:val="20"/>
              </w:rPr>
              <w:t>Kumuloitumisen C</w:t>
            </w:r>
            <w:r w:rsidRPr="005F70CC">
              <w:rPr>
                <w:sz w:val="20"/>
                <w:szCs w:val="20"/>
                <w:vertAlign w:val="subscript"/>
              </w:rPr>
              <w:t>min</w:t>
            </w:r>
          </w:p>
        </w:tc>
        <w:tc>
          <w:tcPr>
            <w:tcW w:w="2840" w:type="dxa"/>
          </w:tcPr>
          <w:p w14:paraId="33D304B1" w14:textId="77777777" w:rsidR="003B7027" w:rsidRPr="005F70CC" w:rsidRDefault="00296A74" w:rsidP="006E5F9A">
            <w:pPr>
              <w:pStyle w:val="TableParagraph"/>
              <w:suppressAutoHyphens/>
              <w:jc w:val="center"/>
              <w:rPr>
                <w:sz w:val="20"/>
                <w:szCs w:val="20"/>
              </w:rPr>
            </w:pPr>
            <w:r w:rsidRPr="005F70CC">
              <w:rPr>
                <w:sz w:val="20"/>
                <w:szCs w:val="20"/>
              </w:rPr>
              <w:t>4,39</w:t>
            </w:r>
          </w:p>
        </w:tc>
        <w:tc>
          <w:tcPr>
            <w:tcW w:w="2976" w:type="dxa"/>
          </w:tcPr>
          <w:p w14:paraId="4167D903" w14:textId="77777777" w:rsidR="003B7027" w:rsidRPr="005F70CC" w:rsidRDefault="00296A74" w:rsidP="006E5F9A">
            <w:pPr>
              <w:pStyle w:val="TableParagraph"/>
              <w:suppressAutoHyphens/>
              <w:jc w:val="center"/>
              <w:rPr>
                <w:sz w:val="20"/>
                <w:szCs w:val="20"/>
              </w:rPr>
            </w:pPr>
            <w:r w:rsidRPr="005F70CC">
              <w:rPr>
                <w:sz w:val="20"/>
                <w:szCs w:val="20"/>
              </w:rPr>
              <w:t>3,21</w:t>
            </w:r>
          </w:p>
        </w:tc>
      </w:tr>
      <w:tr w:rsidR="003B7027" w:rsidRPr="00777B93" w14:paraId="60B4C740" w14:textId="77777777" w:rsidTr="000F5A9F">
        <w:trPr>
          <w:cantSplit/>
        </w:trPr>
        <w:tc>
          <w:tcPr>
            <w:tcW w:w="2972" w:type="dxa"/>
          </w:tcPr>
          <w:p w14:paraId="52B59408" w14:textId="77777777" w:rsidR="003B7027" w:rsidRPr="005F70CC" w:rsidRDefault="00296A74" w:rsidP="006E5F9A">
            <w:pPr>
              <w:pStyle w:val="TableParagraph"/>
              <w:suppressAutoHyphens/>
              <w:rPr>
                <w:sz w:val="20"/>
                <w:szCs w:val="20"/>
              </w:rPr>
            </w:pPr>
            <w:r w:rsidRPr="005F70CC">
              <w:rPr>
                <w:sz w:val="20"/>
                <w:szCs w:val="20"/>
              </w:rPr>
              <w:t>Kumuloitumisen C</w:t>
            </w:r>
            <w:r w:rsidRPr="005F70CC">
              <w:rPr>
                <w:sz w:val="20"/>
                <w:szCs w:val="20"/>
                <w:vertAlign w:val="subscript"/>
              </w:rPr>
              <w:t>mean</w:t>
            </w:r>
            <w:r w:rsidRPr="005F70CC">
              <w:rPr>
                <w:sz w:val="20"/>
                <w:szCs w:val="20"/>
              </w:rPr>
              <w:t xml:space="preserve"> tai AUC</w:t>
            </w:r>
            <w:r w:rsidRPr="005F70CC">
              <w:rPr>
                <w:sz w:val="20"/>
                <w:szCs w:val="20"/>
                <w:vertAlign w:val="subscript"/>
              </w:rPr>
              <w:t>τ</w:t>
            </w:r>
            <w:r w:rsidRPr="005F70CC">
              <w:rPr>
                <w:sz w:val="20"/>
                <w:szCs w:val="20"/>
              </w:rPr>
              <w:t>*</w:t>
            </w:r>
          </w:p>
        </w:tc>
        <w:tc>
          <w:tcPr>
            <w:tcW w:w="2840" w:type="dxa"/>
          </w:tcPr>
          <w:p w14:paraId="1AFCDD7C" w14:textId="77777777" w:rsidR="003B7027" w:rsidRPr="005F70CC" w:rsidRDefault="00296A74" w:rsidP="006E5F9A">
            <w:pPr>
              <w:pStyle w:val="TableParagraph"/>
              <w:suppressAutoHyphens/>
              <w:jc w:val="center"/>
              <w:rPr>
                <w:sz w:val="20"/>
                <w:szCs w:val="20"/>
              </w:rPr>
            </w:pPr>
            <w:r w:rsidRPr="005F70CC">
              <w:rPr>
                <w:sz w:val="20"/>
                <w:szCs w:val="20"/>
              </w:rPr>
              <w:t>4,28</w:t>
            </w:r>
          </w:p>
        </w:tc>
        <w:tc>
          <w:tcPr>
            <w:tcW w:w="2976" w:type="dxa"/>
          </w:tcPr>
          <w:p w14:paraId="71C9AB12" w14:textId="77777777" w:rsidR="003B7027" w:rsidRPr="005F70CC" w:rsidRDefault="00296A74" w:rsidP="006E5F9A">
            <w:pPr>
              <w:pStyle w:val="TableParagraph"/>
              <w:suppressAutoHyphens/>
              <w:jc w:val="center"/>
              <w:rPr>
                <w:sz w:val="20"/>
                <w:szCs w:val="20"/>
              </w:rPr>
            </w:pPr>
            <w:r w:rsidRPr="005F70CC">
              <w:rPr>
                <w:sz w:val="20"/>
                <w:szCs w:val="20"/>
              </w:rPr>
              <w:t>2,27</w:t>
            </w:r>
          </w:p>
        </w:tc>
      </w:tr>
    </w:tbl>
    <w:p w14:paraId="124CC9E1" w14:textId="77777777" w:rsidR="003B7027" w:rsidRPr="00CA43F5" w:rsidRDefault="00296A74" w:rsidP="006E5F9A">
      <w:pPr>
        <w:rPr>
          <w:sz w:val="18"/>
          <w:lang w:val="fi-FI"/>
        </w:rPr>
      </w:pPr>
      <w:r w:rsidRPr="00CA43F5">
        <w:rPr>
          <w:sz w:val="18"/>
          <w:lang w:val="fi-FI"/>
        </w:rPr>
        <w:t>*</w:t>
      </w:r>
      <w:r w:rsidRPr="0028514E">
        <w:rPr>
          <w:sz w:val="18"/>
        </w:rPr>
        <w:t>τ</w:t>
      </w:r>
      <w:r w:rsidRPr="00CA43F5">
        <w:rPr>
          <w:sz w:val="18"/>
          <w:lang w:val="fi-FI"/>
        </w:rPr>
        <w:t xml:space="preserve"> = kaksi hoito-ohjelmaa: kerran viikossa ja joka toinen viikko ihon alle</w:t>
      </w:r>
    </w:p>
    <w:p w14:paraId="26E9783C" w14:textId="77777777" w:rsidR="003B7027" w:rsidRPr="0028514E" w:rsidRDefault="003B7027" w:rsidP="006E5F9A">
      <w:pPr>
        <w:pStyle w:val="a4"/>
        <w:ind w:left="0"/>
        <w:rPr>
          <w:sz w:val="18"/>
        </w:rPr>
      </w:pPr>
    </w:p>
    <w:p w14:paraId="65B651D0" w14:textId="77777777" w:rsidR="003B7027" w:rsidRPr="0028514E" w:rsidRDefault="00296A74" w:rsidP="006E5F9A">
      <w:pPr>
        <w:pStyle w:val="a4"/>
        <w:ind w:left="0"/>
      </w:pPr>
      <w:r w:rsidRPr="0028514E">
        <w:t>Noin 90 % potilaista saavutti vakaan tilan ihon alle annettujen annosten 162 mg kerran viikossa ja joka toinen viikko yhteydessä viikkoon 12 mennessä.</w:t>
      </w:r>
    </w:p>
    <w:p w14:paraId="1E6D855C" w14:textId="77777777" w:rsidR="003B7027" w:rsidRPr="0028514E" w:rsidRDefault="003B7027" w:rsidP="006E5F9A">
      <w:pPr>
        <w:pStyle w:val="a4"/>
        <w:ind w:left="0"/>
      </w:pPr>
    </w:p>
    <w:p w14:paraId="6AA1EA5E" w14:textId="77777777" w:rsidR="003B7027" w:rsidRPr="0028514E" w:rsidRDefault="00296A74" w:rsidP="006E5F9A">
      <w:pPr>
        <w:pStyle w:val="a4"/>
        <w:ind w:left="0"/>
      </w:pPr>
      <w:r w:rsidRPr="0028514E">
        <w:rPr>
          <w:u w:val="single"/>
        </w:rPr>
        <w:t>Imeytyminen</w:t>
      </w:r>
    </w:p>
    <w:p w14:paraId="60A91115" w14:textId="77777777" w:rsidR="003B7027" w:rsidRPr="0028514E" w:rsidRDefault="00296A74" w:rsidP="006E5F9A">
      <w:pPr>
        <w:pStyle w:val="a4"/>
        <w:ind w:left="0"/>
      </w:pPr>
      <w:r w:rsidRPr="0028514E">
        <w:t>Yleisoireista lastenreumaa sairastavien lapsipotilaiden ihon alle annettuna imeytymisen puoliintumisaika oli noin 2 vuorokautta ja yleisoireista lastenreumaa sairastavien lapsipotilaiden ihon alle annettavaksi tarkoitetun lääkemuodon biologinen hyötyosuus oli 95 %.</w:t>
      </w:r>
    </w:p>
    <w:p w14:paraId="510132E9" w14:textId="77777777" w:rsidR="008B2BB7" w:rsidRPr="0028514E" w:rsidRDefault="008B2BB7" w:rsidP="006E5F9A">
      <w:pPr>
        <w:pStyle w:val="a4"/>
        <w:ind w:left="0"/>
      </w:pPr>
    </w:p>
    <w:p w14:paraId="360AFE25" w14:textId="77777777" w:rsidR="003B7027" w:rsidRPr="0028514E" w:rsidRDefault="00296A74" w:rsidP="00C428D4">
      <w:pPr>
        <w:pStyle w:val="a4"/>
        <w:keepNext/>
        <w:ind w:left="0"/>
      </w:pPr>
      <w:r w:rsidRPr="0028514E">
        <w:rPr>
          <w:u w:val="single"/>
        </w:rPr>
        <w:t>Jakautuminen</w:t>
      </w:r>
    </w:p>
    <w:p w14:paraId="5EC4A1B0" w14:textId="77777777" w:rsidR="003B7027" w:rsidRPr="0028514E" w:rsidRDefault="00296A74" w:rsidP="006E5F9A">
      <w:pPr>
        <w:pStyle w:val="a4"/>
        <w:ind w:left="0"/>
      </w:pPr>
      <w:r w:rsidRPr="0028514E">
        <w:t>Yleisoireista lastenreumaa sairastavien lapsipotilaiden keskusjakautumistilavuus oli 1,87 l ja ääreisjakautumistilavuus oli 2,14 l, joten vakaan tilan jakautumistilavuus oli 4,01 l.</w:t>
      </w:r>
    </w:p>
    <w:p w14:paraId="387BCB62" w14:textId="77777777" w:rsidR="008B2BB7" w:rsidRPr="00E05E35" w:rsidRDefault="008B2BB7" w:rsidP="006E5F9A">
      <w:pPr>
        <w:pStyle w:val="a4"/>
        <w:ind w:left="0"/>
      </w:pPr>
    </w:p>
    <w:p w14:paraId="00363E68" w14:textId="77777777" w:rsidR="003B7027" w:rsidRPr="00E05E35" w:rsidRDefault="00296A74" w:rsidP="006E5F9A">
      <w:pPr>
        <w:pStyle w:val="a4"/>
        <w:ind w:left="0"/>
      </w:pPr>
      <w:r w:rsidRPr="00E05E35">
        <w:rPr>
          <w:u w:val="single"/>
        </w:rPr>
        <w:t>Eliminaatio</w:t>
      </w:r>
    </w:p>
    <w:p w14:paraId="3C04BA0E" w14:textId="5874D1D1" w:rsidR="003B7027" w:rsidRPr="00E05E35" w:rsidRDefault="00296A74" w:rsidP="006E5F9A">
      <w:pPr>
        <w:pStyle w:val="a4"/>
        <w:ind w:left="0"/>
      </w:pPr>
      <w:r w:rsidRPr="00E05E35">
        <w:t>Tosilitsumabin kokonaispuhdistuma oli pitoisuudesta riippuvainen ja se on lineaarisen ja epälineaarisen puhdistuman summa. Lineaarista puhdistumaa arvioitiin populaatiofarmakokineettisen analyysin parametrina, ja se oli yleisoireista lastenreumaa sairastavilla lapsipotilailla 5,7 ml/h.</w:t>
      </w:r>
      <w:r w:rsidR="008B2BB7" w:rsidRPr="00E05E35">
        <w:t xml:space="preserve"> </w:t>
      </w:r>
      <w:r w:rsidRPr="00E05E35">
        <w:t xml:space="preserve">Yleisoireista lastenreumaa sairastavien lapsipotilaiden ihon alle annetun </w:t>
      </w:r>
      <w:r w:rsidR="000C4216">
        <w:t xml:space="preserve">tosilitsumabin </w:t>
      </w:r>
      <w:r w:rsidRPr="00E05E35">
        <w:t>efektiivinen t</w:t>
      </w:r>
      <w:r w:rsidRPr="00E05E35">
        <w:rPr>
          <w:vertAlign w:val="subscript"/>
        </w:rPr>
        <w:t>½</w:t>
      </w:r>
      <w:r w:rsidRPr="00E05E35">
        <w:t xml:space="preserve"> on antovälin aikana vakaassa tilassa enintään 14 vuorokautta riippumatta siitä, annetaanko annos 162 mg kerran viikossa vai joka toinen viikko.</w:t>
      </w:r>
    </w:p>
    <w:p w14:paraId="1C626D40" w14:textId="77777777" w:rsidR="008B2BB7" w:rsidRPr="00E05E35" w:rsidRDefault="008B2BB7" w:rsidP="006E5F9A">
      <w:pPr>
        <w:pStyle w:val="a4"/>
        <w:ind w:left="0"/>
        <w:rPr>
          <w:u w:val="single"/>
        </w:rPr>
      </w:pPr>
    </w:p>
    <w:p w14:paraId="07060107" w14:textId="77777777" w:rsidR="008B2BB7" w:rsidRPr="00E05E35" w:rsidRDefault="00296A74" w:rsidP="006E5F9A">
      <w:pPr>
        <w:pStyle w:val="a4"/>
        <w:ind w:left="0"/>
      </w:pPr>
      <w:r w:rsidRPr="00E05E35">
        <w:rPr>
          <w:u w:val="single"/>
        </w:rPr>
        <w:t>Polyartriitti</w:t>
      </w:r>
    </w:p>
    <w:p w14:paraId="0C6215AE" w14:textId="77777777" w:rsidR="003B7027" w:rsidRPr="00E05E35" w:rsidRDefault="00296A74" w:rsidP="006E5F9A">
      <w:pPr>
        <w:pStyle w:val="a4"/>
        <w:ind w:left="0"/>
      </w:pPr>
      <w:r w:rsidRPr="00E05E35">
        <w:rPr>
          <w:u w:val="single"/>
        </w:rPr>
        <w:t>Ihonalainen annostelu</w:t>
      </w:r>
    </w:p>
    <w:p w14:paraId="29E6672A" w14:textId="2A8E5E03" w:rsidR="003B7027" w:rsidRPr="00E05E35" w:rsidRDefault="000C4216" w:rsidP="006E5F9A">
      <w:pPr>
        <w:pStyle w:val="a4"/>
        <w:ind w:left="0"/>
      </w:pPr>
      <w:r>
        <w:t xml:space="preserve">Tosilitsumabin </w:t>
      </w:r>
      <w:r w:rsidR="00296A74" w:rsidRPr="00E05E35">
        <w:t>farmakokinetiikka määritettiin populaatiofarmakokineettisellä analyysillä</w:t>
      </w:r>
      <w:r w:rsidR="008B2BB7" w:rsidRPr="00E05E35">
        <w:t xml:space="preserve"> </w:t>
      </w:r>
      <w:r w:rsidR="00296A74" w:rsidRPr="00E05E35">
        <w:t xml:space="preserve">237 polyartriittia sairastavan potilaan potilasjoukosta. Potilaat olivat saaneet </w:t>
      </w:r>
      <w:r>
        <w:t xml:space="preserve">tosilitsumabia </w:t>
      </w:r>
      <w:r w:rsidR="00296A74" w:rsidRPr="00E05E35">
        <w:t>8 mg/kg laskimoon joka neljäs viikko (≥ 30 kg painavat potilaat), 10 mg/kg laskimoon joka neljäs viikko</w:t>
      </w:r>
      <w:r w:rsidR="008B2BB7" w:rsidRPr="00E05E35">
        <w:t xml:space="preserve"> </w:t>
      </w:r>
      <w:r w:rsidR="00296A74" w:rsidRPr="00E05E35">
        <w:t>(&lt; 30 kg painavat potilaat), 162 mg ihon alle joka toinen viikko (≥ 30 kg painavat potilaat), 162 mg ihon alle joka kolmas viikko (&lt; 30 kg painavat potilaat)</w:t>
      </w:r>
    </w:p>
    <w:p w14:paraId="07107D85" w14:textId="77777777" w:rsidR="008B2BB7" w:rsidRPr="00E05E35" w:rsidRDefault="008B2BB7" w:rsidP="006E5F9A">
      <w:pPr>
        <w:pStyle w:val="a4"/>
        <w:ind w:left="0"/>
      </w:pPr>
    </w:p>
    <w:p w14:paraId="1EAC00D4" w14:textId="77777777" w:rsidR="003B7027" w:rsidRPr="00CA43F5" w:rsidRDefault="00296A74" w:rsidP="00E05E35">
      <w:pPr>
        <w:pStyle w:val="Tabletitle"/>
        <w:rPr>
          <w:lang w:val="fi-FI"/>
        </w:rPr>
      </w:pPr>
      <w:r w:rsidRPr="00CA43F5">
        <w:rPr>
          <w:lang w:val="fi-FI"/>
        </w:rPr>
        <w:t>Taulukko 9.</w:t>
      </w:r>
      <w:r w:rsidR="008B2BB7" w:rsidRPr="00CA43F5">
        <w:rPr>
          <w:lang w:val="fi-FI"/>
        </w:rPr>
        <w:tab/>
      </w:r>
      <w:r w:rsidRPr="00CA43F5">
        <w:rPr>
          <w:lang w:val="fi-FI"/>
        </w:rPr>
        <w:t>Polyartriittia sairastaville lapsipotilaille ihon alle annetun hoidon farmakokineettisten parametrien ennakoidut vakaan tilan keskiarvot ± keskihajonnat</w:t>
      </w:r>
    </w:p>
    <w:p w14:paraId="47A8909E" w14:textId="77777777" w:rsidR="008B2BB7" w:rsidRPr="00CA43F5" w:rsidRDefault="008B2BB7" w:rsidP="00E05E35">
      <w:pPr>
        <w:rPr>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968"/>
        <w:gridCol w:w="2873"/>
        <w:gridCol w:w="2915"/>
      </w:tblGrid>
      <w:tr w:rsidR="003B7027" w:rsidRPr="00ED6BAC" w14:paraId="5E684461" w14:textId="77777777" w:rsidTr="00EC0612">
        <w:trPr>
          <w:trHeight w:val="20"/>
        </w:trPr>
        <w:tc>
          <w:tcPr>
            <w:tcW w:w="2968" w:type="dxa"/>
          </w:tcPr>
          <w:p w14:paraId="28C0E1CE" w14:textId="32B97195" w:rsidR="003B7027" w:rsidRPr="005F70CC" w:rsidRDefault="000C4216" w:rsidP="006E5F9A">
            <w:pPr>
              <w:pStyle w:val="TableParagraph"/>
              <w:rPr>
                <w:b/>
                <w:sz w:val="20"/>
                <w:szCs w:val="20"/>
              </w:rPr>
            </w:pPr>
            <w:r>
              <w:rPr>
                <w:b/>
                <w:sz w:val="20"/>
                <w:szCs w:val="20"/>
              </w:rPr>
              <w:t>Tosilitsumabin</w:t>
            </w:r>
            <w:r w:rsidRPr="005F70CC">
              <w:rPr>
                <w:b/>
                <w:sz w:val="20"/>
                <w:szCs w:val="20"/>
              </w:rPr>
              <w:t xml:space="preserve"> </w:t>
            </w:r>
            <w:r w:rsidR="00296A74" w:rsidRPr="005F70CC">
              <w:rPr>
                <w:b/>
                <w:sz w:val="20"/>
                <w:szCs w:val="20"/>
              </w:rPr>
              <w:t>farmakokineettiset parametrit</w:t>
            </w:r>
          </w:p>
        </w:tc>
        <w:tc>
          <w:tcPr>
            <w:tcW w:w="2873" w:type="dxa"/>
          </w:tcPr>
          <w:p w14:paraId="0AA35E9A" w14:textId="77777777" w:rsidR="003B7027" w:rsidRPr="005F70CC" w:rsidRDefault="00296A74" w:rsidP="006E5F9A">
            <w:pPr>
              <w:pStyle w:val="TableParagraph"/>
              <w:jc w:val="center"/>
              <w:rPr>
                <w:b/>
                <w:sz w:val="20"/>
                <w:szCs w:val="20"/>
              </w:rPr>
            </w:pPr>
            <w:r w:rsidRPr="005F70CC">
              <w:rPr>
                <w:b/>
                <w:sz w:val="20"/>
                <w:szCs w:val="20"/>
              </w:rPr>
              <w:t>162 mg joka 2. viikko ≥ 30 kg</w:t>
            </w:r>
          </w:p>
        </w:tc>
        <w:tc>
          <w:tcPr>
            <w:tcW w:w="2915" w:type="dxa"/>
          </w:tcPr>
          <w:p w14:paraId="3870E75A" w14:textId="77777777" w:rsidR="003B7027" w:rsidRPr="005F70CC" w:rsidRDefault="00296A74" w:rsidP="006E5F9A">
            <w:pPr>
              <w:pStyle w:val="TableParagraph"/>
              <w:jc w:val="center"/>
              <w:rPr>
                <w:b/>
                <w:sz w:val="20"/>
                <w:szCs w:val="20"/>
              </w:rPr>
            </w:pPr>
            <w:r w:rsidRPr="005F70CC">
              <w:rPr>
                <w:b/>
                <w:sz w:val="20"/>
                <w:szCs w:val="20"/>
              </w:rPr>
              <w:t>162 mg joka 3. viikko alle 30 kg</w:t>
            </w:r>
          </w:p>
        </w:tc>
      </w:tr>
      <w:tr w:rsidR="003B7027" w:rsidRPr="00777B93" w14:paraId="6F4FE691" w14:textId="77777777" w:rsidTr="00EC0612">
        <w:trPr>
          <w:trHeight w:val="20"/>
        </w:trPr>
        <w:tc>
          <w:tcPr>
            <w:tcW w:w="2968" w:type="dxa"/>
          </w:tcPr>
          <w:p w14:paraId="61143186" w14:textId="77777777" w:rsidR="003B7027" w:rsidRPr="005F70CC" w:rsidRDefault="00296A74" w:rsidP="006E5F9A">
            <w:pPr>
              <w:pStyle w:val="TableParagraph"/>
              <w:rPr>
                <w:sz w:val="20"/>
                <w:szCs w:val="20"/>
              </w:rPr>
            </w:pPr>
            <w:r w:rsidRPr="005F70CC">
              <w:rPr>
                <w:sz w:val="20"/>
                <w:szCs w:val="20"/>
              </w:rPr>
              <w:t>C</w:t>
            </w:r>
            <w:r w:rsidRPr="005F70CC">
              <w:rPr>
                <w:sz w:val="20"/>
                <w:szCs w:val="20"/>
                <w:vertAlign w:val="subscript"/>
              </w:rPr>
              <w:t>max</w:t>
            </w:r>
            <w:r w:rsidRPr="005F70CC">
              <w:rPr>
                <w:sz w:val="20"/>
                <w:szCs w:val="20"/>
              </w:rPr>
              <w:t xml:space="preserve"> (µg/ml)</w:t>
            </w:r>
          </w:p>
        </w:tc>
        <w:tc>
          <w:tcPr>
            <w:tcW w:w="2873" w:type="dxa"/>
          </w:tcPr>
          <w:p w14:paraId="5EBCDE49" w14:textId="77777777" w:rsidR="003B7027" w:rsidRPr="005F70CC" w:rsidRDefault="00296A74" w:rsidP="006E5F9A">
            <w:pPr>
              <w:pStyle w:val="TableParagraph"/>
              <w:jc w:val="center"/>
              <w:rPr>
                <w:sz w:val="20"/>
                <w:szCs w:val="20"/>
              </w:rPr>
            </w:pPr>
            <w:r w:rsidRPr="005F70CC">
              <w:rPr>
                <w:sz w:val="20"/>
                <w:szCs w:val="20"/>
              </w:rPr>
              <w:t>29,4 ± 13,5</w:t>
            </w:r>
          </w:p>
        </w:tc>
        <w:tc>
          <w:tcPr>
            <w:tcW w:w="2915" w:type="dxa"/>
          </w:tcPr>
          <w:p w14:paraId="0EA872FC" w14:textId="77777777" w:rsidR="003B7027" w:rsidRPr="005F70CC" w:rsidRDefault="00296A74" w:rsidP="006E5F9A">
            <w:pPr>
              <w:pStyle w:val="TableParagraph"/>
              <w:jc w:val="center"/>
              <w:rPr>
                <w:sz w:val="20"/>
                <w:szCs w:val="20"/>
              </w:rPr>
            </w:pPr>
            <w:r w:rsidRPr="005F70CC">
              <w:rPr>
                <w:sz w:val="20"/>
                <w:szCs w:val="20"/>
              </w:rPr>
              <w:t>75,5 ± 24,1</w:t>
            </w:r>
          </w:p>
        </w:tc>
      </w:tr>
      <w:tr w:rsidR="003B7027" w:rsidRPr="00777B93" w14:paraId="4252AFE7" w14:textId="77777777" w:rsidTr="00EC0612">
        <w:trPr>
          <w:trHeight w:val="20"/>
        </w:trPr>
        <w:tc>
          <w:tcPr>
            <w:tcW w:w="2968" w:type="dxa"/>
          </w:tcPr>
          <w:p w14:paraId="674D2B48" w14:textId="77777777" w:rsidR="003B7027" w:rsidRPr="005F70CC" w:rsidRDefault="00296A74" w:rsidP="006E5F9A">
            <w:pPr>
              <w:pStyle w:val="TableParagraph"/>
              <w:rPr>
                <w:sz w:val="20"/>
                <w:szCs w:val="20"/>
              </w:rPr>
            </w:pPr>
            <w:r w:rsidRPr="005F70CC">
              <w:rPr>
                <w:sz w:val="20"/>
                <w:szCs w:val="20"/>
              </w:rPr>
              <w:t>C</w:t>
            </w:r>
            <w:r w:rsidRPr="005F70CC">
              <w:rPr>
                <w:sz w:val="20"/>
                <w:szCs w:val="20"/>
                <w:vertAlign w:val="subscript"/>
              </w:rPr>
              <w:t>min</w:t>
            </w:r>
            <w:r w:rsidRPr="005F70CC">
              <w:rPr>
                <w:sz w:val="20"/>
                <w:szCs w:val="20"/>
              </w:rPr>
              <w:t xml:space="preserve"> (µg/ml)</w:t>
            </w:r>
          </w:p>
        </w:tc>
        <w:tc>
          <w:tcPr>
            <w:tcW w:w="2873" w:type="dxa"/>
          </w:tcPr>
          <w:p w14:paraId="1682447F" w14:textId="77777777" w:rsidR="003B7027" w:rsidRPr="005F70CC" w:rsidRDefault="00296A74" w:rsidP="006E5F9A">
            <w:pPr>
              <w:pStyle w:val="TableParagraph"/>
              <w:jc w:val="center"/>
              <w:rPr>
                <w:sz w:val="20"/>
                <w:szCs w:val="20"/>
              </w:rPr>
            </w:pPr>
            <w:r w:rsidRPr="005F70CC">
              <w:rPr>
                <w:sz w:val="20"/>
                <w:szCs w:val="20"/>
              </w:rPr>
              <w:t>11,8 ± 7,08</w:t>
            </w:r>
          </w:p>
        </w:tc>
        <w:tc>
          <w:tcPr>
            <w:tcW w:w="2915" w:type="dxa"/>
          </w:tcPr>
          <w:p w14:paraId="1E8A7FB9" w14:textId="77777777" w:rsidR="003B7027" w:rsidRPr="005F70CC" w:rsidRDefault="00296A74" w:rsidP="006E5F9A">
            <w:pPr>
              <w:pStyle w:val="TableParagraph"/>
              <w:jc w:val="center"/>
              <w:rPr>
                <w:sz w:val="20"/>
                <w:szCs w:val="20"/>
              </w:rPr>
            </w:pPr>
            <w:r w:rsidRPr="005F70CC">
              <w:rPr>
                <w:sz w:val="20"/>
                <w:szCs w:val="20"/>
              </w:rPr>
              <w:t>18,4 ± 12,9</w:t>
            </w:r>
          </w:p>
        </w:tc>
      </w:tr>
      <w:tr w:rsidR="003B7027" w:rsidRPr="00777B93" w14:paraId="5517A61B" w14:textId="77777777" w:rsidTr="00EC0612">
        <w:trPr>
          <w:trHeight w:val="20"/>
        </w:trPr>
        <w:tc>
          <w:tcPr>
            <w:tcW w:w="2968" w:type="dxa"/>
          </w:tcPr>
          <w:p w14:paraId="793306A2" w14:textId="77777777" w:rsidR="003B7027" w:rsidRPr="005F70CC" w:rsidRDefault="00296A74" w:rsidP="006E5F9A">
            <w:pPr>
              <w:pStyle w:val="TableParagraph"/>
              <w:rPr>
                <w:sz w:val="20"/>
                <w:szCs w:val="20"/>
              </w:rPr>
            </w:pPr>
            <w:r w:rsidRPr="005F70CC">
              <w:rPr>
                <w:sz w:val="20"/>
                <w:szCs w:val="20"/>
              </w:rPr>
              <w:t>C</w:t>
            </w:r>
            <w:r w:rsidRPr="005F70CC">
              <w:rPr>
                <w:sz w:val="20"/>
                <w:szCs w:val="20"/>
                <w:vertAlign w:val="subscript"/>
              </w:rPr>
              <w:t>avg</w:t>
            </w:r>
            <w:r w:rsidRPr="005F70CC">
              <w:rPr>
                <w:sz w:val="20"/>
                <w:szCs w:val="20"/>
              </w:rPr>
              <w:t xml:space="preserve"> (µg/ml)</w:t>
            </w:r>
          </w:p>
        </w:tc>
        <w:tc>
          <w:tcPr>
            <w:tcW w:w="2873" w:type="dxa"/>
          </w:tcPr>
          <w:p w14:paraId="35926D43" w14:textId="77777777" w:rsidR="003B7027" w:rsidRPr="005F70CC" w:rsidRDefault="00296A74" w:rsidP="006E5F9A">
            <w:pPr>
              <w:pStyle w:val="TableParagraph"/>
              <w:jc w:val="center"/>
              <w:rPr>
                <w:sz w:val="20"/>
                <w:szCs w:val="20"/>
              </w:rPr>
            </w:pPr>
            <w:r w:rsidRPr="005F70CC">
              <w:rPr>
                <w:sz w:val="20"/>
                <w:szCs w:val="20"/>
              </w:rPr>
              <w:t>21,7 ± 10,4</w:t>
            </w:r>
          </w:p>
        </w:tc>
        <w:tc>
          <w:tcPr>
            <w:tcW w:w="2915" w:type="dxa"/>
          </w:tcPr>
          <w:p w14:paraId="4D767948" w14:textId="77777777" w:rsidR="003B7027" w:rsidRPr="005F70CC" w:rsidRDefault="00296A74" w:rsidP="006E5F9A">
            <w:pPr>
              <w:pStyle w:val="TableParagraph"/>
              <w:jc w:val="center"/>
              <w:rPr>
                <w:sz w:val="20"/>
                <w:szCs w:val="20"/>
              </w:rPr>
            </w:pPr>
            <w:r w:rsidRPr="005F70CC">
              <w:rPr>
                <w:sz w:val="20"/>
                <w:szCs w:val="20"/>
              </w:rPr>
              <w:t>45,5 ± 19,8</w:t>
            </w:r>
          </w:p>
        </w:tc>
      </w:tr>
      <w:tr w:rsidR="003B7027" w:rsidRPr="00777B93" w14:paraId="267A0975" w14:textId="77777777" w:rsidTr="00EC0612">
        <w:trPr>
          <w:trHeight w:val="20"/>
        </w:trPr>
        <w:tc>
          <w:tcPr>
            <w:tcW w:w="2968" w:type="dxa"/>
          </w:tcPr>
          <w:p w14:paraId="074C49AE" w14:textId="77777777" w:rsidR="003B7027" w:rsidRPr="005F70CC" w:rsidRDefault="00296A74" w:rsidP="006E5F9A">
            <w:pPr>
              <w:pStyle w:val="TableParagraph"/>
              <w:rPr>
                <w:sz w:val="20"/>
                <w:szCs w:val="20"/>
              </w:rPr>
            </w:pPr>
            <w:r w:rsidRPr="005F70CC">
              <w:rPr>
                <w:sz w:val="20"/>
                <w:szCs w:val="20"/>
              </w:rPr>
              <w:t>Kumuloitumisen C</w:t>
            </w:r>
            <w:r w:rsidRPr="005F70CC">
              <w:rPr>
                <w:sz w:val="20"/>
                <w:szCs w:val="20"/>
                <w:vertAlign w:val="subscript"/>
              </w:rPr>
              <w:t>max</w:t>
            </w:r>
          </w:p>
        </w:tc>
        <w:tc>
          <w:tcPr>
            <w:tcW w:w="2873" w:type="dxa"/>
          </w:tcPr>
          <w:p w14:paraId="14B352F5" w14:textId="77777777" w:rsidR="003B7027" w:rsidRPr="005F70CC" w:rsidRDefault="00296A74" w:rsidP="006E5F9A">
            <w:pPr>
              <w:pStyle w:val="TableParagraph"/>
              <w:jc w:val="center"/>
              <w:rPr>
                <w:sz w:val="20"/>
                <w:szCs w:val="20"/>
              </w:rPr>
            </w:pPr>
            <w:r w:rsidRPr="005F70CC">
              <w:rPr>
                <w:sz w:val="20"/>
                <w:szCs w:val="20"/>
              </w:rPr>
              <w:t>1,72</w:t>
            </w:r>
          </w:p>
        </w:tc>
        <w:tc>
          <w:tcPr>
            <w:tcW w:w="2915" w:type="dxa"/>
          </w:tcPr>
          <w:p w14:paraId="3E824411" w14:textId="77777777" w:rsidR="003B7027" w:rsidRPr="005F70CC" w:rsidRDefault="00296A74" w:rsidP="006E5F9A">
            <w:pPr>
              <w:pStyle w:val="TableParagraph"/>
              <w:jc w:val="center"/>
              <w:rPr>
                <w:sz w:val="20"/>
                <w:szCs w:val="20"/>
              </w:rPr>
            </w:pPr>
            <w:r w:rsidRPr="005F70CC">
              <w:rPr>
                <w:sz w:val="20"/>
                <w:szCs w:val="20"/>
              </w:rPr>
              <w:t>1,32</w:t>
            </w:r>
          </w:p>
        </w:tc>
      </w:tr>
      <w:tr w:rsidR="003B7027" w:rsidRPr="00777B93" w14:paraId="14213B7E" w14:textId="77777777" w:rsidTr="00EC0612">
        <w:trPr>
          <w:trHeight w:val="20"/>
        </w:trPr>
        <w:tc>
          <w:tcPr>
            <w:tcW w:w="2968" w:type="dxa"/>
          </w:tcPr>
          <w:p w14:paraId="32C999B5" w14:textId="77777777" w:rsidR="003B7027" w:rsidRPr="005F70CC" w:rsidRDefault="00296A74" w:rsidP="006E5F9A">
            <w:pPr>
              <w:pStyle w:val="TableParagraph"/>
              <w:rPr>
                <w:sz w:val="20"/>
                <w:szCs w:val="20"/>
              </w:rPr>
            </w:pPr>
            <w:r w:rsidRPr="005F70CC">
              <w:rPr>
                <w:sz w:val="20"/>
                <w:szCs w:val="20"/>
              </w:rPr>
              <w:t>Kumuloitumisen C</w:t>
            </w:r>
            <w:r w:rsidRPr="005F70CC">
              <w:rPr>
                <w:sz w:val="20"/>
                <w:szCs w:val="20"/>
                <w:vertAlign w:val="subscript"/>
              </w:rPr>
              <w:t>min</w:t>
            </w:r>
          </w:p>
        </w:tc>
        <w:tc>
          <w:tcPr>
            <w:tcW w:w="2873" w:type="dxa"/>
          </w:tcPr>
          <w:p w14:paraId="7B1A842D" w14:textId="77777777" w:rsidR="003B7027" w:rsidRPr="005F70CC" w:rsidRDefault="00296A74" w:rsidP="006E5F9A">
            <w:pPr>
              <w:pStyle w:val="TableParagraph"/>
              <w:jc w:val="center"/>
              <w:rPr>
                <w:sz w:val="20"/>
                <w:szCs w:val="20"/>
              </w:rPr>
            </w:pPr>
            <w:r w:rsidRPr="005F70CC">
              <w:rPr>
                <w:sz w:val="20"/>
                <w:szCs w:val="20"/>
              </w:rPr>
              <w:t>3,58</w:t>
            </w:r>
          </w:p>
        </w:tc>
        <w:tc>
          <w:tcPr>
            <w:tcW w:w="2915" w:type="dxa"/>
          </w:tcPr>
          <w:p w14:paraId="434DA0DE" w14:textId="77777777" w:rsidR="003B7027" w:rsidRPr="005F70CC" w:rsidRDefault="00296A74" w:rsidP="006E5F9A">
            <w:pPr>
              <w:pStyle w:val="TableParagraph"/>
              <w:jc w:val="center"/>
              <w:rPr>
                <w:sz w:val="20"/>
                <w:szCs w:val="20"/>
              </w:rPr>
            </w:pPr>
            <w:r w:rsidRPr="005F70CC">
              <w:rPr>
                <w:sz w:val="20"/>
                <w:szCs w:val="20"/>
              </w:rPr>
              <w:t>2,08</w:t>
            </w:r>
          </w:p>
        </w:tc>
      </w:tr>
      <w:tr w:rsidR="003B7027" w:rsidRPr="00777B93" w14:paraId="2C9AF6FE" w14:textId="77777777" w:rsidTr="00EC0612">
        <w:trPr>
          <w:trHeight w:val="20"/>
        </w:trPr>
        <w:tc>
          <w:tcPr>
            <w:tcW w:w="2968" w:type="dxa"/>
          </w:tcPr>
          <w:p w14:paraId="59F41841" w14:textId="77777777" w:rsidR="003B7027" w:rsidRPr="005F70CC" w:rsidRDefault="00296A74" w:rsidP="006E5F9A">
            <w:pPr>
              <w:pStyle w:val="TableParagraph"/>
              <w:rPr>
                <w:sz w:val="20"/>
                <w:szCs w:val="20"/>
              </w:rPr>
            </w:pPr>
            <w:r w:rsidRPr="005F70CC">
              <w:rPr>
                <w:sz w:val="20"/>
                <w:szCs w:val="20"/>
              </w:rPr>
              <w:t>Kumuloitumisen C</w:t>
            </w:r>
            <w:r w:rsidRPr="005F70CC">
              <w:rPr>
                <w:sz w:val="20"/>
                <w:szCs w:val="20"/>
                <w:vertAlign w:val="subscript"/>
              </w:rPr>
              <w:t>mean</w:t>
            </w:r>
            <w:r w:rsidRPr="005F70CC">
              <w:rPr>
                <w:sz w:val="20"/>
                <w:szCs w:val="20"/>
              </w:rPr>
              <w:t xml:space="preserve"> tai AUC</w:t>
            </w:r>
            <w:r w:rsidRPr="005F70CC">
              <w:rPr>
                <w:sz w:val="20"/>
                <w:szCs w:val="20"/>
                <w:vertAlign w:val="subscript"/>
              </w:rPr>
              <w:t>τ</w:t>
            </w:r>
            <w:r w:rsidRPr="005F70CC">
              <w:rPr>
                <w:sz w:val="20"/>
                <w:szCs w:val="20"/>
              </w:rPr>
              <w:t xml:space="preserve"> *</w:t>
            </w:r>
          </w:p>
        </w:tc>
        <w:tc>
          <w:tcPr>
            <w:tcW w:w="2873" w:type="dxa"/>
          </w:tcPr>
          <w:p w14:paraId="04535A65" w14:textId="77777777" w:rsidR="003B7027" w:rsidRPr="005F70CC" w:rsidRDefault="00296A74" w:rsidP="006E5F9A">
            <w:pPr>
              <w:pStyle w:val="TableParagraph"/>
              <w:jc w:val="center"/>
              <w:rPr>
                <w:sz w:val="20"/>
                <w:szCs w:val="20"/>
              </w:rPr>
            </w:pPr>
            <w:r w:rsidRPr="005F70CC">
              <w:rPr>
                <w:sz w:val="20"/>
                <w:szCs w:val="20"/>
              </w:rPr>
              <w:t>2,04</w:t>
            </w:r>
          </w:p>
        </w:tc>
        <w:tc>
          <w:tcPr>
            <w:tcW w:w="2915" w:type="dxa"/>
          </w:tcPr>
          <w:p w14:paraId="0CBF93EF" w14:textId="77777777" w:rsidR="003B7027" w:rsidRPr="005F70CC" w:rsidRDefault="00296A74" w:rsidP="006E5F9A">
            <w:pPr>
              <w:pStyle w:val="TableParagraph"/>
              <w:jc w:val="center"/>
              <w:rPr>
                <w:sz w:val="20"/>
                <w:szCs w:val="20"/>
              </w:rPr>
            </w:pPr>
            <w:r w:rsidRPr="005F70CC">
              <w:rPr>
                <w:sz w:val="20"/>
                <w:szCs w:val="20"/>
              </w:rPr>
              <w:t>1,46</w:t>
            </w:r>
          </w:p>
        </w:tc>
      </w:tr>
    </w:tbl>
    <w:p w14:paraId="50022678" w14:textId="77777777" w:rsidR="003B7027" w:rsidRPr="00CA43F5" w:rsidRDefault="00296A74" w:rsidP="006E5F9A">
      <w:pPr>
        <w:rPr>
          <w:sz w:val="18"/>
          <w:lang w:val="fi-FI"/>
        </w:rPr>
      </w:pPr>
      <w:r w:rsidRPr="00CA43F5">
        <w:rPr>
          <w:sz w:val="18"/>
          <w:lang w:val="fi-FI"/>
        </w:rPr>
        <w:t>*</w:t>
      </w:r>
      <w:r w:rsidRPr="0028514E">
        <w:rPr>
          <w:sz w:val="18"/>
        </w:rPr>
        <w:t>τ</w:t>
      </w:r>
      <w:r w:rsidRPr="00CA43F5">
        <w:rPr>
          <w:sz w:val="18"/>
          <w:lang w:val="fi-FI"/>
        </w:rPr>
        <w:t xml:space="preserve"> = kaksi hoito-ohjelmaa: joka 2. viikko tai joka 3. viikko ihon alle</w:t>
      </w:r>
    </w:p>
    <w:p w14:paraId="7D8AAC45" w14:textId="77777777" w:rsidR="003B7027" w:rsidRPr="0028514E" w:rsidRDefault="003B7027" w:rsidP="006E5F9A">
      <w:pPr>
        <w:pStyle w:val="a4"/>
        <w:ind w:left="0"/>
        <w:rPr>
          <w:sz w:val="18"/>
        </w:rPr>
      </w:pPr>
    </w:p>
    <w:p w14:paraId="4BFFDBBC" w14:textId="77777777" w:rsidR="003B7027" w:rsidRPr="0028514E" w:rsidRDefault="00296A74" w:rsidP="006E5F9A">
      <w:pPr>
        <w:pStyle w:val="a4"/>
        <w:ind w:left="0"/>
      </w:pPr>
      <w:r w:rsidRPr="0028514E">
        <w:t xml:space="preserve">Noin 90 % potilaista saavutti vakaan tilan laskimoon annettujen annosten 10 mg/kg (paino &lt; 30 kg) yhteydessä viikkoon 12 mennessä ja annosten 8 mg/kg (paino ≥ 30 kg) yhteydessä viikkoon 16 mennessä. Noin 90 % potilaista kummassakin ryhmässä (antotiheys joka toinen viikko ja joka kolmas </w:t>
      </w:r>
      <w:r w:rsidRPr="0028514E">
        <w:lastRenderedPageBreak/>
        <w:t>viikko) saavutti vakaan tilan ihon alle annettujen 162 mg:n annosten yhteydessä viikkoon 12 mennessä.</w:t>
      </w:r>
    </w:p>
    <w:p w14:paraId="319DA120" w14:textId="77777777" w:rsidR="008B2BB7" w:rsidRPr="0028514E" w:rsidRDefault="008B2BB7" w:rsidP="006E5F9A">
      <w:pPr>
        <w:pStyle w:val="a4"/>
        <w:ind w:left="0"/>
      </w:pPr>
    </w:p>
    <w:p w14:paraId="073B1CB3" w14:textId="77777777" w:rsidR="003B7027" w:rsidRPr="00E05E35" w:rsidRDefault="00296A74" w:rsidP="00455598">
      <w:pPr>
        <w:pStyle w:val="a4"/>
        <w:keepNext/>
        <w:ind w:left="0"/>
      </w:pPr>
      <w:r w:rsidRPr="00E05E35">
        <w:rPr>
          <w:u w:val="single"/>
        </w:rPr>
        <w:t>Imeytyminen</w:t>
      </w:r>
    </w:p>
    <w:p w14:paraId="01C8AADD" w14:textId="77777777" w:rsidR="003B7027" w:rsidRPr="00E05E35" w:rsidRDefault="00296A74" w:rsidP="006E5F9A">
      <w:pPr>
        <w:pStyle w:val="a4"/>
        <w:ind w:left="0"/>
      </w:pPr>
      <w:r w:rsidRPr="00E05E35">
        <w:t>Polyartriittia sairastavien lapsipotilaiden ihon alle annettuna imeytymisen puoliintumisaika oli noin 2 vuorokautta ja polyartriittia sairastavien lapsipotilaiden ihon alle annettavaksi tarkoitetun lääkemuodon biologinen hyötyosuus oli 96 %.</w:t>
      </w:r>
    </w:p>
    <w:p w14:paraId="0A4F9DBB" w14:textId="77777777" w:rsidR="003B7027" w:rsidRPr="00E05E35" w:rsidRDefault="003B7027" w:rsidP="006E5F9A">
      <w:pPr>
        <w:pStyle w:val="a4"/>
        <w:ind w:left="0"/>
      </w:pPr>
    </w:p>
    <w:p w14:paraId="2B62C051" w14:textId="77777777" w:rsidR="003B7027" w:rsidRPr="00E05E35" w:rsidRDefault="00296A74" w:rsidP="006E5F9A">
      <w:pPr>
        <w:pStyle w:val="a4"/>
        <w:ind w:left="0"/>
      </w:pPr>
      <w:r w:rsidRPr="00E05E35">
        <w:rPr>
          <w:u w:val="single"/>
        </w:rPr>
        <w:t>Jakautuminen</w:t>
      </w:r>
    </w:p>
    <w:p w14:paraId="0678A26F" w14:textId="77777777" w:rsidR="003B7027" w:rsidRPr="00E05E35" w:rsidRDefault="00296A74" w:rsidP="006E5F9A">
      <w:pPr>
        <w:pStyle w:val="a4"/>
        <w:ind w:left="0"/>
      </w:pPr>
      <w:r w:rsidRPr="00E05E35">
        <w:t>Polyartriittia sairastavien lapsipotilaiden keskusjakautumistilavuus oli 1,97 l ja ääreisjakautumistilavuus oli 2,03 l, joten vakaan tilan jakautumistilavuus oli 4,0 l.</w:t>
      </w:r>
    </w:p>
    <w:p w14:paraId="5CFC3DB3" w14:textId="77777777" w:rsidR="003B7027" w:rsidRPr="00E05E35" w:rsidRDefault="003B7027" w:rsidP="006E5F9A">
      <w:pPr>
        <w:pStyle w:val="a4"/>
        <w:ind w:left="0"/>
      </w:pPr>
    </w:p>
    <w:p w14:paraId="53D7D527" w14:textId="77777777" w:rsidR="003B7027" w:rsidRPr="00E05E35" w:rsidRDefault="00296A74" w:rsidP="006E5F9A">
      <w:pPr>
        <w:pStyle w:val="a4"/>
        <w:ind w:left="0"/>
      </w:pPr>
      <w:r w:rsidRPr="00E05E35">
        <w:rPr>
          <w:u w:val="single"/>
        </w:rPr>
        <w:t>Eliminaatio</w:t>
      </w:r>
    </w:p>
    <w:p w14:paraId="1A192884" w14:textId="77777777" w:rsidR="003B7027" w:rsidRPr="00E05E35" w:rsidRDefault="00296A74" w:rsidP="003C43CF">
      <w:pPr>
        <w:pStyle w:val="a4"/>
        <w:ind w:left="0"/>
      </w:pPr>
      <w:r w:rsidRPr="00E05E35">
        <w:t>Populaatiofarmakokineettinen analyysi polyartriittia sairastavista lapsipotilaista osoitti, että kehon koko vaikuttaa lineaariseen puhdistumaan ja siksi painoon perustuvaa annostusta tulisi harkita (ks. taulukko 9).</w:t>
      </w:r>
    </w:p>
    <w:p w14:paraId="52340048" w14:textId="77777777" w:rsidR="008B2BB7" w:rsidRPr="00E05E35" w:rsidRDefault="008B2BB7" w:rsidP="003C43CF">
      <w:pPr>
        <w:pStyle w:val="a4"/>
        <w:ind w:left="0"/>
      </w:pPr>
    </w:p>
    <w:p w14:paraId="2FFBAA11" w14:textId="0F472877" w:rsidR="003B7027" w:rsidRPr="0028514E" w:rsidRDefault="00296A74" w:rsidP="006E5F9A">
      <w:pPr>
        <w:pStyle w:val="a4"/>
        <w:ind w:left="0"/>
      </w:pPr>
      <w:r w:rsidRPr="00E05E35">
        <w:t xml:space="preserve">Polyartriittia sairastavien lapsipotilaiden ihon alle annetun </w:t>
      </w:r>
      <w:r w:rsidR="000C4216">
        <w:t xml:space="preserve">tosilitsumabin </w:t>
      </w:r>
      <w:r w:rsidRPr="00E05E35">
        <w:t>efektiivinen t</w:t>
      </w:r>
      <w:r w:rsidRPr="00E05E35">
        <w:rPr>
          <w:vertAlign w:val="subscript"/>
        </w:rPr>
        <w:t>½</w:t>
      </w:r>
      <w:r w:rsidRPr="00E05E35">
        <w:t xml:space="preserve"> on antovälin aikana vakaassa tilassa &lt; 30 kg:n painoisilla potilailla enintään 10 vuorokautta (162 mg ihon alle kerran kolmessa viikossa) ja ≥ 30 kg:n painoisilla potilailla enintään 7 vuorokautta (162 mg ihon alle kerran kahdessa viikossa). Laskimoon annettu tosilitsumabi poistuu verenkierrosta kaksivaiheisesti. Tosilitsumabin kokonaispuhdistuma oli pitoisuudesta riippuvainen ja se on lineaarisen ja epälineaarisen puhdistuman summa. Lineaarista puhdistumaa arvioitiin populaatiofarmakokineettisen </w:t>
      </w:r>
      <w:r w:rsidRPr="0028514E">
        <w:t>analyysin parametrina, ja se oli 6,25 ml/h. Pienten tosilitsumabipitoisuuksien yhteydessä pitoisuudesta riippuvaisella epälineaarisella puhdistumalla on suuri merkitys. Kun epälineaarinen puhdistumareitti on suurempien tosilitsumabipitoisuuksien yhteydessä saturoitunut, puhdistuma määräytyy pääasiassa lineaarisen puhdistuman mukaan.</w:t>
      </w:r>
    </w:p>
    <w:p w14:paraId="64B814D5" w14:textId="77777777" w:rsidR="008B2BB7" w:rsidRPr="0028514E" w:rsidRDefault="008B2BB7" w:rsidP="006E5F9A">
      <w:pPr>
        <w:pStyle w:val="a4"/>
        <w:ind w:left="0"/>
      </w:pPr>
    </w:p>
    <w:p w14:paraId="0504143C" w14:textId="77777777" w:rsidR="008B2BB7" w:rsidRPr="0028514E" w:rsidRDefault="00296A74" w:rsidP="006E5F9A">
      <w:pPr>
        <w:pStyle w:val="a4"/>
        <w:ind w:left="0"/>
      </w:pPr>
      <w:r w:rsidRPr="0028514E">
        <w:rPr>
          <w:u w:val="single"/>
        </w:rPr>
        <w:t>Jättisoluarteriitti</w:t>
      </w:r>
    </w:p>
    <w:p w14:paraId="08890802" w14:textId="77777777" w:rsidR="003B7027" w:rsidRPr="0028514E" w:rsidRDefault="00296A74" w:rsidP="006E5F9A">
      <w:pPr>
        <w:pStyle w:val="a4"/>
        <w:ind w:left="0"/>
      </w:pPr>
      <w:r w:rsidRPr="0028514E">
        <w:rPr>
          <w:u w:val="single"/>
        </w:rPr>
        <w:t>Ihonalainen annostelu</w:t>
      </w:r>
    </w:p>
    <w:p w14:paraId="0C04EFC6" w14:textId="37E80DB6" w:rsidR="003B7027" w:rsidRPr="0028514E" w:rsidRDefault="000C4216" w:rsidP="006E5F9A">
      <w:pPr>
        <w:pStyle w:val="a4"/>
        <w:ind w:left="0"/>
      </w:pPr>
      <w:r>
        <w:t xml:space="preserve">Tosilitsumabin </w:t>
      </w:r>
      <w:r w:rsidR="00296A74" w:rsidRPr="0028514E">
        <w:t>farmakokinetiikkaa jättisoluarteriittia sairastavilla potilailla selvitettiin analysoitavasta tietueesta populaatiofarmakokineettisen mallin avulla. Tietueessa oli mukana</w:t>
      </w:r>
      <w:r w:rsidR="008B2BB7" w:rsidRPr="0028514E">
        <w:t xml:space="preserve"> </w:t>
      </w:r>
      <w:r w:rsidR="00296A74" w:rsidRPr="0028514E">
        <w:t>149 jättisoluarteriittipotilasta, jotka saivat hoitona 162 mg ihon alle viikoittain tai 162 mg ihon alle joka toinen viikko. Kehitetyn mallin rakenne oli sama kuin aiemmin nivelreumapotilaiden tietojen perusteella kehitetty farmakokineettinen malli (ks. taulukko 10).</w:t>
      </w:r>
    </w:p>
    <w:p w14:paraId="346F3780" w14:textId="77777777" w:rsidR="008B2BB7" w:rsidRPr="0028514E" w:rsidRDefault="008B2BB7" w:rsidP="006E5F9A">
      <w:pPr>
        <w:pStyle w:val="a4"/>
        <w:ind w:left="0"/>
      </w:pPr>
    </w:p>
    <w:p w14:paraId="29B108A9" w14:textId="77777777" w:rsidR="003B7027" w:rsidRPr="00CA43F5" w:rsidRDefault="00296A74" w:rsidP="00E05E35">
      <w:pPr>
        <w:pStyle w:val="Tabletitle"/>
        <w:rPr>
          <w:lang w:val="fi-FI"/>
        </w:rPr>
      </w:pPr>
      <w:r w:rsidRPr="00CA43F5">
        <w:rPr>
          <w:lang w:val="fi-FI"/>
        </w:rPr>
        <w:t>Taulukko 10.</w:t>
      </w:r>
      <w:r w:rsidR="008B2BB7" w:rsidRPr="00CA43F5">
        <w:rPr>
          <w:lang w:val="fi-FI"/>
        </w:rPr>
        <w:tab/>
      </w:r>
      <w:r w:rsidRPr="00CA43F5">
        <w:rPr>
          <w:lang w:val="fi-FI"/>
        </w:rPr>
        <w:t>Jättisoluarteriittipotilaiden ihon alle annostelun jälkeisen vakaan tilan ennustettujen farmakokineettisten parametrien keskiarvot ± keskihajonta</w:t>
      </w:r>
    </w:p>
    <w:p w14:paraId="07A60919" w14:textId="77777777" w:rsidR="008B2BB7" w:rsidRPr="00CA43F5" w:rsidRDefault="008B2BB7" w:rsidP="006E5F9A">
      <w:pPr>
        <w:rPr>
          <w:i/>
          <w:lang w:val="fi-F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3681"/>
        <w:gridCol w:w="2535"/>
        <w:gridCol w:w="2601"/>
      </w:tblGrid>
      <w:tr w:rsidR="003B7027" w:rsidRPr="00777B93" w14:paraId="772BC4EC" w14:textId="77777777" w:rsidTr="000F5A9F">
        <w:trPr>
          <w:cantSplit/>
        </w:trPr>
        <w:tc>
          <w:tcPr>
            <w:tcW w:w="3681" w:type="dxa"/>
          </w:tcPr>
          <w:p w14:paraId="07B7C56C" w14:textId="77777777" w:rsidR="003B7027" w:rsidRPr="005F70CC" w:rsidRDefault="003B7027" w:rsidP="006E5F9A">
            <w:pPr>
              <w:pStyle w:val="TableParagraph"/>
              <w:suppressAutoHyphens/>
              <w:rPr>
                <w:sz w:val="20"/>
                <w:szCs w:val="20"/>
              </w:rPr>
            </w:pPr>
          </w:p>
        </w:tc>
        <w:tc>
          <w:tcPr>
            <w:tcW w:w="5136" w:type="dxa"/>
            <w:gridSpan w:val="2"/>
          </w:tcPr>
          <w:p w14:paraId="301D82B2" w14:textId="77777777" w:rsidR="003B7027" w:rsidRPr="005F70CC" w:rsidRDefault="00296A74" w:rsidP="006E5F9A">
            <w:pPr>
              <w:pStyle w:val="TableParagraph"/>
              <w:suppressAutoHyphens/>
              <w:jc w:val="center"/>
              <w:rPr>
                <w:b/>
                <w:sz w:val="20"/>
                <w:szCs w:val="20"/>
              </w:rPr>
            </w:pPr>
            <w:r w:rsidRPr="005F70CC">
              <w:rPr>
                <w:b/>
                <w:sz w:val="20"/>
                <w:szCs w:val="20"/>
              </w:rPr>
              <w:t>Ihonalainen annostelu</w:t>
            </w:r>
          </w:p>
        </w:tc>
      </w:tr>
      <w:tr w:rsidR="003B7027" w:rsidRPr="00777B93" w14:paraId="63786BAC" w14:textId="77777777" w:rsidTr="000F5A9F">
        <w:trPr>
          <w:cantSplit/>
        </w:trPr>
        <w:tc>
          <w:tcPr>
            <w:tcW w:w="3681" w:type="dxa"/>
          </w:tcPr>
          <w:p w14:paraId="652E7EE7" w14:textId="77777777" w:rsidR="003B7027" w:rsidRPr="005F70CC" w:rsidRDefault="00296A74" w:rsidP="006E5F9A">
            <w:pPr>
              <w:pStyle w:val="TableParagraph"/>
              <w:suppressAutoHyphens/>
              <w:rPr>
                <w:b/>
                <w:sz w:val="20"/>
                <w:szCs w:val="20"/>
              </w:rPr>
            </w:pPr>
            <w:r w:rsidRPr="005F70CC">
              <w:rPr>
                <w:b/>
                <w:sz w:val="20"/>
                <w:szCs w:val="20"/>
              </w:rPr>
              <w:t>Tosilitsumabin farmakokineettiset parametrit</w:t>
            </w:r>
          </w:p>
        </w:tc>
        <w:tc>
          <w:tcPr>
            <w:tcW w:w="2535" w:type="dxa"/>
          </w:tcPr>
          <w:p w14:paraId="43C756C8" w14:textId="77777777" w:rsidR="003B7027" w:rsidRPr="005F70CC" w:rsidRDefault="00296A74" w:rsidP="006E5F9A">
            <w:pPr>
              <w:pStyle w:val="TableParagraph"/>
              <w:suppressAutoHyphens/>
              <w:jc w:val="center"/>
              <w:rPr>
                <w:b/>
                <w:sz w:val="20"/>
                <w:szCs w:val="20"/>
              </w:rPr>
            </w:pPr>
            <w:r w:rsidRPr="005F70CC">
              <w:rPr>
                <w:b/>
                <w:sz w:val="20"/>
                <w:szCs w:val="20"/>
              </w:rPr>
              <w:t>162 mg joka toinen viikko</w:t>
            </w:r>
          </w:p>
        </w:tc>
        <w:tc>
          <w:tcPr>
            <w:tcW w:w="2601" w:type="dxa"/>
          </w:tcPr>
          <w:p w14:paraId="515921F4" w14:textId="77777777" w:rsidR="003B7027" w:rsidRPr="005F70CC" w:rsidRDefault="00296A74" w:rsidP="006E5F9A">
            <w:pPr>
              <w:pStyle w:val="TableParagraph"/>
              <w:suppressAutoHyphens/>
              <w:jc w:val="center"/>
              <w:rPr>
                <w:b/>
                <w:sz w:val="20"/>
                <w:szCs w:val="20"/>
              </w:rPr>
            </w:pPr>
            <w:r w:rsidRPr="005F70CC">
              <w:rPr>
                <w:b/>
                <w:sz w:val="20"/>
                <w:szCs w:val="20"/>
              </w:rPr>
              <w:t>162 mg viikoittain</w:t>
            </w:r>
          </w:p>
        </w:tc>
      </w:tr>
      <w:tr w:rsidR="003B7027" w:rsidRPr="00777B93" w14:paraId="6F5263C7" w14:textId="77777777" w:rsidTr="000F5A9F">
        <w:trPr>
          <w:cantSplit/>
        </w:trPr>
        <w:tc>
          <w:tcPr>
            <w:tcW w:w="3681" w:type="dxa"/>
          </w:tcPr>
          <w:p w14:paraId="1DC7A41E" w14:textId="77777777" w:rsidR="003B7027" w:rsidRPr="005F70CC" w:rsidRDefault="00296A74" w:rsidP="006E5F9A">
            <w:pPr>
              <w:pStyle w:val="TableParagraph"/>
              <w:suppressAutoHyphens/>
              <w:rPr>
                <w:sz w:val="20"/>
                <w:szCs w:val="20"/>
              </w:rPr>
            </w:pPr>
            <w:r w:rsidRPr="005F70CC">
              <w:rPr>
                <w:sz w:val="20"/>
                <w:szCs w:val="20"/>
              </w:rPr>
              <w:t>C</w:t>
            </w:r>
            <w:r w:rsidRPr="005F70CC">
              <w:rPr>
                <w:sz w:val="20"/>
                <w:szCs w:val="20"/>
                <w:vertAlign w:val="subscript"/>
              </w:rPr>
              <w:t>max</w:t>
            </w:r>
            <w:r w:rsidRPr="005F70CC">
              <w:rPr>
                <w:sz w:val="20"/>
                <w:szCs w:val="20"/>
              </w:rPr>
              <w:t xml:space="preserve"> (µg/ml)</w:t>
            </w:r>
          </w:p>
        </w:tc>
        <w:tc>
          <w:tcPr>
            <w:tcW w:w="2535" w:type="dxa"/>
          </w:tcPr>
          <w:p w14:paraId="0EEFC554" w14:textId="77777777" w:rsidR="003B7027" w:rsidRPr="005F70CC" w:rsidRDefault="00296A74" w:rsidP="006E5F9A">
            <w:pPr>
              <w:pStyle w:val="TableParagraph"/>
              <w:suppressAutoHyphens/>
              <w:jc w:val="center"/>
              <w:rPr>
                <w:sz w:val="20"/>
                <w:szCs w:val="20"/>
              </w:rPr>
            </w:pPr>
            <w:r w:rsidRPr="005F70CC">
              <w:rPr>
                <w:sz w:val="20"/>
                <w:szCs w:val="20"/>
              </w:rPr>
              <w:t>19,3 ± 12,8</w:t>
            </w:r>
          </w:p>
        </w:tc>
        <w:tc>
          <w:tcPr>
            <w:tcW w:w="2601" w:type="dxa"/>
          </w:tcPr>
          <w:p w14:paraId="1F71E45C" w14:textId="77777777" w:rsidR="003B7027" w:rsidRPr="005F70CC" w:rsidRDefault="00296A74" w:rsidP="006E5F9A">
            <w:pPr>
              <w:pStyle w:val="TableParagraph"/>
              <w:suppressAutoHyphens/>
              <w:jc w:val="center"/>
              <w:rPr>
                <w:sz w:val="20"/>
                <w:szCs w:val="20"/>
              </w:rPr>
            </w:pPr>
            <w:r w:rsidRPr="005F70CC">
              <w:rPr>
                <w:sz w:val="20"/>
                <w:szCs w:val="20"/>
              </w:rPr>
              <w:t>73 ± 30,4</w:t>
            </w:r>
          </w:p>
        </w:tc>
      </w:tr>
      <w:tr w:rsidR="003B7027" w:rsidRPr="00777B93" w14:paraId="23B5B93E" w14:textId="77777777" w:rsidTr="000F5A9F">
        <w:trPr>
          <w:cantSplit/>
        </w:trPr>
        <w:tc>
          <w:tcPr>
            <w:tcW w:w="3681" w:type="dxa"/>
          </w:tcPr>
          <w:p w14:paraId="46CAB8A3" w14:textId="77777777" w:rsidR="003B7027" w:rsidRPr="005F70CC" w:rsidRDefault="00296A74" w:rsidP="006E5F9A">
            <w:pPr>
              <w:pStyle w:val="TableParagraph"/>
              <w:suppressAutoHyphens/>
              <w:rPr>
                <w:sz w:val="20"/>
                <w:szCs w:val="20"/>
              </w:rPr>
            </w:pPr>
            <w:r w:rsidRPr="005F70CC">
              <w:rPr>
                <w:sz w:val="20"/>
                <w:szCs w:val="20"/>
              </w:rPr>
              <w:t>C</w:t>
            </w:r>
            <w:r w:rsidRPr="005F70CC">
              <w:rPr>
                <w:sz w:val="20"/>
                <w:szCs w:val="20"/>
                <w:vertAlign w:val="subscript"/>
              </w:rPr>
              <w:t>trough</w:t>
            </w:r>
            <w:r w:rsidRPr="005F70CC">
              <w:rPr>
                <w:sz w:val="20"/>
                <w:szCs w:val="20"/>
              </w:rPr>
              <w:t xml:space="preserve"> (µg/ml)</w:t>
            </w:r>
          </w:p>
        </w:tc>
        <w:tc>
          <w:tcPr>
            <w:tcW w:w="2535" w:type="dxa"/>
          </w:tcPr>
          <w:p w14:paraId="6A1A1C0E" w14:textId="77777777" w:rsidR="003B7027" w:rsidRPr="005F70CC" w:rsidRDefault="00296A74" w:rsidP="006E5F9A">
            <w:pPr>
              <w:pStyle w:val="TableParagraph"/>
              <w:suppressAutoHyphens/>
              <w:jc w:val="center"/>
              <w:rPr>
                <w:sz w:val="20"/>
                <w:szCs w:val="20"/>
              </w:rPr>
            </w:pPr>
            <w:r w:rsidRPr="005F70CC">
              <w:rPr>
                <w:sz w:val="20"/>
                <w:szCs w:val="20"/>
              </w:rPr>
              <w:t>11,1 ± 10,3</w:t>
            </w:r>
          </w:p>
        </w:tc>
        <w:tc>
          <w:tcPr>
            <w:tcW w:w="2601" w:type="dxa"/>
          </w:tcPr>
          <w:p w14:paraId="06B332EF" w14:textId="77777777" w:rsidR="003B7027" w:rsidRPr="005F70CC" w:rsidRDefault="00296A74" w:rsidP="006E5F9A">
            <w:pPr>
              <w:pStyle w:val="TableParagraph"/>
              <w:suppressAutoHyphens/>
              <w:jc w:val="center"/>
              <w:rPr>
                <w:sz w:val="20"/>
                <w:szCs w:val="20"/>
              </w:rPr>
            </w:pPr>
            <w:r w:rsidRPr="005F70CC">
              <w:rPr>
                <w:sz w:val="20"/>
                <w:szCs w:val="20"/>
              </w:rPr>
              <w:t>68,1 ± 29,5</w:t>
            </w:r>
          </w:p>
        </w:tc>
      </w:tr>
      <w:tr w:rsidR="003B7027" w:rsidRPr="00777B93" w14:paraId="50A36A95" w14:textId="77777777" w:rsidTr="000F5A9F">
        <w:trPr>
          <w:cantSplit/>
        </w:trPr>
        <w:tc>
          <w:tcPr>
            <w:tcW w:w="3681" w:type="dxa"/>
          </w:tcPr>
          <w:p w14:paraId="0D903EC4" w14:textId="77777777" w:rsidR="003B7027" w:rsidRPr="005F70CC" w:rsidRDefault="00296A74" w:rsidP="006E5F9A">
            <w:pPr>
              <w:pStyle w:val="TableParagraph"/>
              <w:suppressAutoHyphens/>
              <w:rPr>
                <w:sz w:val="20"/>
                <w:szCs w:val="20"/>
              </w:rPr>
            </w:pPr>
            <w:r w:rsidRPr="005F70CC">
              <w:rPr>
                <w:sz w:val="20"/>
                <w:szCs w:val="20"/>
              </w:rPr>
              <w:t>C</w:t>
            </w:r>
            <w:r w:rsidRPr="005F70CC">
              <w:rPr>
                <w:sz w:val="20"/>
                <w:szCs w:val="20"/>
                <w:vertAlign w:val="subscript"/>
              </w:rPr>
              <w:t>mean</w:t>
            </w:r>
            <w:r w:rsidRPr="005F70CC">
              <w:rPr>
                <w:sz w:val="20"/>
                <w:szCs w:val="20"/>
              </w:rPr>
              <w:t xml:space="preserve"> (µg/ml)</w:t>
            </w:r>
          </w:p>
        </w:tc>
        <w:tc>
          <w:tcPr>
            <w:tcW w:w="2535" w:type="dxa"/>
          </w:tcPr>
          <w:p w14:paraId="71C4A45D" w14:textId="77777777" w:rsidR="003B7027" w:rsidRPr="005F70CC" w:rsidRDefault="00296A74" w:rsidP="006E5F9A">
            <w:pPr>
              <w:pStyle w:val="TableParagraph"/>
              <w:suppressAutoHyphens/>
              <w:jc w:val="center"/>
              <w:rPr>
                <w:sz w:val="20"/>
                <w:szCs w:val="20"/>
              </w:rPr>
            </w:pPr>
            <w:r w:rsidRPr="005F70CC">
              <w:rPr>
                <w:sz w:val="20"/>
                <w:szCs w:val="20"/>
              </w:rPr>
              <w:t>16,2 ± 11,8</w:t>
            </w:r>
          </w:p>
        </w:tc>
        <w:tc>
          <w:tcPr>
            <w:tcW w:w="2601" w:type="dxa"/>
          </w:tcPr>
          <w:p w14:paraId="1FE288B6" w14:textId="77777777" w:rsidR="003B7027" w:rsidRPr="005F70CC" w:rsidRDefault="00296A74" w:rsidP="006E5F9A">
            <w:pPr>
              <w:pStyle w:val="TableParagraph"/>
              <w:suppressAutoHyphens/>
              <w:jc w:val="center"/>
              <w:rPr>
                <w:sz w:val="20"/>
                <w:szCs w:val="20"/>
              </w:rPr>
            </w:pPr>
            <w:r w:rsidRPr="005F70CC">
              <w:rPr>
                <w:sz w:val="20"/>
                <w:szCs w:val="20"/>
              </w:rPr>
              <w:t>71,3 ± 30,1</w:t>
            </w:r>
          </w:p>
        </w:tc>
      </w:tr>
      <w:tr w:rsidR="003B7027" w:rsidRPr="00777B93" w14:paraId="0C601813" w14:textId="77777777" w:rsidTr="000F5A9F">
        <w:trPr>
          <w:cantSplit/>
        </w:trPr>
        <w:tc>
          <w:tcPr>
            <w:tcW w:w="3681" w:type="dxa"/>
          </w:tcPr>
          <w:p w14:paraId="283CC660" w14:textId="77777777" w:rsidR="003B7027" w:rsidRPr="005F70CC" w:rsidRDefault="00296A74" w:rsidP="006E5F9A">
            <w:pPr>
              <w:pStyle w:val="TableParagraph"/>
              <w:suppressAutoHyphens/>
              <w:rPr>
                <w:sz w:val="20"/>
                <w:szCs w:val="20"/>
              </w:rPr>
            </w:pPr>
            <w:r w:rsidRPr="005F70CC">
              <w:rPr>
                <w:sz w:val="20"/>
                <w:szCs w:val="20"/>
              </w:rPr>
              <w:t>Kumuloitumisen C</w:t>
            </w:r>
            <w:r w:rsidRPr="005F70CC">
              <w:rPr>
                <w:sz w:val="20"/>
                <w:szCs w:val="20"/>
                <w:vertAlign w:val="subscript"/>
              </w:rPr>
              <w:t>max</w:t>
            </w:r>
          </w:p>
        </w:tc>
        <w:tc>
          <w:tcPr>
            <w:tcW w:w="2535" w:type="dxa"/>
          </w:tcPr>
          <w:p w14:paraId="3E930819" w14:textId="77777777" w:rsidR="003B7027" w:rsidRPr="005F70CC" w:rsidRDefault="00296A74" w:rsidP="006E5F9A">
            <w:pPr>
              <w:pStyle w:val="TableParagraph"/>
              <w:suppressAutoHyphens/>
              <w:jc w:val="center"/>
              <w:rPr>
                <w:sz w:val="20"/>
                <w:szCs w:val="20"/>
              </w:rPr>
            </w:pPr>
            <w:r w:rsidRPr="005F70CC">
              <w:rPr>
                <w:sz w:val="20"/>
                <w:szCs w:val="20"/>
              </w:rPr>
              <w:t>2,18</w:t>
            </w:r>
          </w:p>
        </w:tc>
        <w:tc>
          <w:tcPr>
            <w:tcW w:w="2601" w:type="dxa"/>
          </w:tcPr>
          <w:p w14:paraId="29AA7BE7" w14:textId="77777777" w:rsidR="003B7027" w:rsidRPr="005F70CC" w:rsidRDefault="00296A74" w:rsidP="006E5F9A">
            <w:pPr>
              <w:pStyle w:val="TableParagraph"/>
              <w:suppressAutoHyphens/>
              <w:jc w:val="center"/>
              <w:rPr>
                <w:sz w:val="20"/>
                <w:szCs w:val="20"/>
              </w:rPr>
            </w:pPr>
            <w:r w:rsidRPr="005F70CC">
              <w:rPr>
                <w:sz w:val="20"/>
                <w:szCs w:val="20"/>
              </w:rPr>
              <w:t>8,88</w:t>
            </w:r>
          </w:p>
        </w:tc>
      </w:tr>
      <w:tr w:rsidR="003B7027" w:rsidRPr="00777B93" w14:paraId="40871CC2" w14:textId="77777777" w:rsidTr="000F5A9F">
        <w:trPr>
          <w:cantSplit/>
        </w:trPr>
        <w:tc>
          <w:tcPr>
            <w:tcW w:w="3681" w:type="dxa"/>
          </w:tcPr>
          <w:p w14:paraId="5D884B7F" w14:textId="77777777" w:rsidR="003B7027" w:rsidRPr="005F70CC" w:rsidRDefault="00296A74" w:rsidP="006E5F9A">
            <w:pPr>
              <w:pStyle w:val="TableParagraph"/>
              <w:suppressAutoHyphens/>
              <w:rPr>
                <w:sz w:val="20"/>
                <w:szCs w:val="20"/>
              </w:rPr>
            </w:pPr>
            <w:r w:rsidRPr="005F70CC">
              <w:rPr>
                <w:sz w:val="20"/>
                <w:szCs w:val="20"/>
              </w:rPr>
              <w:t>Kumuloitumisen C</w:t>
            </w:r>
            <w:r w:rsidRPr="005F70CC">
              <w:rPr>
                <w:sz w:val="20"/>
                <w:szCs w:val="20"/>
                <w:vertAlign w:val="subscript"/>
              </w:rPr>
              <w:t>trough</w:t>
            </w:r>
          </w:p>
        </w:tc>
        <w:tc>
          <w:tcPr>
            <w:tcW w:w="2535" w:type="dxa"/>
          </w:tcPr>
          <w:p w14:paraId="50C522A0" w14:textId="77777777" w:rsidR="003B7027" w:rsidRPr="005F70CC" w:rsidRDefault="00296A74" w:rsidP="006E5F9A">
            <w:pPr>
              <w:pStyle w:val="TableParagraph"/>
              <w:suppressAutoHyphens/>
              <w:jc w:val="center"/>
              <w:rPr>
                <w:sz w:val="20"/>
                <w:szCs w:val="20"/>
              </w:rPr>
            </w:pPr>
            <w:r w:rsidRPr="005F70CC">
              <w:rPr>
                <w:sz w:val="20"/>
                <w:szCs w:val="20"/>
              </w:rPr>
              <w:t>5,61</w:t>
            </w:r>
          </w:p>
        </w:tc>
        <w:tc>
          <w:tcPr>
            <w:tcW w:w="2601" w:type="dxa"/>
          </w:tcPr>
          <w:p w14:paraId="35CE25A6" w14:textId="77777777" w:rsidR="003B7027" w:rsidRPr="005F70CC" w:rsidRDefault="00296A74" w:rsidP="006E5F9A">
            <w:pPr>
              <w:pStyle w:val="TableParagraph"/>
              <w:suppressAutoHyphens/>
              <w:jc w:val="center"/>
              <w:rPr>
                <w:sz w:val="20"/>
                <w:szCs w:val="20"/>
              </w:rPr>
            </w:pPr>
            <w:r w:rsidRPr="005F70CC">
              <w:rPr>
                <w:sz w:val="20"/>
                <w:szCs w:val="20"/>
              </w:rPr>
              <w:t>9,59</w:t>
            </w:r>
          </w:p>
        </w:tc>
      </w:tr>
      <w:tr w:rsidR="003B7027" w:rsidRPr="00777B93" w14:paraId="2788E40F" w14:textId="77777777" w:rsidTr="000F5A9F">
        <w:trPr>
          <w:cantSplit/>
        </w:trPr>
        <w:tc>
          <w:tcPr>
            <w:tcW w:w="3681" w:type="dxa"/>
          </w:tcPr>
          <w:p w14:paraId="1A6714F2" w14:textId="77777777" w:rsidR="003B7027" w:rsidRPr="005F70CC" w:rsidRDefault="00296A74" w:rsidP="006E5F9A">
            <w:pPr>
              <w:pStyle w:val="TableParagraph"/>
              <w:suppressAutoHyphens/>
              <w:rPr>
                <w:sz w:val="20"/>
                <w:szCs w:val="20"/>
              </w:rPr>
            </w:pPr>
            <w:r w:rsidRPr="005F70CC">
              <w:rPr>
                <w:sz w:val="20"/>
                <w:szCs w:val="20"/>
              </w:rPr>
              <w:t>Kumuloitumisen C</w:t>
            </w:r>
            <w:r w:rsidRPr="005F70CC">
              <w:rPr>
                <w:sz w:val="20"/>
                <w:szCs w:val="20"/>
                <w:vertAlign w:val="subscript"/>
              </w:rPr>
              <w:t>mean</w:t>
            </w:r>
            <w:r w:rsidRPr="005F70CC">
              <w:rPr>
                <w:sz w:val="20"/>
                <w:szCs w:val="20"/>
              </w:rPr>
              <w:t xml:space="preserve"> tai AUC</w:t>
            </w:r>
            <w:r w:rsidRPr="005F70CC">
              <w:rPr>
                <w:sz w:val="20"/>
                <w:szCs w:val="20"/>
                <w:vertAlign w:val="subscript"/>
              </w:rPr>
              <w:t>τ</w:t>
            </w:r>
            <w:r w:rsidRPr="005F70CC">
              <w:rPr>
                <w:sz w:val="20"/>
                <w:szCs w:val="20"/>
              </w:rPr>
              <w:t>*</w:t>
            </w:r>
          </w:p>
        </w:tc>
        <w:tc>
          <w:tcPr>
            <w:tcW w:w="2535" w:type="dxa"/>
          </w:tcPr>
          <w:p w14:paraId="7F9B52EA" w14:textId="77777777" w:rsidR="003B7027" w:rsidRPr="005F70CC" w:rsidRDefault="00296A74" w:rsidP="006E5F9A">
            <w:pPr>
              <w:pStyle w:val="TableParagraph"/>
              <w:suppressAutoHyphens/>
              <w:jc w:val="center"/>
              <w:rPr>
                <w:sz w:val="20"/>
                <w:szCs w:val="20"/>
              </w:rPr>
            </w:pPr>
            <w:r w:rsidRPr="005F70CC">
              <w:rPr>
                <w:sz w:val="20"/>
                <w:szCs w:val="20"/>
              </w:rPr>
              <w:t>2,81</w:t>
            </w:r>
          </w:p>
        </w:tc>
        <w:tc>
          <w:tcPr>
            <w:tcW w:w="2601" w:type="dxa"/>
          </w:tcPr>
          <w:p w14:paraId="04C8D465" w14:textId="77777777" w:rsidR="003B7027" w:rsidRPr="005F70CC" w:rsidRDefault="00296A74" w:rsidP="006E5F9A">
            <w:pPr>
              <w:pStyle w:val="TableParagraph"/>
              <w:suppressAutoHyphens/>
              <w:jc w:val="center"/>
              <w:rPr>
                <w:sz w:val="20"/>
                <w:szCs w:val="20"/>
              </w:rPr>
            </w:pPr>
            <w:r w:rsidRPr="005F70CC">
              <w:rPr>
                <w:sz w:val="20"/>
                <w:szCs w:val="20"/>
              </w:rPr>
              <w:t>10,91</w:t>
            </w:r>
          </w:p>
        </w:tc>
      </w:tr>
    </w:tbl>
    <w:p w14:paraId="49A1E439" w14:textId="77777777" w:rsidR="003B7027" w:rsidRPr="00CA43F5" w:rsidRDefault="00296A74" w:rsidP="006E5F9A">
      <w:pPr>
        <w:rPr>
          <w:sz w:val="18"/>
          <w:lang w:val="fi-FI"/>
        </w:rPr>
      </w:pPr>
      <w:r w:rsidRPr="00CA43F5">
        <w:rPr>
          <w:sz w:val="18"/>
          <w:lang w:val="fi-FI"/>
        </w:rPr>
        <w:t>*</w:t>
      </w:r>
      <w:r w:rsidRPr="0028514E">
        <w:rPr>
          <w:sz w:val="18"/>
        </w:rPr>
        <w:t>τ</w:t>
      </w:r>
      <w:r w:rsidRPr="00CA43F5">
        <w:rPr>
          <w:sz w:val="18"/>
          <w:lang w:val="fi-FI"/>
        </w:rPr>
        <w:t xml:space="preserve"> = kaksi hoito-ohjelmaa: joka toinen viikko tai kerran viikossa ihon alle</w:t>
      </w:r>
    </w:p>
    <w:p w14:paraId="62BD3134" w14:textId="77777777" w:rsidR="003B7027" w:rsidRPr="0028514E" w:rsidRDefault="003B7027" w:rsidP="006E5F9A">
      <w:pPr>
        <w:pStyle w:val="a4"/>
        <w:ind w:left="0"/>
        <w:rPr>
          <w:sz w:val="18"/>
        </w:rPr>
      </w:pPr>
    </w:p>
    <w:p w14:paraId="0F157135" w14:textId="5469C05C" w:rsidR="003B7027" w:rsidRPr="00E2372A" w:rsidRDefault="000C4216" w:rsidP="006E5F9A">
      <w:pPr>
        <w:pStyle w:val="a4"/>
        <w:ind w:left="0"/>
      </w:pPr>
      <w:r>
        <w:t xml:space="preserve">Tosilitsumabin </w:t>
      </w:r>
      <w:r w:rsidR="00296A74" w:rsidRPr="00E2372A">
        <w:t xml:space="preserve">viikoittaisten annosten vakaan tilan profiili oli lähes tasainen, sillä pienimpien pitoisuuksien ja huippupitoisuuksien välillä oli vain hyvin pientä vaihtelua, kun taas </w:t>
      </w:r>
      <w:r>
        <w:t xml:space="preserve">tosilitsumabin </w:t>
      </w:r>
      <w:r w:rsidR="00296A74" w:rsidRPr="00E2372A">
        <w:t>joka toinen viikko annettujen annosten yhteydessä todettiin huomattavaa vaihtelua. Noin 90 % vakaasta tilasta (AUC</w:t>
      </w:r>
      <w:r w:rsidR="00296A74" w:rsidRPr="00E2372A">
        <w:rPr>
          <w:vertAlign w:val="subscript"/>
        </w:rPr>
        <w:t>τ</w:t>
      </w:r>
      <w:r w:rsidR="00296A74" w:rsidRPr="00E2372A">
        <w:t>) saavutettiin joka toinen viikko tapahtuneen annostelun yhteydessä viikkoon 14 mennessä ja viikoittain tapahtuneen annostelun yhteydessä viikkoon 17 mennessä.</w:t>
      </w:r>
    </w:p>
    <w:p w14:paraId="44A4C583" w14:textId="77777777" w:rsidR="008B2BB7" w:rsidRPr="0028514E" w:rsidRDefault="008B2BB7" w:rsidP="006E5F9A">
      <w:pPr>
        <w:pStyle w:val="a4"/>
        <w:ind w:left="0"/>
      </w:pPr>
    </w:p>
    <w:p w14:paraId="003A0278" w14:textId="78056F06" w:rsidR="003B7027" w:rsidRPr="0028514E" w:rsidRDefault="00296A74" w:rsidP="003C43CF">
      <w:pPr>
        <w:pStyle w:val="a4"/>
        <w:ind w:left="0"/>
      </w:pPr>
      <w:r w:rsidRPr="0028514E">
        <w:lastRenderedPageBreak/>
        <w:t xml:space="preserve">Farmakokinetiikkaa koskevien tämänhetkisten tietojen perusteella </w:t>
      </w:r>
      <w:r w:rsidR="000C4216">
        <w:t xml:space="preserve">tosilitsumabin </w:t>
      </w:r>
      <w:r w:rsidRPr="0028514E">
        <w:t>vakaan tilan pienin pitoisuus on tässä potilasjoukossa 50 % suurempi verrattuna nivelreumapotilaista saadussa laajassa tietoaineistossa oleviin keskimääräisiin pitoisuuksiin. Näiden erojen syitä ei tiedetä.</w:t>
      </w:r>
    </w:p>
    <w:p w14:paraId="4C7D5AD5" w14:textId="77777777" w:rsidR="008B2BB7" w:rsidRPr="0028514E" w:rsidRDefault="008B2BB7" w:rsidP="003C43CF">
      <w:pPr>
        <w:pStyle w:val="a4"/>
        <w:ind w:left="0"/>
      </w:pPr>
    </w:p>
    <w:p w14:paraId="001281CA" w14:textId="77777777" w:rsidR="003B7027" w:rsidRPr="0028514E" w:rsidRDefault="00296A74" w:rsidP="003C43CF">
      <w:pPr>
        <w:pStyle w:val="a4"/>
        <w:ind w:left="0"/>
      </w:pPr>
      <w:r w:rsidRPr="0028514E">
        <w:t>Farmakokineettisiin eroihin ei liity merkittäviä eroja farmakodynaamisissa parametreissa, joten niiden kliinistä merkitystä ei tunneta.</w:t>
      </w:r>
      <w:r w:rsidR="008B2BB7" w:rsidRPr="0028514E">
        <w:t xml:space="preserve"> </w:t>
      </w:r>
      <w:r w:rsidRPr="0028514E">
        <w:t>Jättisoluarteriittipotilailla huomattiin suurempi altistuminen niillä potilailla, jotka painavat vähemmän. Annoksella 162 mg kerran viikossa, vakaan tilan Cavg oli 51 % korkeampi potilailla, joiden paino oli alle 60 kg, verrattuna potilaisiin, joiden paino oli 60–100 kg. Annoksella 162 mg joka toinen viikko, vakaan tilan Cavg oli 129 % korkeampi potilailla, joiden paino oli alle 60 kg, verrattuna potilaisiin, joiden paino oli 60–100 kg. Yli 100 kg painavista potilaista on vain vähän tietoa (n = 7).</w:t>
      </w:r>
    </w:p>
    <w:p w14:paraId="6109CD2A" w14:textId="77777777" w:rsidR="003B7027" w:rsidRPr="0028514E" w:rsidRDefault="003B7027" w:rsidP="006E5F9A">
      <w:pPr>
        <w:pStyle w:val="a4"/>
        <w:ind w:left="0"/>
      </w:pPr>
    </w:p>
    <w:p w14:paraId="5010B999" w14:textId="77777777" w:rsidR="003B7027" w:rsidRPr="00E2372A" w:rsidRDefault="00296A74" w:rsidP="006E4E50">
      <w:pPr>
        <w:pStyle w:val="a4"/>
        <w:keepNext/>
        <w:ind w:left="567" w:hanging="567"/>
        <w:outlineLvl w:val="1"/>
      </w:pPr>
      <w:r w:rsidRPr="00E2372A">
        <w:rPr>
          <w:u w:val="single"/>
        </w:rPr>
        <w:t>Imeytyminen</w:t>
      </w:r>
    </w:p>
    <w:p w14:paraId="2CACF4EE" w14:textId="03811EB6" w:rsidR="003B7027" w:rsidRPr="00E2372A" w:rsidRDefault="00296A74" w:rsidP="006E5F9A">
      <w:pPr>
        <w:pStyle w:val="a4"/>
        <w:ind w:left="0"/>
      </w:pPr>
      <w:r w:rsidRPr="00E2372A">
        <w:t>Jättisoluarteriittia sairastavien potilaiden ihon alle annettuna imeytymisen t½ oli noin 4 vuorokautta. Ihon alle annettavan lääkemuodon biologinen hyötyosuus oli 0,8. T</w:t>
      </w:r>
      <w:r w:rsidRPr="00E2372A">
        <w:rPr>
          <w:vertAlign w:val="subscript"/>
        </w:rPr>
        <w:t>max</w:t>
      </w:r>
      <w:r w:rsidRPr="00E2372A">
        <w:t xml:space="preserve">-arvojen mediaani oli </w:t>
      </w:r>
      <w:r w:rsidR="000C4216">
        <w:t xml:space="preserve">tosilitsumabin </w:t>
      </w:r>
      <w:r w:rsidRPr="00E2372A">
        <w:t>viikoittaisen annon jälkeen 3 vuorokautta ja tosilitsumabiannoksen joka toinen viikko annon jälkeen 4,5 vuorokautta.</w:t>
      </w:r>
    </w:p>
    <w:p w14:paraId="023D19D8" w14:textId="77777777" w:rsidR="008B2BB7" w:rsidRPr="0028514E" w:rsidRDefault="008B2BB7" w:rsidP="006E5F9A">
      <w:pPr>
        <w:pStyle w:val="a4"/>
        <w:ind w:left="0"/>
        <w:rPr>
          <w:u w:val="single"/>
        </w:rPr>
      </w:pPr>
    </w:p>
    <w:p w14:paraId="7D151C9A" w14:textId="77777777" w:rsidR="003B7027" w:rsidRPr="0028514E" w:rsidRDefault="00296A74" w:rsidP="00C428D4">
      <w:pPr>
        <w:pStyle w:val="a4"/>
        <w:keepNext/>
        <w:ind w:left="0"/>
      </w:pPr>
      <w:r w:rsidRPr="0028514E">
        <w:rPr>
          <w:u w:val="single"/>
        </w:rPr>
        <w:t>Jakautuminen</w:t>
      </w:r>
    </w:p>
    <w:p w14:paraId="2DF73570" w14:textId="77777777" w:rsidR="003B7027" w:rsidRPr="0028514E" w:rsidRDefault="00296A74" w:rsidP="006E5F9A">
      <w:pPr>
        <w:pStyle w:val="a4"/>
        <w:ind w:left="0"/>
      </w:pPr>
      <w:r w:rsidRPr="0028514E">
        <w:t>Jättisoluarteriittipotilaiden keskustilan jakautumistilavuus oli 4,09 l, ääreistilan jakautumistilavuus oli 3,37 l, jolloin vakaan tilan jakautumistilavuudeksi saadaan 7,46 l.</w:t>
      </w:r>
    </w:p>
    <w:p w14:paraId="7FC9CD0B" w14:textId="77777777" w:rsidR="008B2BB7" w:rsidRPr="0028514E" w:rsidRDefault="008B2BB7" w:rsidP="006E5F9A">
      <w:pPr>
        <w:pStyle w:val="a4"/>
        <w:ind w:left="0"/>
        <w:rPr>
          <w:u w:val="single"/>
        </w:rPr>
      </w:pPr>
    </w:p>
    <w:p w14:paraId="7BCC2A82" w14:textId="77777777" w:rsidR="003B7027" w:rsidRPr="0028514E" w:rsidRDefault="00296A74" w:rsidP="006E5F9A">
      <w:pPr>
        <w:pStyle w:val="a4"/>
        <w:keepNext/>
        <w:keepLines/>
        <w:ind w:left="0"/>
      </w:pPr>
      <w:r w:rsidRPr="0028514E">
        <w:rPr>
          <w:u w:val="single"/>
        </w:rPr>
        <w:t>Eliminaatio</w:t>
      </w:r>
    </w:p>
    <w:p w14:paraId="6287C5D2" w14:textId="0B83E464" w:rsidR="003B7027" w:rsidRPr="0028514E" w:rsidRDefault="000C4216" w:rsidP="006E5F9A">
      <w:pPr>
        <w:pStyle w:val="a4"/>
        <w:ind w:left="0"/>
      </w:pPr>
      <w:r>
        <w:t xml:space="preserve">Tosilitsumabin </w:t>
      </w:r>
      <w:r w:rsidR="00296A74" w:rsidRPr="0028514E">
        <w:t>kokonaispuhdistuma oli pitoisuudesta riippuvainen ja se on lineaarisen puhdistuman ja epälineaarisen puhdistuman summa. Lineaarinen puhdistuma arvioitiin populaatiofarmakokineettisen analyysin parametrina, ja jättisoluarteriittipotilailla se oli 6,7 ml/h.</w:t>
      </w:r>
    </w:p>
    <w:p w14:paraId="0DBCE83A" w14:textId="77777777" w:rsidR="003B7027" w:rsidRPr="0028514E" w:rsidRDefault="003B7027" w:rsidP="006E5F9A">
      <w:pPr>
        <w:pStyle w:val="a4"/>
        <w:ind w:left="0"/>
      </w:pPr>
    </w:p>
    <w:p w14:paraId="2325B1DE" w14:textId="1874CC39" w:rsidR="003B7027" w:rsidRPr="0028514E" w:rsidRDefault="00296A74" w:rsidP="006E5F9A">
      <w:pPr>
        <w:pStyle w:val="a4"/>
        <w:ind w:left="0"/>
      </w:pPr>
      <w:r w:rsidRPr="0028514E">
        <w:t xml:space="preserve">Jättisoluarteriittipotilailla </w:t>
      </w:r>
      <w:r w:rsidR="000C4216">
        <w:t xml:space="preserve">tosilitsumabin </w:t>
      </w:r>
      <w:r w:rsidRPr="0028514E">
        <w:t xml:space="preserve">efektiivinen t½ vaihteli vakaassa tilassa 162 mg:n annosten viikoittaisen annon yhteydessä 18,3 vuorokaudesta 18,9 vuorokauteen ja 162 mg:n annosten joka toinen viikko annon yhteydessä 4,2 vuorokaudesta 7,9 vuorokauteen. Kun pitoisuus seerumissa on suuri ja </w:t>
      </w:r>
      <w:r w:rsidR="000C4216">
        <w:t xml:space="preserve">tosilitsumabin </w:t>
      </w:r>
      <w:r w:rsidRPr="0028514E">
        <w:t>kokonaispuhdistumassa vallitsevana on lineaarinen puhdistuma, noin</w:t>
      </w:r>
      <w:r w:rsidR="008B2BB7" w:rsidRPr="0028514E">
        <w:t xml:space="preserve"> </w:t>
      </w:r>
      <w:r w:rsidRPr="0028514E">
        <w:t>32 vuorokauden efektiivinen t½ perustui potilasjoukon parametrien estimaatteihin.</w:t>
      </w:r>
    </w:p>
    <w:p w14:paraId="78255F59" w14:textId="77777777" w:rsidR="008B2BB7" w:rsidRPr="0028514E" w:rsidRDefault="008B2BB7" w:rsidP="006E5F9A">
      <w:pPr>
        <w:pStyle w:val="a4"/>
        <w:ind w:left="0"/>
      </w:pPr>
    </w:p>
    <w:p w14:paraId="4CC7C108" w14:textId="77777777" w:rsidR="003B7027" w:rsidRPr="0028514E" w:rsidRDefault="00296A74" w:rsidP="006E5F9A">
      <w:pPr>
        <w:pStyle w:val="a4"/>
        <w:ind w:left="0"/>
      </w:pPr>
      <w:r w:rsidRPr="0028514E">
        <w:rPr>
          <w:u w:val="single"/>
        </w:rPr>
        <w:t>Erityispotilasryhmät</w:t>
      </w:r>
    </w:p>
    <w:p w14:paraId="264538BC" w14:textId="3D29D968" w:rsidR="003B7027" w:rsidRPr="0028514E" w:rsidRDefault="00296A74" w:rsidP="006E5F9A">
      <w:pPr>
        <w:pStyle w:val="a4"/>
        <w:ind w:left="0"/>
      </w:pPr>
      <w:r w:rsidRPr="0028514E">
        <w:rPr>
          <w:i/>
        </w:rPr>
        <w:t xml:space="preserve">Munuaisten vajaatoiminta: </w:t>
      </w:r>
      <w:r w:rsidRPr="0028514E">
        <w:t xml:space="preserve">Varsinaista tutkimusta munuaisten vajaatoiminnan vaikutuksesta </w:t>
      </w:r>
      <w:r w:rsidR="000C4216">
        <w:t xml:space="preserve">tosilitsumabin </w:t>
      </w:r>
      <w:r w:rsidRPr="0028514E">
        <w:t xml:space="preserve">farmakokinetiikkaan ei ole tehty. Useimmilla nivelreumaa ja jättisoluarteriittia koskevien tutkimusten populaatiofarmakokineettisessä analyysissä mukana olleilla potilailla oli normaali munuaistoiminta tai lievä munuaisten vajaatoiminta. Lievä munuaisten vajaatoiminta (Cockcroft- Gaultin kaavaan perustuva laskennallinen kreatiniinipuhdistuma) ei vaikuttanut </w:t>
      </w:r>
      <w:r w:rsidR="000C4216">
        <w:t xml:space="preserve">tosilitsumabin </w:t>
      </w:r>
      <w:r w:rsidRPr="0028514E">
        <w:t>farmakokinetiikkaan.</w:t>
      </w:r>
    </w:p>
    <w:p w14:paraId="489E3C31" w14:textId="77777777" w:rsidR="008B2BB7" w:rsidRPr="0028514E" w:rsidRDefault="008B2BB7" w:rsidP="006E5F9A">
      <w:pPr>
        <w:pStyle w:val="a4"/>
        <w:ind w:left="0"/>
      </w:pPr>
    </w:p>
    <w:p w14:paraId="797810F8" w14:textId="09864EBD" w:rsidR="003B7027" w:rsidRPr="0028514E" w:rsidRDefault="00296A74" w:rsidP="006E5F9A">
      <w:pPr>
        <w:pStyle w:val="a4"/>
        <w:ind w:left="0"/>
      </w:pPr>
      <w:r w:rsidRPr="0028514E">
        <w:t xml:space="preserve">Jättisoluarteriittia koskeneeseen tutkimukseen osallistuneista potilaista noin kolmanneksella oli lähtötilanteessa kohtalaista munuaisten vajaatoimintaa (laskennallinen kreatiniinipuhdistuma 30– 59 ml/min). Sen ei todettu vaikuttavan näiden potilaiden altistukseen </w:t>
      </w:r>
      <w:r w:rsidR="000C4216">
        <w:t>tosilitsumabille</w:t>
      </w:r>
      <w:r w:rsidRPr="0028514E">
        <w:t>.</w:t>
      </w:r>
    </w:p>
    <w:p w14:paraId="0E2FECE3" w14:textId="77777777" w:rsidR="003B7027" w:rsidRPr="0028514E" w:rsidRDefault="003B7027" w:rsidP="006E5F9A">
      <w:pPr>
        <w:pStyle w:val="a4"/>
        <w:ind w:left="0"/>
      </w:pPr>
    </w:p>
    <w:p w14:paraId="5F9F7E6E" w14:textId="77777777" w:rsidR="003B7027" w:rsidRPr="0028514E" w:rsidRDefault="00296A74" w:rsidP="006E5F9A">
      <w:pPr>
        <w:pStyle w:val="a4"/>
        <w:ind w:left="0"/>
      </w:pPr>
      <w:r w:rsidRPr="0028514E">
        <w:t>Lievää tai kohtalaista munuaisten vajaatoimintaa sairastavien potilaiden annosta ei tarvitse muuttaa.</w:t>
      </w:r>
    </w:p>
    <w:p w14:paraId="04C2241F" w14:textId="77777777" w:rsidR="003B7027" w:rsidRPr="0028514E" w:rsidRDefault="003B7027" w:rsidP="006E5F9A">
      <w:pPr>
        <w:pStyle w:val="a4"/>
        <w:ind w:left="0"/>
      </w:pPr>
    </w:p>
    <w:p w14:paraId="26F06ACB" w14:textId="008767FB" w:rsidR="003B7027" w:rsidRPr="0028514E" w:rsidRDefault="00296A74" w:rsidP="006E5F9A">
      <w:pPr>
        <w:pStyle w:val="a4"/>
        <w:ind w:left="0"/>
      </w:pPr>
      <w:r w:rsidRPr="0028514E">
        <w:rPr>
          <w:i/>
        </w:rPr>
        <w:t xml:space="preserve">Maksan vajaatoiminta: </w:t>
      </w:r>
      <w:r w:rsidRPr="0028514E">
        <w:t xml:space="preserve">Varsinaista tutkimusta maksan vajaatoiminnan vaikutuksesta </w:t>
      </w:r>
      <w:r w:rsidR="000C4216">
        <w:t xml:space="preserve">tosilitsumabin </w:t>
      </w:r>
      <w:r w:rsidRPr="0028514E">
        <w:t>farmakokinetiikkaan ei ole tehty.</w:t>
      </w:r>
    </w:p>
    <w:p w14:paraId="703DA3B1" w14:textId="77777777" w:rsidR="008B2BB7" w:rsidRPr="0028514E" w:rsidRDefault="008B2BB7" w:rsidP="006E5F9A">
      <w:pPr>
        <w:pStyle w:val="a4"/>
        <w:ind w:left="0"/>
      </w:pPr>
    </w:p>
    <w:p w14:paraId="07BDB51D" w14:textId="65ACA7F4" w:rsidR="003B7027" w:rsidRPr="0028514E" w:rsidRDefault="00296A74" w:rsidP="006E5F9A">
      <w:pPr>
        <w:pStyle w:val="a4"/>
        <w:ind w:left="0"/>
      </w:pPr>
      <w:r w:rsidRPr="0028514E">
        <w:rPr>
          <w:i/>
        </w:rPr>
        <w:t xml:space="preserve">Ikä, sukupuoli ja etninen tausta: </w:t>
      </w:r>
      <w:r w:rsidRPr="0028514E">
        <w:t xml:space="preserve">Nivelreuma- ja jättisoluarteriittipotilaiden populaatiofarmakokineettiset analyysit osoittivat, etteivät ikä, sukupuoli ja etninen tausta vaikuttaneet </w:t>
      </w:r>
      <w:r w:rsidR="000C4216">
        <w:t xml:space="preserve">tosilitsumabin </w:t>
      </w:r>
      <w:r w:rsidRPr="0028514E">
        <w:t>farmakokinetiikkaan.</w:t>
      </w:r>
    </w:p>
    <w:p w14:paraId="13D9DE19" w14:textId="77777777" w:rsidR="008B2BB7" w:rsidRPr="0028514E" w:rsidRDefault="008B2BB7" w:rsidP="006E5F9A">
      <w:pPr>
        <w:pStyle w:val="a4"/>
        <w:ind w:left="0"/>
      </w:pPr>
    </w:p>
    <w:p w14:paraId="282A2047" w14:textId="2BB41615" w:rsidR="003B7027" w:rsidRPr="0028514E" w:rsidRDefault="00296A74" w:rsidP="00E05E35">
      <w:pPr>
        <w:pStyle w:val="a4"/>
        <w:ind w:left="0"/>
      </w:pPr>
      <w:r w:rsidRPr="0028514E">
        <w:t xml:space="preserve">Yleisoireista lastenreumaa ja polyartriittia sairastavien lapsipotilaiden populaatiofarmakokineettisen analyysin tulokset vahvistivat, että kehon koko on ainoa kovariaatti, joka vaikuttaa oleellisesti </w:t>
      </w:r>
      <w:r w:rsidR="000C4216">
        <w:lastRenderedPageBreak/>
        <w:t xml:space="preserve">tosilitsumabin </w:t>
      </w:r>
      <w:r w:rsidRPr="0028514E">
        <w:t>farmakokinetiikkaan, eliminaatio ja imeytyminen mukaan lukien. Siksi painoon perustuvaa annostusta tulisi harkita (ks. taulukot 8 ja 9).</w:t>
      </w:r>
    </w:p>
    <w:p w14:paraId="73250A4C" w14:textId="77777777" w:rsidR="003B7027" w:rsidRPr="0028514E" w:rsidRDefault="003B7027" w:rsidP="00E05E35">
      <w:pPr>
        <w:pStyle w:val="a4"/>
        <w:ind w:left="0"/>
      </w:pPr>
    </w:p>
    <w:p w14:paraId="6F0902E3" w14:textId="77777777" w:rsidR="003B7027" w:rsidRPr="0028514E" w:rsidRDefault="00296A74" w:rsidP="00455598">
      <w:pPr>
        <w:pStyle w:val="2"/>
        <w:keepNext/>
      </w:pPr>
      <w:r w:rsidRPr="0028514E">
        <w:t>5.3</w:t>
      </w:r>
      <w:r w:rsidRPr="0028514E">
        <w:tab/>
        <w:t>Prekliiniset tiedot turvallisuudesta</w:t>
      </w:r>
    </w:p>
    <w:p w14:paraId="47C0B347" w14:textId="77777777" w:rsidR="008B2BB7" w:rsidRPr="0028514E" w:rsidRDefault="008B2BB7" w:rsidP="001C1F69"/>
    <w:p w14:paraId="46AA8B86" w14:textId="77777777" w:rsidR="003B7027" w:rsidRPr="0028514E" w:rsidRDefault="00296A74" w:rsidP="00E05E35">
      <w:pPr>
        <w:pStyle w:val="a4"/>
        <w:ind w:left="0"/>
      </w:pPr>
      <w:r w:rsidRPr="0028514E">
        <w:t>Farmakologista turvallisuutta, toistuvan altistuksen aiheuttamaa toksisuutta, genotoksisuutta sekä lisääntymis- ja kehitystoksisuutta koskevien konventionaalisten prekliinisten tutkimusten tulokset eivät viittaa erityiseen vaaraan ihmisille.</w:t>
      </w:r>
    </w:p>
    <w:p w14:paraId="17B780A1" w14:textId="77777777" w:rsidR="003B7027" w:rsidRPr="0028514E" w:rsidRDefault="003B7027" w:rsidP="00E05E35">
      <w:pPr>
        <w:pStyle w:val="a4"/>
        <w:ind w:left="0"/>
      </w:pPr>
    </w:p>
    <w:p w14:paraId="75CE5802" w14:textId="77777777" w:rsidR="003B7027" w:rsidRPr="0028514E" w:rsidRDefault="00296A74" w:rsidP="00E05E35">
      <w:pPr>
        <w:pStyle w:val="a4"/>
        <w:ind w:left="0"/>
      </w:pPr>
      <w:r w:rsidRPr="0028514E">
        <w:t>Karsinogeenisuustutkimuksia ei ole tehty, koska monoklonaalisia IgG1-vasta-aineita ei pidetä luontaisina karsinogeeneinä.</w:t>
      </w:r>
    </w:p>
    <w:p w14:paraId="0813356C" w14:textId="77777777" w:rsidR="008B2BB7" w:rsidRPr="0028514E" w:rsidRDefault="008B2BB7" w:rsidP="00E05E35">
      <w:pPr>
        <w:pStyle w:val="a4"/>
        <w:ind w:left="0"/>
      </w:pPr>
    </w:p>
    <w:p w14:paraId="63F52AE7" w14:textId="36BFEBC9" w:rsidR="003B7027" w:rsidRPr="0028514E" w:rsidRDefault="00296A74" w:rsidP="00E05E35">
      <w:pPr>
        <w:pStyle w:val="a4"/>
        <w:ind w:left="0"/>
      </w:pPr>
      <w:r w:rsidRPr="0028514E">
        <w:t xml:space="preserve">Käytettävissä olevat ei-kliiniset tiedot osoittivat, että IL-6 vaikuttaa tiettyjen syöpätyyppien etenemiseen ja apoptoosiresistenssiin. Nämä tiedot eivät viittaa siihen, että </w:t>
      </w:r>
      <w:r w:rsidR="000C4216">
        <w:t>tosilitsumabi</w:t>
      </w:r>
      <w:r w:rsidRPr="0028514E">
        <w:t>hoitoon liittyisi merkittävää syövän kehittymisen ja etenemisen riskiä. Pitkäaikaisessa kuuden kuukauden toksisuustutkimuksessa ei havaittu proliferoivia leesioita jaavanmakakeilla (cynomolgus-apinoilla) eikä IL-6-defisienteillä hiirillä.</w:t>
      </w:r>
    </w:p>
    <w:p w14:paraId="4F7BC260" w14:textId="77777777" w:rsidR="003B7027" w:rsidRPr="0028514E" w:rsidRDefault="003B7027" w:rsidP="00E05E35">
      <w:pPr>
        <w:pStyle w:val="a4"/>
        <w:ind w:left="0"/>
      </w:pPr>
    </w:p>
    <w:p w14:paraId="3AE573B5" w14:textId="7ACE7911" w:rsidR="003B7027" w:rsidRPr="0028514E" w:rsidRDefault="00296A74" w:rsidP="006E5F9A">
      <w:pPr>
        <w:pStyle w:val="a4"/>
        <w:ind w:left="0"/>
      </w:pPr>
      <w:r w:rsidRPr="0028514E">
        <w:t xml:space="preserve">Käytettävissä olevat ei-kliiniset tiedot eivät viittaa hedelmällisyyteen kohdistuviin vaikutuksiin </w:t>
      </w:r>
      <w:r w:rsidR="000C4216">
        <w:t>tosilitsumabi</w:t>
      </w:r>
      <w:r w:rsidRPr="0028514E">
        <w:t>hoidon aikana. Jaavanmakakeilla tehdyssä toksisuustutkimuksessa ei havaittu endokriinisesti aktiivisiin elimiin eikä lisääntymiselimiin kohdistuneita vaikutuksia.</w:t>
      </w:r>
      <w:r w:rsidR="003F1A95">
        <w:t xml:space="preserve"> </w:t>
      </w:r>
      <w:r w:rsidRPr="0028514E">
        <w:t xml:space="preserve">Lisääntymistoimintoihin kohdistuvia vaikutuksia ei havaittu myöskään IL-6-defisienteillä hiirillä. </w:t>
      </w:r>
      <w:r w:rsidR="003F1A95">
        <w:t xml:space="preserve">Tosilitsumabilla </w:t>
      </w:r>
      <w:r w:rsidRPr="0028514E">
        <w:t xml:space="preserve">ei havaittu olevan suoraa eikä epäsuoraa haitallista vaikutusta tiineyteen eikä alkion- tai sikiönkehitykseen, kun sitä annettiin jaavanmakakeille tiineyden alkuvaiheessa. Keskenmenojen / alkio- ja sikiökuolemien vähäistä lisääntymistä havaittiin kuitenkin suurta annostusta 50 mg/kg/vrk saaneiden ryhmässä, jossa systeeminen altistus oli suuri (&gt; 100-kertainen ihmisen altistukseen verrattuna), lumeryhmään ja muihin pientä annosta saaneiden ryhmiin verrattuna. Vaikka IL-6 ei näytä olevan ratkaisevan tärkeä sytokiini sikiön kasvun kannalta eikä emon ja sikiön immunologisessa vuorovaikutuksen säätelyssä, tämän löydöksen yhteyttä </w:t>
      </w:r>
      <w:r w:rsidR="003F1A95">
        <w:t>tosilitsumabi</w:t>
      </w:r>
      <w:r w:rsidRPr="0028514E">
        <w:t>hoitoon ei voida sulkea pois.</w:t>
      </w:r>
    </w:p>
    <w:p w14:paraId="0F94C385" w14:textId="77777777" w:rsidR="008B2BB7" w:rsidRPr="0028514E" w:rsidRDefault="008B2BB7" w:rsidP="006E5F9A">
      <w:pPr>
        <w:pStyle w:val="a4"/>
        <w:ind w:left="0"/>
      </w:pPr>
    </w:p>
    <w:p w14:paraId="591D7F4F" w14:textId="77777777" w:rsidR="003B7027" w:rsidRPr="0028514E" w:rsidRDefault="00296A74" w:rsidP="006E5F9A">
      <w:pPr>
        <w:pStyle w:val="a4"/>
        <w:ind w:left="0"/>
      </w:pPr>
      <w:r w:rsidRPr="0028514E">
        <w:t>Hoito hiiren analogeilla ei aiheuttanut lisääntynyttä toksisuutta nuorilla hiirillä. Häiriöitä ei havaittu etenkään luuston kehityksessä, immuniteetissä eikä seksuaalisessa kypsymisessä.</w:t>
      </w:r>
    </w:p>
    <w:p w14:paraId="5BA9EA2A" w14:textId="77777777" w:rsidR="008B2BB7" w:rsidRPr="0028514E" w:rsidRDefault="008B2BB7" w:rsidP="006E5F9A">
      <w:pPr>
        <w:pStyle w:val="a4"/>
        <w:ind w:left="0"/>
      </w:pPr>
    </w:p>
    <w:p w14:paraId="20893FC0" w14:textId="5E0774B7" w:rsidR="003B7027" w:rsidRPr="0028514E" w:rsidRDefault="003F1A95" w:rsidP="006E5F9A">
      <w:pPr>
        <w:pStyle w:val="a4"/>
        <w:ind w:left="0"/>
      </w:pPr>
      <w:r>
        <w:t>Tosilitsumabin</w:t>
      </w:r>
      <w:r w:rsidR="00296A74" w:rsidRPr="0028514E">
        <w:t xml:space="preserve"> non-kliininen turvallisuusprofiili cynomolgus-apinoilla ei viittaa siihen, että laskimonsisäisen ja ihonalaisen antoreitin välillä olisi eroa.</w:t>
      </w:r>
    </w:p>
    <w:p w14:paraId="4C5F7135" w14:textId="77777777" w:rsidR="003B7027" w:rsidRPr="0028514E" w:rsidRDefault="003B7027" w:rsidP="006E5F9A">
      <w:pPr>
        <w:pStyle w:val="a4"/>
        <w:ind w:left="0"/>
      </w:pPr>
    </w:p>
    <w:p w14:paraId="0486CA89" w14:textId="77777777" w:rsidR="003B7027" w:rsidRPr="0028514E" w:rsidRDefault="003B7027" w:rsidP="006E5F9A">
      <w:pPr>
        <w:pStyle w:val="a4"/>
        <w:ind w:left="0"/>
      </w:pPr>
    </w:p>
    <w:p w14:paraId="421499CC" w14:textId="77777777" w:rsidR="003B7027" w:rsidRPr="0028514E" w:rsidRDefault="00296A74" w:rsidP="00BF3213">
      <w:pPr>
        <w:pStyle w:val="1"/>
      </w:pPr>
      <w:r w:rsidRPr="0028514E">
        <w:t>6.</w:t>
      </w:r>
      <w:r w:rsidRPr="0028514E">
        <w:tab/>
        <w:t>FARMASEUTTISET TIEDOT</w:t>
      </w:r>
    </w:p>
    <w:p w14:paraId="2B5D1182" w14:textId="77777777" w:rsidR="003B7027" w:rsidRPr="0028514E" w:rsidRDefault="003B7027" w:rsidP="006E5F9A">
      <w:pPr>
        <w:pStyle w:val="a4"/>
        <w:ind w:left="0"/>
        <w:rPr>
          <w:b/>
        </w:rPr>
      </w:pPr>
    </w:p>
    <w:p w14:paraId="2C757F5F" w14:textId="77777777" w:rsidR="003B7027" w:rsidRPr="0028514E" w:rsidRDefault="00296A74" w:rsidP="006E5F9A">
      <w:pPr>
        <w:pStyle w:val="2"/>
      </w:pPr>
      <w:r w:rsidRPr="0028514E">
        <w:t>6.1</w:t>
      </w:r>
      <w:r w:rsidRPr="0028514E">
        <w:tab/>
        <w:t>Apuaineet</w:t>
      </w:r>
    </w:p>
    <w:p w14:paraId="32A41C81" w14:textId="77777777" w:rsidR="008B2BB7" w:rsidRPr="0028514E" w:rsidRDefault="008B2BB7" w:rsidP="001C1F69"/>
    <w:p w14:paraId="5CE65528" w14:textId="77777777" w:rsidR="003B7027" w:rsidRDefault="00296A74" w:rsidP="006E5F9A">
      <w:pPr>
        <w:pStyle w:val="a4"/>
        <w:ind w:left="0"/>
        <w:rPr>
          <w:rFonts w:eastAsia="맑은 고딕"/>
          <w:lang w:eastAsia="ko-KR"/>
        </w:rPr>
      </w:pPr>
      <w:r w:rsidRPr="0028514E">
        <w:t>L-histidiini</w:t>
      </w:r>
    </w:p>
    <w:p w14:paraId="7000E7A0" w14:textId="39B2DCD0" w:rsidR="00A5656C" w:rsidRPr="00E919A5" w:rsidRDefault="00C26E34" w:rsidP="006E5F9A">
      <w:pPr>
        <w:pStyle w:val="a4"/>
        <w:ind w:left="0"/>
        <w:rPr>
          <w:rFonts w:eastAsia="맑은 고딕"/>
          <w:lang w:val="en-GB" w:eastAsia="ko-KR"/>
        </w:rPr>
      </w:pPr>
      <w:r w:rsidRPr="00C26E34">
        <w:rPr>
          <w:rFonts w:eastAsia="맑은 고딕" w:hint="eastAsia"/>
          <w:lang w:val="en-GB" w:eastAsia="ko-KR"/>
        </w:rPr>
        <w:t>L-</w:t>
      </w:r>
      <w:proofErr w:type="spellStart"/>
      <w:r w:rsidRPr="00C26E34">
        <w:rPr>
          <w:rFonts w:eastAsia="맑은 고딕" w:hint="eastAsia"/>
          <w:lang w:val="en-GB" w:eastAsia="ko-KR"/>
        </w:rPr>
        <w:t>histidiinimonohydrokloridimonohydraatti</w:t>
      </w:r>
      <w:proofErr w:type="spellEnd"/>
    </w:p>
    <w:p w14:paraId="279A0C4B" w14:textId="54269741" w:rsidR="003B7027" w:rsidRPr="0028514E" w:rsidRDefault="0022205F" w:rsidP="006E5F9A">
      <w:pPr>
        <w:pStyle w:val="a4"/>
        <w:ind w:left="0"/>
      </w:pPr>
      <w:r>
        <w:t>L‑treoniini</w:t>
      </w:r>
    </w:p>
    <w:p w14:paraId="5BD6721C" w14:textId="77777777" w:rsidR="008B2BB7" w:rsidRPr="0028514E" w:rsidRDefault="00296A74" w:rsidP="006E5F9A">
      <w:pPr>
        <w:pStyle w:val="a4"/>
        <w:ind w:left="0"/>
      </w:pPr>
      <w:r w:rsidRPr="0028514E">
        <w:t>L-metioniini</w:t>
      </w:r>
    </w:p>
    <w:p w14:paraId="4CE48658" w14:textId="77777777" w:rsidR="003B7027" w:rsidRPr="0028514E" w:rsidRDefault="00296A74" w:rsidP="006E5F9A">
      <w:pPr>
        <w:pStyle w:val="a4"/>
        <w:ind w:left="0"/>
      </w:pPr>
      <w:r w:rsidRPr="0028514E">
        <w:t>Polysorbaatti 80</w:t>
      </w:r>
    </w:p>
    <w:p w14:paraId="7602C691" w14:textId="77777777" w:rsidR="003B7027" w:rsidRPr="0028514E" w:rsidRDefault="00296A74" w:rsidP="006E5F9A">
      <w:pPr>
        <w:pStyle w:val="a4"/>
        <w:ind w:left="0"/>
      </w:pPr>
      <w:r w:rsidRPr="0028514E">
        <w:t>Injektionesteisiin käytettävä vesi</w:t>
      </w:r>
    </w:p>
    <w:p w14:paraId="63889864" w14:textId="77777777" w:rsidR="003B7027" w:rsidRPr="0028514E" w:rsidRDefault="003B7027" w:rsidP="006E5F9A">
      <w:pPr>
        <w:pStyle w:val="a4"/>
        <w:ind w:left="0"/>
      </w:pPr>
    </w:p>
    <w:p w14:paraId="0A4B2DF1" w14:textId="77777777" w:rsidR="003B7027" w:rsidRPr="0028514E" w:rsidRDefault="00296A74" w:rsidP="006E5F9A">
      <w:pPr>
        <w:pStyle w:val="2"/>
      </w:pPr>
      <w:r w:rsidRPr="0028514E">
        <w:t>6.2</w:t>
      </w:r>
      <w:r w:rsidRPr="0028514E">
        <w:tab/>
        <w:t>Yhteensopimattomuudet</w:t>
      </w:r>
    </w:p>
    <w:p w14:paraId="012E2277" w14:textId="77777777" w:rsidR="008B2BB7" w:rsidRPr="009A3CB5" w:rsidRDefault="008B2BB7" w:rsidP="001C1F69">
      <w:pPr>
        <w:rPr>
          <w:lang w:val="fi-FI"/>
        </w:rPr>
      </w:pPr>
    </w:p>
    <w:p w14:paraId="61ECCD46" w14:textId="77777777" w:rsidR="003B7027" w:rsidRPr="0028514E" w:rsidRDefault="00296A74" w:rsidP="006E5F9A">
      <w:pPr>
        <w:pStyle w:val="a4"/>
        <w:ind w:left="0"/>
      </w:pPr>
      <w:r w:rsidRPr="0028514E">
        <w:t>Koska yhteensopivuustutkimuksia ei ole tehty, tätä lääkevalmistetta ei saa sekoittaa muiden lääkevalmisteiden kanssa.</w:t>
      </w:r>
    </w:p>
    <w:p w14:paraId="548BF06A" w14:textId="77777777" w:rsidR="003B7027" w:rsidRPr="0028514E" w:rsidRDefault="003B7027" w:rsidP="006E5F9A">
      <w:pPr>
        <w:pStyle w:val="a4"/>
        <w:ind w:left="0"/>
      </w:pPr>
    </w:p>
    <w:p w14:paraId="1792ECB9" w14:textId="77777777" w:rsidR="003B7027" w:rsidRPr="0028514E" w:rsidRDefault="00296A74" w:rsidP="000F5A9F">
      <w:pPr>
        <w:pStyle w:val="2"/>
        <w:keepNext/>
      </w:pPr>
      <w:r w:rsidRPr="0028514E">
        <w:t>6.3</w:t>
      </w:r>
      <w:r w:rsidRPr="0028514E">
        <w:tab/>
        <w:t>Kestoaika</w:t>
      </w:r>
    </w:p>
    <w:p w14:paraId="7A90435B" w14:textId="77777777" w:rsidR="008B2BB7" w:rsidRPr="009A3CB5" w:rsidRDefault="008B2BB7" w:rsidP="001C1F69">
      <w:pPr>
        <w:rPr>
          <w:lang w:val="fi-FI"/>
        </w:rPr>
      </w:pPr>
    </w:p>
    <w:p w14:paraId="0B74E536" w14:textId="1DCDED35" w:rsidR="003B7027" w:rsidRPr="0028514E" w:rsidRDefault="00A3116F" w:rsidP="006E5F9A">
      <w:pPr>
        <w:pStyle w:val="a4"/>
        <w:ind w:left="0"/>
      </w:pPr>
      <w:r>
        <w:rPr>
          <w:rFonts w:eastAsia="맑은 고딕" w:hint="eastAsia"/>
          <w:lang w:eastAsia="ko-KR"/>
        </w:rPr>
        <w:t>42</w:t>
      </w:r>
      <w:r w:rsidRPr="0028514E">
        <w:t xml:space="preserve"> </w:t>
      </w:r>
      <w:r w:rsidR="00296A74" w:rsidRPr="0028514E">
        <w:t>kuukautta.</w:t>
      </w:r>
    </w:p>
    <w:p w14:paraId="1E89F281" w14:textId="77777777" w:rsidR="003B7027" w:rsidRPr="0028514E" w:rsidRDefault="003B7027" w:rsidP="006E5F9A">
      <w:pPr>
        <w:pStyle w:val="a4"/>
        <w:ind w:left="0"/>
      </w:pPr>
    </w:p>
    <w:p w14:paraId="2D2906F2" w14:textId="77777777" w:rsidR="003B7027" w:rsidRPr="0028514E" w:rsidRDefault="00296A74" w:rsidP="006E5F9A">
      <w:pPr>
        <w:pStyle w:val="2"/>
      </w:pPr>
      <w:r w:rsidRPr="0028514E">
        <w:lastRenderedPageBreak/>
        <w:t>6.4</w:t>
      </w:r>
      <w:r w:rsidRPr="0028514E">
        <w:tab/>
        <w:t>Säilytys</w:t>
      </w:r>
    </w:p>
    <w:p w14:paraId="19FC41B7" w14:textId="77777777" w:rsidR="008B2BB7" w:rsidRPr="009A3CB5" w:rsidRDefault="008B2BB7" w:rsidP="001C1F69">
      <w:pPr>
        <w:rPr>
          <w:lang w:val="fi-FI"/>
        </w:rPr>
      </w:pPr>
    </w:p>
    <w:p w14:paraId="7D71CE1D" w14:textId="67856C02" w:rsidR="003B7027" w:rsidRPr="0028514E" w:rsidRDefault="00296A74" w:rsidP="006E5F9A">
      <w:pPr>
        <w:pStyle w:val="a4"/>
        <w:ind w:left="0"/>
      </w:pPr>
      <w:r w:rsidRPr="0028514E">
        <w:t xml:space="preserve">Säilytä jääkaapissa (2 °C – 8 °C). Ei saa jäätyä. Kun esitäytetty kynä on otettu jääkaapista, se voidaan säilyttää enintään 30 °C:n lämpötilassa korkeintaan </w:t>
      </w:r>
      <w:r w:rsidR="0022205F">
        <w:t>3</w:t>
      </w:r>
      <w:r w:rsidRPr="0028514E">
        <w:t xml:space="preserve"> viikkoa.</w:t>
      </w:r>
    </w:p>
    <w:p w14:paraId="11FD1710" w14:textId="77777777" w:rsidR="008B2BB7" w:rsidRPr="0028514E" w:rsidRDefault="008B2BB7" w:rsidP="006E5F9A">
      <w:pPr>
        <w:pStyle w:val="a4"/>
        <w:ind w:left="0"/>
      </w:pPr>
    </w:p>
    <w:p w14:paraId="356A8346" w14:textId="77777777" w:rsidR="003B7027" w:rsidRPr="0028514E" w:rsidRDefault="00296A74" w:rsidP="006E5F9A">
      <w:pPr>
        <w:pStyle w:val="a4"/>
        <w:ind w:left="0"/>
      </w:pPr>
      <w:r w:rsidRPr="0028514E">
        <w:t>Pidä esitäytetyt kynät ulkopakkauksessa. Herkkä valolle. Herkkä kosteudelle.</w:t>
      </w:r>
    </w:p>
    <w:p w14:paraId="523AF2B0" w14:textId="77777777" w:rsidR="003B7027" w:rsidRPr="0028514E" w:rsidRDefault="003B7027" w:rsidP="006E5F9A">
      <w:pPr>
        <w:pStyle w:val="a4"/>
        <w:ind w:left="0"/>
      </w:pPr>
    </w:p>
    <w:p w14:paraId="3A7D371C" w14:textId="77777777" w:rsidR="003B7027" w:rsidRPr="0028514E" w:rsidRDefault="00296A74" w:rsidP="006E4E50">
      <w:pPr>
        <w:pStyle w:val="2"/>
        <w:keepNext/>
      </w:pPr>
      <w:r w:rsidRPr="0028514E">
        <w:t>6.5</w:t>
      </w:r>
      <w:r w:rsidRPr="0028514E">
        <w:tab/>
        <w:t>Pakkaustyyppi ja pakkauskoko (pakkauskoot)</w:t>
      </w:r>
    </w:p>
    <w:p w14:paraId="70B7F999" w14:textId="77777777" w:rsidR="008B2BB7" w:rsidRPr="009A3CB5" w:rsidRDefault="008B2BB7" w:rsidP="001C1F69">
      <w:pPr>
        <w:rPr>
          <w:lang w:val="fi-FI"/>
        </w:rPr>
      </w:pPr>
    </w:p>
    <w:p w14:paraId="5CEF46E9" w14:textId="472C266E" w:rsidR="003B7027" w:rsidRPr="0028514E" w:rsidRDefault="0022205F" w:rsidP="006E5F9A">
      <w:pPr>
        <w:pStyle w:val="a4"/>
        <w:ind w:left="0"/>
      </w:pPr>
      <w:r>
        <w:t>Avtozma</w:t>
      </w:r>
      <w:r w:rsidRPr="0028514E">
        <w:t xml:space="preserve"> </w:t>
      </w:r>
      <w:r w:rsidR="00296A74" w:rsidRPr="0028514E">
        <w:t>162 mg esitäytetty kynä sisältää 0,9 ml liuosta esitäytetyssä ruiskussa (tyypin I lasia), jossa on valmiiksi kiinnitetty neula. Ruiskussa on jäykkä neulansuojus (</w:t>
      </w:r>
      <w:r>
        <w:t>polyisopreenikumia ja polypropeenia</w:t>
      </w:r>
      <w:r w:rsidR="00296A74" w:rsidRPr="0028514E">
        <w:t xml:space="preserve">) ja </w:t>
      </w:r>
      <w:r>
        <w:t xml:space="preserve">steriili fluorotec-päällystetty elastomeerinen </w:t>
      </w:r>
      <w:r w:rsidR="00296A74" w:rsidRPr="0028514E">
        <w:t>männänpysäytin (</w:t>
      </w:r>
      <w:r>
        <w:t>jossa on silikonia</w:t>
      </w:r>
      <w:r w:rsidR="00296A74" w:rsidRPr="0028514E">
        <w:t>).</w:t>
      </w:r>
    </w:p>
    <w:p w14:paraId="62803AE0" w14:textId="77777777" w:rsidR="008B2BB7" w:rsidRDefault="008B2BB7" w:rsidP="006E5F9A">
      <w:pPr>
        <w:pStyle w:val="a4"/>
        <w:ind w:left="0"/>
      </w:pPr>
    </w:p>
    <w:p w14:paraId="1E706E5F" w14:textId="2CB5E566" w:rsidR="0022205F" w:rsidRDefault="0022205F" w:rsidP="0022205F">
      <w:pPr>
        <w:pStyle w:val="a4"/>
        <w:ind w:left="0"/>
      </w:pPr>
      <w:r>
        <w:t>Potilaan käyttöön tarkoitettuja esitäytettyjä Avtozma-kyniä on saatavilla pakkauksissa, jotka sisältävät:</w:t>
      </w:r>
    </w:p>
    <w:p w14:paraId="5A46F4AC" w14:textId="0D746AE5" w:rsidR="0022205F" w:rsidRDefault="0022205F" w:rsidP="0022205F">
      <w:pPr>
        <w:pStyle w:val="a"/>
      </w:pPr>
      <w:r>
        <w:t>1 esitäytetyn kynän</w:t>
      </w:r>
    </w:p>
    <w:p w14:paraId="1D05D26D" w14:textId="19ECB2D8" w:rsidR="003B2CC6" w:rsidRDefault="003B2CC6" w:rsidP="003B2CC6">
      <w:pPr>
        <w:pStyle w:val="a"/>
        <w:rPr>
          <w:ins w:id="18" w:author="만든 이"/>
        </w:rPr>
      </w:pPr>
      <w:ins w:id="19" w:author="만든 이">
        <w:r>
          <w:rPr>
            <w:rFonts w:eastAsia="맑은 고딕" w:hint="eastAsia"/>
            <w:lang w:eastAsia="ko-KR"/>
          </w:rPr>
          <w:t>2</w:t>
        </w:r>
        <w:r>
          <w:t> esitäytettyä kynää</w:t>
        </w:r>
      </w:ins>
    </w:p>
    <w:p w14:paraId="6F25533B" w14:textId="070A95FF" w:rsidR="0022205F" w:rsidRDefault="0022205F" w:rsidP="0022205F">
      <w:pPr>
        <w:pStyle w:val="a"/>
      </w:pPr>
      <w:r>
        <w:t>4 esitäytettyä kynää</w:t>
      </w:r>
    </w:p>
    <w:p w14:paraId="05F6FC18" w14:textId="22330B57" w:rsidR="0022205F" w:rsidRDefault="0022205F" w:rsidP="0022205F">
      <w:pPr>
        <w:pStyle w:val="a"/>
      </w:pPr>
      <w:r>
        <w:t xml:space="preserve">12 esitäytettyä kynää </w:t>
      </w:r>
      <w:r w:rsidR="00A50F83">
        <w:t xml:space="preserve">(3 pakkausta, joissa kussakin 4 esitäytettyä kynää) </w:t>
      </w:r>
      <w:r>
        <w:t>(monipakkaus)</w:t>
      </w:r>
    </w:p>
    <w:p w14:paraId="6B3CC32C" w14:textId="77777777" w:rsidR="0022205F" w:rsidRPr="0028514E" w:rsidRDefault="0022205F" w:rsidP="006E5F9A">
      <w:pPr>
        <w:pStyle w:val="a4"/>
        <w:ind w:left="0"/>
      </w:pPr>
    </w:p>
    <w:p w14:paraId="6C5F823B" w14:textId="03CB11AC" w:rsidR="003B7027" w:rsidRPr="0028514E" w:rsidRDefault="00296A74" w:rsidP="006E5F9A">
      <w:pPr>
        <w:pStyle w:val="a4"/>
        <w:ind w:left="0"/>
      </w:pPr>
      <w:r w:rsidRPr="0028514E">
        <w:t>Kaikkia pakkauskokoja ei välttämättä ole myynnissä.</w:t>
      </w:r>
    </w:p>
    <w:p w14:paraId="27140FFD" w14:textId="77777777" w:rsidR="003B7027" w:rsidRPr="0028514E" w:rsidRDefault="003B7027" w:rsidP="006E5F9A">
      <w:pPr>
        <w:pStyle w:val="a4"/>
        <w:ind w:left="0"/>
      </w:pPr>
    </w:p>
    <w:p w14:paraId="47B62ECE" w14:textId="77777777" w:rsidR="003B7027" w:rsidRPr="0028514E" w:rsidRDefault="00296A74" w:rsidP="00C428D4">
      <w:pPr>
        <w:pStyle w:val="2"/>
        <w:keepNext/>
        <w:ind w:left="0" w:firstLine="0"/>
      </w:pPr>
      <w:r w:rsidRPr="0028514E">
        <w:t>6.6</w:t>
      </w:r>
      <w:r w:rsidRPr="0028514E">
        <w:tab/>
        <w:t>Erityiset varotoimet hävittämiselle ja muut käsittelyohjeet</w:t>
      </w:r>
    </w:p>
    <w:p w14:paraId="332E8322" w14:textId="77777777" w:rsidR="008B2BB7" w:rsidRPr="0028514E" w:rsidRDefault="008B2BB7" w:rsidP="001C1F69"/>
    <w:p w14:paraId="1A697137" w14:textId="2E0736F1" w:rsidR="003B7027" w:rsidRPr="0028514E" w:rsidRDefault="0022205F" w:rsidP="003C43CF">
      <w:pPr>
        <w:pStyle w:val="a4"/>
        <w:ind w:left="0"/>
      </w:pPr>
      <w:r>
        <w:t>Avtozma</w:t>
      </w:r>
      <w:r w:rsidRPr="0028514E">
        <w:t xml:space="preserve"> </w:t>
      </w:r>
      <w:r w:rsidR="00296A74" w:rsidRPr="0028514E">
        <w:t>on pakattu kertakäyttöön tarkoitettuun esitäytettyyn kynään. Kun esitäytetty kynä on otettu jääkaapista, esitäytetyn kynän on annettava lämmetä huoneenlämpöiseksi (</w:t>
      </w:r>
      <w:r w:rsidR="00D43D49">
        <w:rPr>
          <w:rFonts w:eastAsia="맑은 고딕" w:hint="eastAsia"/>
          <w:lang w:eastAsia="ko-KR"/>
        </w:rPr>
        <w:t>18</w:t>
      </w:r>
      <w:r w:rsidR="00D43D49">
        <w:t> </w:t>
      </w:r>
      <w:r w:rsidR="00296A74" w:rsidRPr="0028514E">
        <w:t xml:space="preserve">°C – </w:t>
      </w:r>
      <w:r w:rsidR="00D43D49">
        <w:t>2</w:t>
      </w:r>
      <w:r w:rsidR="00D43D49">
        <w:rPr>
          <w:rFonts w:eastAsia="맑은 고딕" w:hint="eastAsia"/>
          <w:lang w:eastAsia="ko-KR"/>
        </w:rPr>
        <w:t>8</w:t>
      </w:r>
      <w:r w:rsidR="00D43D49">
        <w:t> </w:t>
      </w:r>
      <w:r w:rsidR="00296A74" w:rsidRPr="0028514E">
        <w:t xml:space="preserve">°C) 45 minuutin ajan ennen </w:t>
      </w:r>
      <w:r>
        <w:t>Avtozma</w:t>
      </w:r>
      <w:r w:rsidR="00296A74" w:rsidRPr="0028514E">
        <w:t>-injektion antamista. Kynää ei saa ravistaa. Injektion antaminen on aloitettava</w:t>
      </w:r>
      <w:r w:rsidR="008B2BB7" w:rsidRPr="0028514E">
        <w:t xml:space="preserve"> </w:t>
      </w:r>
      <w:r w:rsidR="00296A74" w:rsidRPr="0028514E">
        <w:t>3 minuutin kuluessa siitä, kun neulan suojakorkki on poistettu, jotta lääke ei kuivu ja tuki neulaa. Jos esitäytettyä kynää ei käytetä 3 minuutin kuluessa siitä, kun suojakorkki on poistettu, kynä on laitettava pistävälle ja viiltävälle jätteelle tarkoitettuun astiaan, ja käyttöön on otettava uusi esitäytetty kynä.</w:t>
      </w:r>
    </w:p>
    <w:p w14:paraId="5A2917DB" w14:textId="77777777" w:rsidR="003B7027" w:rsidRPr="0028514E" w:rsidRDefault="003B7027" w:rsidP="006E5F9A">
      <w:pPr>
        <w:pStyle w:val="a4"/>
        <w:ind w:left="0"/>
      </w:pPr>
    </w:p>
    <w:p w14:paraId="75851455" w14:textId="747513A9" w:rsidR="003B7027" w:rsidRPr="0028514E" w:rsidRDefault="00296A74" w:rsidP="006E5F9A">
      <w:pPr>
        <w:pStyle w:val="a4"/>
        <w:ind w:left="0"/>
      </w:pPr>
      <w:r w:rsidRPr="0028514E">
        <w:t xml:space="preserve">Jos </w:t>
      </w:r>
      <w:r w:rsidR="0022205F">
        <w:t xml:space="preserve">oranssi </w:t>
      </w:r>
      <w:r w:rsidRPr="0028514E">
        <w:t xml:space="preserve">osoitin ei liiku </w:t>
      </w:r>
      <w:r w:rsidR="0022205F">
        <w:t>neulansuojuksen</w:t>
      </w:r>
      <w:r w:rsidR="0022205F" w:rsidRPr="0028514E">
        <w:t xml:space="preserve"> </w:t>
      </w:r>
      <w:r w:rsidRPr="0028514E">
        <w:t xml:space="preserve">painamisen jälkeen, sinun on laitettava esitäytetty kynä pistävälle ja viiltävälle jätteelle tarkoitettuun astiaan. </w:t>
      </w:r>
      <w:r w:rsidRPr="00CA43F5">
        <w:rPr>
          <w:bCs/>
        </w:rPr>
        <w:t>Älä</w:t>
      </w:r>
      <w:r w:rsidRPr="0028514E">
        <w:rPr>
          <w:b/>
        </w:rPr>
        <w:t xml:space="preserve"> </w:t>
      </w:r>
      <w:r w:rsidRPr="0028514E">
        <w:t>yritä käyttää esitäytettyä ruiskua uudelleen.</w:t>
      </w:r>
      <w:r w:rsidR="0022205F">
        <w:t xml:space="preserve"> Jos esitäytettyä kynää yritetään käyttää uudelleen, se lukittuu ja neulansuojus peittää neulan.</w:t>
      </w:r>
      <w:r w:rsidRPr="0028514E">
        <w:t xml:space="preserve"> Älä ota uutta pistosta uudella esitäytetyllä kynällä. Soita terveydenhuollon ammattilaiselle ja kysy neuvoa.</w:t>
      </w:r>
    </w:p>
    <w:p w14:paraId="0D69F0AD" w14:textId="77777777" w:rsidR="008B2BB7" w:rsidRPr="0028514E" w:rsidRDefault="008B2BB7" w:rsidP="006E5F9A">
      <w:pPr>
        <w:pStyle w:val="a4"/>
        <w:ind w:left="0"/>
      </w:pPr>
    </w:p>
    <w:p w14:paraId="3442D0A0" w14:textId="4A8023E5" w:rsidR="003B7027" w:rsidRPr="0028514E" w:rsidRDefault="00296A74" w:rsidP="006E5F9A">
      <w:pPr>
        <w:pStyle w:val="a4"/>
        <w:ind w:left="0"/>
      </w:pPr>
      <w:r w:rsidRPr="0028514E">
        <w:t xml:space="preserve">Älä käytä kynää, jos lääke on sameaa tai siinä on hiukkasia tai jos liuos ei ole väritöntä tai </w:t>
      </w:r>
      <w:r w:rsidR="0022205F">
        <w:t>keltaista</w:t>
      </w:r>
      <w:r w:rsidRPr="0028514E">
        <w:t xml:space="preserve"> tai jos esitäytetyn kynän jokin osa vaikuttaa vialliselta.</w:t>
      </w:r>
    </w:p>
    <w:p w14:paraId="024A5150" w14:textId="77777777" w:rsidR="008B2BB7" w:rsidRPr="0028514E" w:rsidRDefault="008B2BB7" w:rsidP="006E5F9A">
      <w:pPr>
        <w:pStyle w:val="a4"/>
        <w:ind w:left="0"/>
      </w:pPr>
    </w:p>
    <w:p w14:paraId="781E0C9A" w14:textId="30EDD871" w:rsidR="008B2BB7" w:rsidRPr="0028514E" w:rsidRDefault="00296A74" w:rsidP="006E5F9A">
      <w:pPr>
        <w:pStyle w:val="a4"/>
        <w:ind w:left="0"/>
      </w:pPr>
      <w:r w:rsidRPr="0028514E">
        <w:t xml:space="preserve">Kattavat ohjeet esitäytetyn </w:t>
      </w:r>
      <w:r w:rsidR="0022205F">
        <w:t>Avtozma-</w:t>
      </w:r>
      <w:r w:rsidRPr="0028514E">
        <w:t>kynän käyttämiseen on esitetty pakkausselosteessa.</w:t>
      </w:r>
    </w:p>
    <w:p w14:paraId="33D66609" w14:textId="77777777" w:rsidR="008B2BB7" w:rsidRPr="0028514E" w:rsidRDefault="008B2BB7" w:rsidP="006E5F9A">
      <w:pPr>
        <w:pStyle w:val="a4"/>
        <w:ind w:left="0"/>
      </w:pPr>
    </w:p>
    <w:p w14:paraId="43153C03" w14:textId="77777777" w:rsidR="003B7027" w:rsidRPr="0028514E" w:rsidRDefault="00296A74" w:rsidP="006E5F9A">
      <w:pPr>
        <w:pStyle w:val="a4"/>
        <w:ind w:left="0"/>
      </w:pPr>
      <w:r w:rsidRPr="0028514E">
        <w:t>Käyttämätön lääkevalmiste tai jäte on hävitettävä paikallisten vaatimusten mukaisesti.</w:t>
      </w:r>
    </w:p>
    <w:p w14:paraId="20AC29A4" w14:textId="77777777" w:rsidR="008B2BB7" w:rsidRPr="0028514E" w:rsidRDefault="008B2BB7" w:rsidP="006E5F9A">
      <w:pPr>
        <w:pStyle w:val="a4"/>
        <w:ind w:left="0"/>
      </w:pPr>
    </w:p>
    <w:p w14:paraId="07C6374C" w14:textId="77777777" w:rsidR="003B7027" w:rsidRPr="0028514E" w:rsidRDefault="003B7027" w:rsidP="006E5F9A">
      <w:pPr>
        <w:pStyle w:val="a4"/>
        <w:ind w:left="0"/>
      </w:pPr>
    </w:p>
    <w:p w14:paraId="5A44135C" w14:textId="77777777" w:rsidR="003B7027" w:rsidRPr="00E919A5" w:rsidRDefault="00296A74" w:rsidP="00BF3213">
      <w:pPr>
        <w:pStyle w:val="1"/>
      </w:pPr>
      <w:r w:rsidRPr="00E919A5">
        <w:t>7.</w:t>
      </w:r>
      <w:r w:rsidRPr="00E919A5">
        <w:tab/>
        <w:t>MYYNTILUVAN HALTIJA</w:t>
      </w:r>
    </w:p>
    <w:p w14:paraId="00A78578" w14:textId="77777777" w:rsidR="008B2BB7" w:rsidRPr="00E919A5" w:rsidRDefault="008B2BB7" w:rsidP="006E5F9A">
      <w:pPr>
        <w:pStyle w:val="a4"/>
        <w:ind w:left="0"/>
      </w:pPr>
    </w:p>
    <w:p w14:paraId="3D7BF754" w14:textId="77777777" w:rsidR="0022205F" w:rsidRPr="00E919A5" w:rsidRDefault="0022205F" w:rsidP="0022205F">
      <w:pPr>
        <w:keepNext/>
        <w:rPr>
          <w:lang w:val="fi-FI"/>
        </w:rPr>
      </w:pPr>
      <w:r w:rsidRPr="00E919A5">
        <w:rPr>
          <w:lang w:val="fi-FI"/>
        </w:rPr>
        <w:t xml:space="preserve">Celltrion Healthcare Hungary Kft. </w:t>
      </w:r>
    </w:p>
    <w:p w14:paraId="57CC37A4" w14:textId="77777777" w:rsidR="0022205F" w:rsidRPr="00E919A5" w:rsidRDefault="0022205F" w:rsidP="0022205F">
      <w:pPr>
        <w:keepNext/>
        <w:rPr>
          <w:lang w:val="fi-FI"/>
        </w:rPr>
      </w:pPr>
      <w:r w:rsidRPr="00E919A5">
        <w:rPr>
          <w:lang w:val="fi-FI"/>
        </w:rPr>
        <w:t>1062 Budapest</w:t>
      </w:r>
    </w:p>
    <w:p w14:paraId="507F7E85" w14:textId="77777777" w:rsidR="0022205F" w:rsidRPr="00C61A9B" w:rsidRDefault="0022205F" w:rsidP="0022205F">
      <w:pPr>
        <w:keepNext/>
      </w:pPr>
      <w:r w:rsidRPr="00C61A9B">
        <w:t xml:space="preserve">Váci </w:t>
      </w:r>
      <w:proofErr w:type="spellStart"/>
      <w:r w:rsidRPr="00C61A9B">
        <w:t>út</w:t>
      </w:r>
      <w:proofErr w:type="spellEnd"/>
      <w:r w:rsidRPr="00C61A9B">
        <w:t xml:space="preserve"> 1-3. </w:t>
      </w:r>
      <w:proofErr w:type="spellStart"/>
      <w:r w:rsidRPr="00C61A9B">
        <w:t>WestEnd</w:t>
      </w:r>
      <w:proofErr w:type="spellEnd"/>
      <w:r w:rsidRPr="00C61A9B">
        <w:t xml:space="preserve"> Office Building B </w:t>
      </w:r>
      <w:proofErr w:type="spellStart"/>
      <w:r w:rsidRPr="00C61A9B">
        <w:t>torony</w:t>
      </w:r>
      <w:proofErr w:type="spellEnd"/>
    </w:p>
    <w:p w14:paraId="1D1F1912" w14:textId="253E9944" w:rsidR="003B7027" w:rsidRPr="0028514E" w:rsidRDefault="0022205F" w:rsidP="006E5F9A">
      <w:pPr>
        <w:pStyle w:val="a4"/>
        <w:ind w:left="0"/>
      </w:pPr>
      <w:r>
        <w:t>Unkari</w:t>
      </w:r>
    </w:p>
    <w:p w14:paraId="4D119829" w14:textId="77777777" w:rsidR="003B7027" w:rsidRPr="0028514E" w:rsidRDefault="003B7027" w:rsidP="006E5F9A">
      <w:pPr>
        <w:pStyle w:val="a4"/>
        <w:ind w:left="0"/>
      </w:pPr>
    </w:p>
    <w:p w14:paraId="370747D1" w14:textId="77777777" w:rsidR="003B7027" w:rsidRPr="0028514E" w:rsidRDefault="003B7027" w:rsidP="006E5F9A">
      <w:pPr>
        <w:pStyle w:val="a4"/>
        <w:ind w:left="0"/>
      </w:pPr>
    </w:p>
    <w:p w14:paraId="2D5AFE7C" w14:textId="77777777" w:rsidR="003B7027" w:rsidRPr="0028514E" w:rsidRDefault="00296A74" w:rsidP="00BF3213">
      <w:pPr>
        <w:pStyle w:val="1"/>
      </w:pPr>
      <w:r w:rsidRPr="0028514E">
        <w:t>8.</w:t>
      </w:r>
      <w:r w:rsidRPr="0028514E">
        <w:tab/>
        <w:t>MYYNTILUVAN NUMERO(T)</w:t>
      </w:r>
    </w:p>
    <w:p w14:paraId="16E1A18F" w14:textId="77777777" w:rsidR="008B2BB7" w:rsidRPr="0028514E" w:rsidRDefault="008B2BB7" w:rsidP="001C1F69"/>
    <w:p w14:paraId="25582378" w14:textId="1D57B79A" w:rsidR="0022205F" w:rsidRPr="00CA43F5" w:rsidRDefault="0022205F" w:rsidP="0022205F">
      <w:pPr>
        <w:keepNext/>
        <w:rPr>
          <w:lang w:val="fi-FI"/>
        </w:rPr>
      </w:pPr>
      <w:r w:rsidRPr="00CA43F5">
        <w:rPr>
          <w:lang w:val="fi-FI"/>
        </w:rPr>
        <w:t>EU/</w:t>
      </w:r>
      <w:r w:rsidR="009408B3" w:rsidRPr="00F458BB">
        <w:rPr>
          <w:spacing w:val="-1"/>
          <w:lang w:val="pt-BR"/>
        </w:rPr>
        <w:t>1/24/1896/010</w:t>
      </w:r>
    </w:p>
    <w:p w14:paraId="415571E9" w14:textId="492B614B" w:rsidR="0022205F" w:rsidRPr="00E919A5" w:rsidRDefault="0022205F" w:rsidP="0022205F">
      <w:pPr>
        <w:keepNext/>
        <w:rPr>
          <w:lang w:val="fi-FI"/>
        </w:rPr>
      </w:pPr>
      <w:r w:rsidRPr="00E919A5">
        <w:rPr>
          <w:lang w:val="fi-FI"/>
        </w:rPr>
        <w:t>EU/</w:t>
      </w:r>
      <w:r w:rsidR="009408B3" w:rsidRPr="00F458BB">
        <w:rPr>
          <w:spacing w:val="-1"/>
          <w:lang w:val="pt-BR"/>
        </w:rPr>
        <w:t>1/24/1896/01</w:t>
      </w:r>
      <w:r w:rsidR="009408B3">
        <w:rPr>
          <w:spacing w:val="-1"/>
          <w:lang w:val="pt-BR"/>
        </w:rPr>
        <w:t>1</w:t>
      </w:r>
    </w:p>
    <w:p w14:paraId="68FF9B80" w14:textId="204045A0" w:rsidR="003B7027" w:rsidRPr="00E919A5" w:rsidRDefault="0022205F" w:rsidP="0022205F">
      <w:pPr>
        <w:pStyle w:val="a4"/>
        <w:ind w:left="0"/>
      </w:pPr>
      <w:r w:rsidRPr="00E919A5">
        <w:t>EU/</w:t>
      </w:r>
      <w:r w:rsidR="009408B3" w:rsidRPr="00F458BB">
        <w:rPr>
          <w:spacing w:val="-1"/>
          <w:lang w:val="pt-BR"/>
        </w:rPr>
        <w:t>1/24/1896/01</w:t>
      </w:r>
      <w:r w:rsidR="009408B3">
        <w:rPr>
          <w:spacing w:val="-1"/>
          <w:lang w:val="pt-BR"/>
        </w:rPr>
        <w:t>2</w:t>
      </w:r>
    </w:p>
    <w:p w14:paraId="30FD7250" w14:textId="4EEA3461" w:rsidR="003B7027" w:rsidRPr="003B2CC6" w:rsidRDefault="003B2CC6" w:rsidP="006E5F9A">
      <w:pPr>
        <w:pStyle w:val="a4"/>
        <w:ind w:left="0"/>
        <w:rPr>
          <w:rFonts w:eastAsia="맑은 고딕"/>
          <w:lang w:eastAsia="ko-KR"/>
          <w:rPrChange w:id="20" w:author="만든 이">
            <w:rPr/>
          </w:rPrChange>
        </w:rPr>
      </w:pPr>
      <w:ins w:id="21" w:author="만든 이">
        <w:r w:rsidRPr="00E919A5">
          <w:t>EU/</w:t>
        </w:r>
        <w:r w:rsidRPr="00F458BB">
          <w:rPr>
            <w:spacing w:val="-1"/>
            <w:lang w:val="pt-BR"/>
          </w:rPr>
          <w:t>1/24/1896/</w:t>
        </w:r>
        <w:r w:rsidR="00144CBD">
          <w:rPr>
            <w:rFonts w:eastAsia="맑은 고딕" w:hint="eastAsia"/>
            <w:spacing w:val="-1"/>
            <w:lang w:val="pt-BR" w:eastAsia="ko-KR"/>
          </w:rPr>
          <w:t>014</w:t>
        </w:r>
      </w:ins>
    </w:p>
    <w:p w14:paraId="061747B9" w14:textId="77777777" w:rsidR="003B7027" w:rsidRPr="00E919A5" w:rsidRDefault="003B7027" w:rsidP="006E5F9A">
      <w:pPr>
        <w:pStyle w:val="a4"/>
        <w:ind w:left="0"/>
      </w:pPr>
    </w:p>
    <w:p w14:paraId="462743D2" w14:textId="77777777" w:rsidR="003B7027" w:rsidRPr="0028514E" w:rsidRDefault="00296A74" w:rsidP="000F5A9F">
      <w:pPr>
        <w:pStyle w:val="1"/>
        <w:keepNext/>
      </w:pPr>
      <w:r w:rsidRPr="0028514E">
        <w:t>9.</w:t>
      </w:r>
      <w:r w:rsidRPr="0028514E">
        <w:tab/>
        <w:t>MYYNTILUVAN MYÖNTÄMISPÄIVÄMÄÄRÄ/UUDISTAMISPÄIVÄMÄÄRÄ</w:t>
      </w:r>
    </w:p>
    <w:p w14:paraId="6B61B14B" w14:textId="77777777" w:rsidR="008B2BB7" w:rsidRPr="009A3CB5" w:rsidRDefault="008B2BB7" w:rsidP="001C1F69">
      <w:pPr>
        <w:rPr>
          <w:lang w:val="fi-FI"/>
        </w:rPr>
      </w:pPr>
    </w:p>
    <w:p w14:paraId="1DDB7A91" w14:textId="4ED48ED0" w:rsidR="003B7027" w:rsidRPr="0028514E" w:rsidRDefault="00296A74" w:rsidP="006E5F9A">
      <w:pPr>
        <w:pStyle w:val="a4"/>
        <w:ind w:left="0"/>
      </w:pPr>
      <w:r w:rsidRPr="0028514E">
        <w:rPr>
          <w:color w:val="1C1C1C"/>
        </w:rPr>
        <w:t>Myyntiluvan myöntämisen päivämäärä:</w:t>
      </w:r>
      <w:r w:rsidR="00734958">
        <w:rPr>
          <w:color w:val="1C1C1C"/>
        </w:rPr>
        <w:t xml:space="preserve"> </w:t>
      </w:r>
      <w:r w:rsidR="00C2525B">
        <w:rPr>
          <w:rFonts w:eastAsia="맑은 고딕" w:hint="eastAsia"/>
          <w:color w:val="1C1C1C"/>
          <w:lang w:eastAsia="ko-KR"/>
        </w:rPr>
        <w:t xml:space="preserve">14 </w:t>
      </w:r>
      <w:r w:rsidR="000E459A" w:rsidRPr="004C41FF">
        <w:t>helmikuu</w:t>
      </w:r>
      <w:r w:rsidR="000E459A">
        <w:rPr>
          <w:rFonts w:eastAsia="맑은 고딕" w:hint="eastAsia"/>
          <w:lang w:eastAsia="ko-KR"/>
        </w:rPr>
        <w:t xml:space="preserve"> 2025</w:t>
      </w:r>
    </w:p>
    <w:p w14:paraId="07F9CAF2" w14:textId="77777777" w:rsidR="003B7027" w:rsidRPr="0028514E" w:rsidRDefault="003B7027" w:rsidP="006E5F9A">
      <w:pPr>
        <w:pStyle w:val="a4"/>
        <w:ind w:left="0"/>
      </w:pPr>
    </w:p>
    <w:p w14:paraId="14EB5738" w14:textId="77777777" w:rsidR="003B7027" w:rsidRPr="0028514E" w:rsidRDefault="003B7027" w:rsidP="006E5F9A">
      <w:pPr>
        <w:pStyle w:val="a4"/>
        <w:ind w:left="0"/>
      </w:pPr>
    </w:p>
    <w:p w14:paraId="237DC6C1" w14:textId="77777777" w:rsidR="003B7027" w:rsidRPr="0028514E" w:rsidRDefault="00296A74" w:rsidP="00BF3213">
      <w:pPr>
        <w:pStyle w:val="1"/>
      </w:pPr>
      <w:r w:rsidRPr="0028514E">
        <w:t>10.</w:t>
      </w:r>
      <w:r w:rsidRPr="0028514E">
        <w:tab/>
        <w:t>TEKSTIN MUUTTAMISPÄIVÄMÄÄRÄ</w:t>
      </w:r>
    </w:p>
    <w:p w14:paraId="2B3E9190" w14:textId="77777777" w:rsidR="008B2BB7" w:rsidRPr="0028514E" w:rsidRDefault="008B2BB7" w:rsidP="001C1F69"/>
    <w:p w14:paraId="1A6304AD" w14:textId="22A441FD" w:rsidR="003B7027" w:rsidRPr="0028514E" w:rsidRDefault="00296A74" w:rsidP="006E5F9A">
      <w:pPr>
        <w:pStyle w:val="a4"/>
        <w:ind w:left="0"/>
      </w:pPr>
      <w:r w:rsidRPr="0028514E">
        <w:t xml:space="preserve">Lisätietoa tästä lääkevalmisteesta on Euroopan lääkeviraston verkkosivulla </w:t>
      </w:r>
      <w:r w:rsidR="00084035">
        <w:fldChar w:fldCharType="begin"/>
      </w:r>
      <w:r w:rsidR="00084035">
        <w:instrText>HYPERLINK "https://www.ema.europa.eu."</w:instrText>
      </w:r>
      <w:r w:rsidR="00084035">
        <w:fldChar w:fldCharType="separate"/>
      </w:r>
      <w:r w:rsidR="00084035" w:rsidRPr="004A4AD4">
        <w:rPr>
          <w:rStyle w:val="ad"/>
        </w:rPr>
        <w:t>http</w:t>
      </w:r>
      <w:r w:rsidR="00084035" w:rsidRPr="004A4AD4">
        <w:rPr>
          <w:rStyle w:val="ad"/>
          <w:rFonts w:eastAsia="맑은 고딕" w:hint="eastAsia"/>
          <w:lang w:eastAsia="ko-KR"/>
        </w:rPr>
        <w:t>s</w:t>
      </w:r>
      <w:r w:rsidR="00084035" w:rsidRPr="004A4AD4">
        <w:rPr>
          <w:rStyle w:val="ad"/>
        </w:rPr>
        <w:t>://www.ema.europa.eu.</w:t>
      </w:r>
      <w:r w:rsidR="00084035">
        <w:fldChar w:fldCharType="end"/>
      </w:r>
    </w:p>
    <w:p w14:paraId="63B71FA3" w14:textId="1EADE618" w:rsidR="008B2BB7" w:rsidRDefault="008B2BB7" w:rsidP="006E5F9A">
      <w:pPr>
        <w:widowControl w:val="0"/>
        <w:autoSpaceDE w:val="0"/>
        <w:autoSpaceDN w:val="0"/>
        <w:rPr>
          <w:rFonts w:eastAsia="Times New Roman"/>
          <w:lang w:val="fi-FI" w:eastAsia="en-US"/>
        </w:rPr>
      </w:pPr>
    </w:p>
    <w:p w14:paraId="0345924D" w14:textId="2638EAA4" w:rsidR="008B2BB7" w:rsidRPr="00CA43F5" w:rsidRDefault="000F5A9F" w:rsidP="000F5A9F">
      <w:pPr>
        <w:widowControl w:val="0"/>
        <w:autoSpaceDE w:val="0"/>
        <w:autoSpaceDN w:val="0"/>
        <w:jc w:val="center"/>
        <w:rPr>
          <w:b/>
          <w:bCs/>
          <w:lang w:val="fi-FI"/>
        </w:rPr>
      </w:pPr>
      <w:r>
        <w:rPr>
          <w:rFonts w:eastAsia="Times New Roman"/>
          <w:lang w:val="fi-FI" w:eastAsia="en-US"/>
        </w:rPr>
        <w:br w:type="page"/>
      </w:r>
    </w:p>
    <w:p w14:paraId="1F0A3E89" w14:textId="77777777" w:rsidR="008B2BB7" w:rsidRPr="00CA43F5" w:rsidRDefault="008B2BB7" w:rsidP="006E5F9A">
      <w:pPr>
        <w:jc w:val="center"/>
        <w:rPr>
          <w:b/>
          <w:bCs/>
          <w:lang w:val="fi-FI"/>
        </w:rPr>
      </w:pPr>
    </w:p>
    <w:p w14:paraId="670DC7D7" w14:textId="77777777" w:rsidR="008B2BB7" w:rsidRPr="00CA43F5" w:rsidRDefault="008B2BB7" w:rsidP="006E5F9A">
      <w:pPr>
        <w:jc w:val="center"/>
        <w:rPr>
          <w:b/>
          <w:bCs/>
          <w:lang w:val="fi-FI"/>
        </w:rPr>
      </w:pPr>
    </w:p>
    <w:p w14:paraId="16B86B2F" w14:textId="77777777" w:rsidR="008B2BB7" w:rsidRPr="00CA43F5" w:rsidRDefault="008B2BB7" w:rsidP="006E5F9A">
      <w:pPr>
        <w:jc w:val="center"/>
        <w:rPr>
          <w:b/>
          <w:bCs/>
          <w:lang w:val="fi-FI"/>
        </w:rPr>
      </w:pPr>
    </w:p>
    <w:p w14:paraId="3BF4A904" w14:textId="77777777" w:rsidR="008B2BB7" w:rsidRPr="00CA43F5" w:rsidRDefault="008B2BB7" w:rsidP="006E5F9A">
      <w:pPr>
        <w:jc w:val="center"/>
        <w:rPr>
          <w:b/>
          <w:bCs/>
          <w:lang w:val="fi-FI"/>
        </w:rPr>
      </w:pPr>
    </w:p>
    <w:p w14:paraId="3404C81C" w14:textId="77777777" w:rsidR="008B2BB7" w:rsidRPr="00CA43F5" w:rsidRDefault="008B2BB7" w:rsidP="006E5F9A">
      <w:pPr>
        <w:jc w:val="center"/>
        <w:rPr>
          <w:b/>
          <w:bCs/>
          <w:lang w:val="fi-FI"/>
        </w:rPr>
      </w:pPr>
    </w:p>
    <w:p w14:paraId="367DA2DA" w14:textId="77777777" w:rsidR="008B2BB7" w:rsidRPr="00CA43F5" w:rsidRDefault="008B2BB7" w:rsidP="006E5F9A">
      <w:pPr>
        <w:jc w:val="center"/>
        <w:rPr>
          <w:b/>
          <w:bCs/>
          <w:lang w:val="fi-FI"/>
        </w:rPr>
      </w:pPr>
    </w:p>
    <w:p w14:paraId="0CDD6661" w14:textId="77777777" w:rsidR="008B2BB7" w:rsidRPr="00CA43F5" w:rsidRDefault="008B2BB7" w:rsidP="006E5F9A">
      <w:pPr>
        <w:jc w:val="center"/>
        <w:rPr>
          <w:b/>
          <w:bCs/>
          <w:lang w:val="fi-FI"/>
        </w:rPr>
      </w:pPr>
    </w:p>
    <w:p w14:paraId="24AD6145" w14:textId="77777777" w:rsidR="008B2BB7" w:rsidRPr="00CA43F5" w:rsidRDefault="008B2BB7" w:rsidP="006E5F9A">
      <w:pPr>
        <w:jc w:val="center"/>
        <w:rPr>
          <w:b/>
          <w:bCs/>
          <w:lang w:val="fi-FI"/>
        </w:rPr>
      </w:pPr>
    </w:p>
    <w:p w14:paraId="2A79593A" w14:textId="77777777" w:rsidR="008B2BB7" w:rsidRPr="00CA43F5" w:rsidRDefault="008B2BB7" w:rsidP="006E5F9A">
      <w:pPr>
        <w:jc w:val="center"/>
        <w:rPr>
          <w:b/>
          <w:bCs/>
          <w:lang w:val="fi-FI"/>
        </w:rPr>
      </w:pPr>
    </w:p>
    <w:p w14:paraId="0C60D2A7" w14:textId="77777777" w:rsidR="008B2BB7" w:rsidRPr="00CA43F5" w:rsidRDefault="008B2BB7" w:rsidP="006E5F9A">
      <w:pPr>
        <w:jc w:val="center"/>
        <w:rPr>
          <w:b/>
          <w:bCs/>
          <w:lang w:val="fi-FI"/>
        </w:rPr>
      </w:pPr>
    </w:p>
    <w:p w14:paraId="797DF634" w14:textId="77777777" w:rsidR="008B2BB7" w:rsidRPr="00CA43F5" w:rsidRDefault="008B2BB7" w:rsidP="006E5F9A">
      <w:pPr>
        <w:jc w:val="center"/>
        <w:rPr>
          <w:b/>
          <w:bCs/>
          <w:lang w:val="fi-FI"/>
        </w:rPr>
      </w:pPr>
    </w:p>
    <w:p w14:paraId="705B292A" w14:textId="77777777" w:rsidR="008B2BB7" w:rsidRPr="00CA43F5" w:rsidRDefault="008B2BB7" w:rsidP="006E5F9A">
      <w:pPr>
        <w:jc w:val="center"/>
        <w:rPr>
          <w:b/>
          <w:bCs/>
          <w:lang w:val="fi-FI"/>
        </w:rPr>
      </w:pPr>
    </w:p>
    <w:p w14:paraId="74472F42" w14:textId="77777777" w:rsidR="008B2BB7" w:rsidRPr="00CA43F5" w:rsidRDefault="008B2BB7" w:rsidP="006E5F9A">
      <w:pPr>
        <w:jc w:val="center"/>
        <w:rPr>
          <w:b/>
          <w:bCs/>
          <w:lang w:val="fi-FI"/>
        </w:rPr>
      </w:pPr>
    </w:p>
    <w:p w14:paraId="69ECF2AE" w14:textId="77777777" w:rsidR="008B2BB7" w:rsidRPr="00CA43F5" w:rsidRDefault="008B2BB7" w:rsidP="006E5F9A">
      <w:pPr>
        <w:jc w:val="center"/>
        <w:rPr>
          <w:b/>
          <w:bCs/>
          <w:lang w:val="fi-FI"/>
        </w:rPr>
      </w:pPr>
    </w:p>
    <w:p w14:paraId="4226F938" w14:textId="77777777" w:rsidR="008B2BB7" w:rsidRPr="00CA43F5" w:rsidRDefault="008B2BB7" w:rsidP="006E5F9A">
      <w:pPr>
        <w:jc w:val="center"/>
        <w:rPr>
          <w:b/>
          <w:bCs/>
          <w:lang w:val="fi-FI"/>
        </w:rPr>
      </w:pPr>
    </w:p>
    <w:p w14:paraId="6C33A46B" w14:textId="77777777" w:rsidR="008B2BB7" w:rsidRPr="00CA43F5" w:rsidRDefault="008B2BB7" w:rsidP="006E5F9A">
      <w:pPr>
        <w:jc w:val="center"/>
        <w:rPr>
          <w:b/>
          <w:bCs/>
          <w:lang w:val="fi-FI"/>
        </w:rPr>
      </w:pPr>
    </w:p>
    <w:p w14:paraId="14379D3A" w14:textId="77777777" w:rsidR="008B2BB7" w:rsidRPr="00CA43F5" w:rsidRDefault="008B2BB7" w:rsidP="006E5F9A">
      <w:pPr>
        <w:jc w:val="center"/>
        <w:rPr>
          <w:b/>
          <w:bCs/>
          <w:lang w:val="fi-FI"/>
        </w:rPr>
      </w:pPr>
    </w:p>
    <w:p w14:paraId="34977364" w14:textId="77777777" w:rsidR="008B2BB7" w:rsidRPr="00CA43F5" w:rsidRDefault="008B2BB7" w:rsidP="006E5F9A">
      <w:pPr>
        <w:jc w:val="center"/>
        <w:rPr>
          <w:b/>
          <w:bCs/>
          <w:lang w:val="fi-FI"/>
        </w:rPr>
      </w:pPr>
    </w:p>
    <w:p w14:paraId="31329B72" w14:textId="77777777" w:rsidR="008B2BB7" w:rsidRPr="00CA43F5" w:rsidRDefault="008B2BB7" w:rsidP="006E5F9A">
      <w:pPr>
        <w:jc w:val="center"/>
        <w:rPr>
          <w:b/>
          <w:bCs/>
          <w:lang w:val="fi-FI"/>
        </w:rPr>
      </w:pPr>
    </w:p>
    <w:p w14:paraId="7D822F44" w14:textId="77777777" w:rsidR="008B2BB7" w:rsidRPr="00CA43F5" w:rsidRDefault="008B2BB7" w:rsidP="006E5F9A">
      <w:pPr>
        <w:jc w:val="center"/>
        <w:rPr>
          <w:b/>
          <w:bCs/>
          <w:lang w:val="fi-FI"/>
        </w:rPr>
      </w:pPr>
    </w:p>
    <w:p w14:paraId="065C2F27" w14:textId="77777777" w:rsidR="008B2BB7" w:rsidRPr="00CA43F5" w:rsidRDefault="008B2BB7" w:rsidP="006E5F9A">
      <w:pPr>
        <w:jc w:val="center"/>
        <w:rPr>
          <w:b/>
          <w:bCs/>
          <w:lang w:val="fi-FI"/>
        </w:rPr>
      </w:pPr>
    </w:p>
    <w:p w14:paraId="1989B0EE" w14:textId="77777777" w:rsidR="008B2BB7" w:rsidRPr="00CA43F5" w:rsidRDefault="008B2BB7" w:rsidP="006E5F9A">
      <w:pPr>
        <w:jc w:val="center"/>
        <w:rPr>
          <w:b/>
          <w:bCs/>
          <w:lang w:val="fi-FI"/>
        </w:rPr>
      </w:pPr>
    </w:p>
    <w:p w14:paraId="5255520F" w14:textId="77777777" w:rsidR="003B7027" w:rsidRPr="00CA43F5" w:rsidRDefault="00296A74" w:rsidP="00E05E35">
      <w:pPr>
        <w:jc w:val="center"/>
        <w:rPr>
          <w:b/>
          <w:lang w:val="fi-FI"/>
        </w:rPr>
      </w:pPr>
      <w:r w:rsidRPr="00CA43F5">
        <w:rPr>
          <w:b/>
          <w:lang w:val="fi-FI"/>
        </w:rPr>
        <w:t>LIITE II</w:t>
      </w:r>
    </w:p>
    <w:p w14:paraId="2E39DABF" w14:textId="77777777" w:rsidR="003B7027" w:rsidRPr="0028514E" w:rsidRDefault="003B7027" w:rsidP="00E05E35">
      <w:pPr>
        <w:pStyle w:val="a4"/>
        <w:ind w:left="0"/>
        <w:jc w:val="center"/>
        <w:rPr>
          <w:b/>
        </w:rPr>
      </w:pPr>
    </w:p>
    <w:p w14:paraId="7C89AE4B" w14:textId="77777777" w:rsidR="003B7027" w:rsidRPr="00CA43F5" w:rsidRDefault="00296A74" w:rsidP="00BD3C40">
      <w:pPr>
        <w:ind w:left="1701" w:right="1418" w:hanging="709"/>
        <w:rPr>
          <w:b/>
          <w:lang w:val="fi-FI"/>
        </w:rPr>
      </w:pPr>
      <w:r w:rsidRPr="0028514E">
        <w:rPr>
          <w:rFonts w:eastAsia="Times New Roman"/>
          <w:b/>
          <w:bCs/>
          <w:lang w:val="fi-FI" w:eastAsia="en-US"/>
        </w:rPr>
        <w:t>A.</w:t>
      </w:r>
      <w:r w:rsidRPr="0028514E">
        <w:rPr>
          <w:rFonts w:eastAsia="Times New Roman"/>
          <w:b/>
          <w:bCs/>
          <w:lang w:val="fi-FI" w:eastAsia="en-US"/>
        </w:rPr>
        <w:tab/>
      </w:r>
      <w:r w:rsidRPr="00CA43F5">
        <w:rPr>
          <w:b/>
          <w:lang w:val="fi-FI"/>
        </w:rPr>
        <w:t>BIOLOGISEN (BIOLOGISTEN) VAIKUTTAVAN (VAIKUTTAVIEN) AINEEN (AINEIDEN) VALMISTAJA (VALMISTAJAT) JA ERÄN VAPAUTTAMISESTA VASTAAVA(T) VALMISTAJAT(T)</w:t>
      </w:r>
    </w:p>
    <w:p w14:paraId="48F07C71" w14:textId="77777777" w:rsidR="003B7027" w:rsidRPr="0028514E" w:rsidRDefault="003B7027" w:rsidP="00BD3C40">
      <w:pPr>
        <w:pStyle w:val="a4"/>
        <w:ind w:left="1701" w:right="1418" w:hanging="709"/>
        <w:rPr>
          <w:b/>
        </w:rPr>
      </w:pPr>
    </w:p>
    <w:p w14:paraId="4CE2C501" w14:textId="77777777" w:rsidR="003B7027" w:rsidRPr="00CA43F5" w:rsidRDefault="00296A74" w:rsidP="00BD3C40">
      <w:pPr>
        <w:ind w:left="1701" w:right="1418" w:hanging="709"/>
        <w:rPr>
          <w:b/>
          <w:lang w:val="fi-FI"/>
        </w:rPr>
      </w:pPr>
      <w:r w:rsidRPr="0028514E">
        <w:rPr>
          <w:rFonts w:eastAsia="Times New Roman"/>
          <w:b/>
          <w:bCs/>
          <w:lang w:val="fi-FI" w:eastAsia="en-US"/>
        </w:rPr>
        <w:t>B.</w:t>
      </w:r>
      <w:r w:rsidRPr="0028514E">
        <w:rPr>
          <w:rFonts w:eastAsia="Times New Roman"/>
          <w:b/>
          <w:bCs/>
          <w:lang w:val="fi-FI" w:eastAsia="en-US"/>
        </w:rPr>
        <w:tab/>
      </w:r>
      <w:r w:rsidRPr="00CA43F5">
        <w:rPr>
          <w:b/>
          <w:lang w:val="fi-FI"/>
        </w:rPr>
        <w:t>TOIMITTAMISEEN JA KÄYTTÖÖN LIITTYVÄT EHDOT TAI RAJOITUKSET</w:t>
      </w:r>
    </w:p>
    <w:p w14:paraId="32AC9BEB" w14:textId="77777777" w:rsidR="008B2BB7" w:rsidRPr="00CA43F5" w:rsidRDefault="008B2BB7" w:rsidP="00BD3C40">
      <w:pPr>
        <w:ind w:left="1701" w:right="1418" w:hanging="709"/>
        <w:rPr>
          <w:b/>
          <w:lang w:val="fi-FI"/>
        </w:rPr>
      </w:pPr>
    </w:p>
    <w:p w14:paraId="22E65712" w14:textId="77777777" w:rsidR="003B7027" w:rsidRPr="00CA43F5" w:rsidRDefault="00296A74" w:rsidP="00BD3C40">
      <w:pPr>
        <w:ind w:left="1701" w:right="1418" w:hanging="709"/>
        <w:rPr>
          <w:b/>
          <w:lang w:val="fi-FI"/>
        </w:rPr>
      </w:pPr>
      <w:r w:rsidRPr="0028514E">
        <w:rPr>
          <w:rFonts w:eastAsia="Times New Roman"/>
          <w:b/>
          <w:bCs/>
          <w:lang w:val="fi-FI" w:eastAsia="en-US"/>
        </w:rPr>
        <w:t>C.</w:t>
      </w:r>
      <w:r w:rsidRPr="0028514E">
        <w:rPr>
          <w:rFonts w:eastAsia="Times New Roman"/>
          <w:b/>
          <w:bCs/>
          <w:lang w:val="fi-FI" w:eastAsia="en-US"/>
        </w:rPr>
        <w:tab/>
      </w:r>
      <w:r w:rsidRPr="00CA43F5">
        <w:rPr>
          <w:b/>
          <w:lang w:val="fi-FI"/>
        </w:rPr>
        <w:t>MYYNTILUVAN MUUT EHDOT JA EDELLYTYKSET</w:t>
      </w:r>
    </w:p>
    <w:p w14:paraId="79A71910" w14:textId="77777777" w:rsidR="003B7027" w:rsidRPr="0028514E" w:rsidRDefault="003B7027" w:rsidP="00BD3C40">
      <w:pPr>
        <w:pStyle w:val="a4"/>
        <w:ind w:left="1701" w:right="1418" w:hanging="709"/>
        <w:rPr>
          <w:b/>
        </w:rPr>
      </w:pPr>
    </w:p>
    <w:p w14:paraId="1A797E9D" w14:textId="77777777" w:rsidR="003B7027" w:rsidRPr="00CA43F5" w:rsidRDefault="00296A74" w:rsidP="00BD3C40">
      <w:pPr>
        <w:ind w:left="1701" w:right="1418" w:hanging="709"/>
        <w:rPr>
          <w:b/>
          <w:lang w:val="fi-FI"/>
        </w:rPr>
      </w:pPr>
      <w:r w:rsidRPr="0028514E">
        <w:rPr>
          <w:rFonts w:eastAsia="Times New Roman"/>
          <w:b/>
          <w:bCs/>
          <w:lang w:val="fi-FI" w:eastAsia="en-US"/>
        </w:rPr>
        <w:t>D.</w:t>
      </w:r>
      <w:r w:rsidRPr="0028514E">
        <w:rPr>
          <w:rFonts w:eastAsia="Times New Roman"/>
          <w:b/>
          <w:bCs/>
          <w:lang w:val="fi-FI" w:eastAsia="en-US"/>
        </w:rPr>
        <w:tab/>
      </w:r>
      <w:r w:rsidRPr="00CA43F5">
        <w:rPr>
          <w:b/>
          <w:lang w:val="fi-FI"/>
        </w:rPr>
        <w:t>EHDOT TAI RAJOITUKSET, JOTKA KOSKEVAT LÄÄKEVALMISTEEN TURVALLISTA JA TEHOKASTA KÄYTTÖÄ</w:t>
      </w:r>
    </w:p>
    <w:p w14:paraId="41FB13FE" w14:textId="77777777" w:rsidR="008B2BB7" w:rsidRPr="00CA43F5" w:rsidRDefault="008B2BB7" w:rsidP="00BD3C40">
      <w:pPr>
        <w:ind w:left="1843" w:hanging="283"/>
        <w:jc w:val="center"/>
        <w:rPr>
          <w:b/>
          <w:lang w:val="fi-FI"/>
        </w:rPr>
      </w:pPr>
    </w:p>
    <w:p w14:paraId="21F50AE1" w14:textId="5B8A19E6" w:rsidR="003B7027" w:rsidRPr="00CA43F5" w:rsidRDefault="000F5A9F" w:rsidP="001C1F69">
      <w:pPr>
        <w:pStyle w:val="1"/>
        <w:rPr>
          <w:b w:val="0"/>
        </w:rPr>
      </w:pPr>
      <w:r w:rsidRPr="00CA43F5">
        <w:br w:type="page"/>
      </w:r>
      <w:bookmarkStart w:id="22" w:name="A._BIOLOGISEN_VAIKUTTAVAN_AINEEN_VALMIST"/>
      <w:bookmarkEnd w:id="22"/>
      <w:r w:rsidR="00296A74" w:rsidRPr="000F5A9F">
        <w:lastRenderedPageBreak/>
        <w:t>A.</w:t>
      </w:r>
      <w:r w:rsidR="00296A74" w:rsidRPr="000F5A9F">
        <w:tab/>
      </w:r>
      <w:r w:rsidR="00296A74" w:rsidRPr="00CA43F5">
        <w:t>BIOLOGISEN VAIKUTTAVAN AINEEN VALMISTAJAT JA ERÄN VAPAUTTAMISESTA VASTAAVA VALMISTAJA</w:t>
      </w:r>
    </w:p>
    <w:p w14:paraId="50AF2A96" w14:textId="77777777" w:rsidR="008B2BB7" w:rsidRPr="0028514E" w:rsidRDefault="008B2BB7" w:rsidP="006E5F9A">
      <w:pPr>
        <w:pStyle w:val="a4"/>
        <w:ind w:left="0"/>
        <w:rPr>
          <w:u w:val="single"/>
        </w:rPr>
      </w:pPr>
    </w:p>
    <w:p w14:paraId="6B0195F4" w14:textId="77777777" w:rsidR="003B7027" w:rsidRPr="0028514E" w:rsidRDefault="00296A74" w:rsidP="006E5F9A">
      <w:pPr>
        <w:pStyle w:val="a4"/>
        <w:ind w:left="0"/>
      </w:pPr>
      <w:r w:rsidRPr="0028514E">
        <w:rPr>
          <w:u w:val="single"/>
        </w:rPr>
        <w:t>Biologisen vaikuttavan aineen valmistajien nimet ja osoitteet</w:t>
      </w:r>
    </w:p>
    <w:p w14:paraId="36E2AD33" w14:textId="77777777" w:rsidR="003B7027" w:rsidRPr="0028514E" w:rsidRDefault="003B7027" w:rsidP="006E5F9A">
      <w:pPr>
        <w:pStyle w:val="a4"/>
        <w:ind w:left="0"/>
      </w:pPr>
    </w:p>
    <w:p w14:paraId="2FB084FD" w14:textId="77777777" w:rsidR="0022205F" w:rsidRPr="00E919A5" w:rsidRDefault="0022205F" w:rsidP="0022205F">
      <w:pPr>
        <w:keepNext/>
        <w:rPr>
          <w:lang w:val="fi-FI"/>
        </w:rPr>
      </w:pPr>
      <w:r w:rsidRPr="00E919A5">
        <w:rPr>
          <w:lang w:val="fi-FI"/>
        </w:rPr>
        <w:t>Binex, Ltd,</w:t>
      </w:r>
    </w:p>
    <w:p w14:paraId="21EAA2EC" w14:textId="77777777" w:rsidR="0022205F" w:rsidRPr="00E919A5" w:rsidRDefault="0022205F" w:rsidP="0022205F">
      <w:pPr>
        <w:keepNext/>
        <w:rPr>
          <w:lang w:val="fi-FI"/>
        </w:rPr>
      </w:pPr>
      <w:r w:rsidRPr="00E919A5">
        <w:rPr>
          <w:lang w:val="fi-FI"/>
        </w:rPr>
        <w:t>3, Gaetbeol-ro, Yeonsu-gu,</w:t>
      </w:r>
    </w:p>
    <w:p w14:paraId="4563A82B" w14:textId="6A678366" w:rsidR="003B7027" w:rsidRPr="0028514E" w:rsidRDefault="0022205F" w:rsidP="006E5F9A">
      <w:pPr>
        <w:pStyle w:val="a4"/>
        <w:ind w:left="0"/>
      </w:pPr>
      <w:r w:rsidRPr="00C61A9B">
        <w:t xml:space="preserve">Incheon, </w:t>
      </w:r>
      <w:r>
        <w:t>Korean tasavalta</w:t>
      </w:r>
    </w:p>
    <w:p w14:paraId="1B376359" w14:textId="77777777" w:rsidR="008B2BB7" w:rsidRPr="0028514E" w:rsidRDefault="008B2BB7" w:rsidP="006E5F9A">
      <w:pPr>
        <w:pStyle w:val="a4"/>
        <w:ind w:left="0"/>
        <w:rPr>
          <w:u w:val="single"/>
        </w:rPr>
      </w:pPr>
    </w:p>
    <w:p w14:paraId="36EB0C1F" w14:textId="77777777" w:rsidR="003B7027" w:rsidRPr="0028514E" w:rsidRDefault="00296A74" w:rsidP="006E5F9A">
      <w:pPr>
        <w:pStyle w:val="a4"/>
        <w:ind w:left="0"/>
      </w:pPr>
      <w:r w:rsidRPr="0028514E">
        <w:rPr>
          <w:u w:val="single"/>
        </w:rPr>
        <w:t>Erän vapauttamisesta vastaavan valmistajan nimi ja osoite</w:t>
      </w:r>
    </w:p>
    <w:p w14:paraId="723CE357" w14:textId="77777777" w:rsidR="003B7027" w:rsidRPr="0028514E" w:rsidRDefault="003B7027" w:rsidP="006E5F9A">
      <w:pPr>
        <w:pStyle w:val="a4"/>
        <w:ind w:left="0"/>
      </w:pPr>
    </w:p>
    <w:p w14:paraId="2FBDFFF9" w14:textId="77777777" w:rsidR="0022205F" w:rsidRPr="00C61A9B" w:rsidRDefault="0022205F" w:rsidP="0022205F">
      <w:pPr>
        <w:keepNext/>
      </w:pPr>
      <w:r w:rsidRPr="00C61A9B">
        <w:t>Nuvisan France SARL</w:t>
      </w:r>
    </w:p>
    <w:p w14:paraId="2711C176" w14:textId="77777777" w:rsidR="0022205F" w:rsidRPr="00C61A9B" w:rsidRDefault="0022205F" w:rsidP="0022205F">
      <w:pPr>
        <w:keepNext/>
      </w:pPr>
      <w:r w:rsidRPr="00C61A9B">
        <w:t>2400</w:t>
      </w:r>
      <w:del w:id="23" w:author="만든 이">
        <w:r w:rsidRPr="00C61A9B" w:rsidDel="00BB5A61">
          <w:delText>,</w:delText>
        </w:r>
      </w:del>
      <w:r w:rsidRPr="00C61A9B">
        <w:t xml:space="preserve"> Route des Colles, </w:t>
      </w:r>
    </w:p>
    <w:p w14:paraId="6F3782B6" w14:textId="77777777" w:rsidR="0022205F" w:rsidRPr="00CA43F5" w:rsidRDefault="0022205F" w:rsidP="0022205F">
      <w:pPr>
        <w:keepNext/>
        <w:rPr>
          <w:lang w:val="sv-SE"/>
        </w:rPr>
      </w:pPr>
      <w:r w:rsidRPr="00CA43F5">
        <w:rPr>
          <w:lang w:val="sv-SE"/>
        </w:rPr>
        <w:t>06410</w:t>
      </w:r>
      <w:del w:id="24" w:author="만든 이">
        <w:r w:rsidRPr="00CA43F5" w:rsidDel="00BB5A61">
          <w:rPr>
            <w:lang w:val="sv-SE"/>
          </w:rPr>
          <w:delText>,</w:delText>
        </w:r>
      </w:del>
      <w:r w:rsidRPr="00CA43F5">
        <w:rPr>
          <w:lang w:val="sv-SE"/>
        </w:rPr>
        <w:t xml:space="preserve"> Biot, </w:t>
      </w:r>
    </w:p>
    <w:p w14:paraId="3F9E7ED2" w14:textId="576030E3" w:rsidR="0022205F" w:rsidRPr="00CA43F5" w:rsidRDefault="0022205F" w:rsidP="0022205F">
      <w:pPr>
        <w:rPr>
          <w:lang w:val="sv-SE"/>
        </w:rPr>
      </w:pPr>
      <w:r w:rsidRPr="00CA43F5">
        <w:rPr>
          <w:lang w:val="sv-SE"/>
        </w:rPr>
        <w:t>Ranska</w:t>
      </w:r>
    </w:p>
    <w:p w14:paraId="3E741E1F" w14:textId="77777777" w:rsidR="0022205F" w:rsidRPr="00CA43F5" w:rsidRDefault="0022205F" w:rsidP="0022205F">
      <w:pPr>
        <w:rPr>
          <w:lang w:val="sv-SE"/>
        </w:rPr>
      </w:pPr>
    </w:p>
    <w:p w14:paraId="07B47151" w14:textId="77777777" w:rsidR="0022205F" w:rsidRPr="00CA43F5" w:rsidRDefault="0022205F" w:rsidP="0022205F">
      <w:pPr>
        <w:keepNext/>
        <w:rPr>
          <w:lang w:val="sv-SE"/>
        </w:rPr>
      </w:pPr>
      <w:r w:rsidRPr="00CA43F5">
        <w:rPr>
          <w:lang w:val="sv-SE"/>
        </w:rPr>
        <w:t>Midas Pharma GmbH</w:t>
      </w:r>
    </w:p>
    <w:p w14:paraId="306BF30A" w14:textId="77777777" w:rsidR="0022205F" w:rsidRPr="00CA43F5" w:rsidRDefault="0022205F" w:rsidP="0022205F">
      <w:pPr>
        <w:keepNext/>
        <w:rPr>
          <w:lang w:val="fi-FI"/>
        </w:rPr>
      </w:pPr>
      <w:r w:rsidRPr="00CA43F5">
        <w:rPr>
          <w:lang w:val="sv-SE"/>
        </w:rPr>
        <w:t xml:space="preserve">Rheinstr. </w:t>
      </w:r>
      <w:r w:rsidRPr="00CA43F5">
        <w:rPr>
          <w:lang w:val="fi-FI"/>
        </w:rPr>
        <w:t xml:space="preserve">49, </w:t>
      </w:r>
    </w:p>
    <w:p w14:paraId="38578C77" w14:textId="77777777" w:rsidR="0022205F" w:rsidRPr="00CA43F5" w:rsidRDefault="0022205F" w:rsidP="0022205F">
      <w:pPr>
        <w:keepNext/>
        <w:rPr>
          <w:lang w:val="fi-FI"/>
        </w:rPr>
      </w:pPr>
      <w:r w:rsidRPr="00CA43F5">
        <w:rPr>
          <w:lang w:val="fi-FI"/>
        </w:rPr>
        <w:t>55218 Ingelheim,</w:t>
      </w:r>
    </w:p>
    <w:p w14:paraId="11B49629" w14:textId="2AAE7235" w:rsidR="0022205F" w:rsidRPr="00CA43F5" w:rsidRDefault="0022205F" w:rsidP="0022205F">
      <w:pPr>
        <w:rPr>
          <w:lang w:val="fi-FI"/>
        </w:rPr>
      </w:pPr>
      <w:r w:rsidRPr="00CA43F5">
        <w:rPr>
          <w:lang w:val="fi-FI"/>
        </w:rPr>
        <w:t>Saksa</w:t>
      </w:r>
    </w:p>
    <w:p w14:paraId="57F17012" w14:textId="77777777" w:rsidR="0022205F" w:rsidRPr="00CA43F5" w:rsidRDefault="0022205F" w:rsidP="0022205F">
      <w:pPr>
        <w:rPr>
          <w:lang w:val="fi-FI"/>
        </w:rPr>
      </w:pPr>
    </w:p>
    <w:p w14:paraId="64653FD3" w14:textId="77777777" w:rsidR="0022205F" w:rsidRPr="00CA43F5" w:rsidRDefault="0022205F" w:rsidP="0022205F">
      <w:pPr>
        <w:keepNext/>
        <w:rPr>
          <w:lang w:val="fi-FI"/>
        </w:rPr>
      </w:pPr>
      <w:r w:rsidRPr="00CA43F5">
        <w:rPr>
          <w:lang w:val="fi-FI"/>
        </w:rPr>
        <w:t xml:space="preserve">KYMOS S.L. </w:t>
      </w:r>
    </w:p>
    <w:p w14:paraId="1B4E60F7" w14:textId="77777777" w:rsidR="0022205F" w:rsidRPr="00CA43F5" w:rsidRDefault="0022205F" w:rsidP="0022205F">
      <w:pPr>
        <w:keepNext/>
        <w:rPr>
          <w:lang w:val="sv-SE"/>
        </w:rPr>
      </w:pPr>
      <w:r w:rsidRPr="00CA43F5">
        <w:rPr>
          <w:lang w:val="sv-SE"/>
        </w:rPr>
        <w:t xml:space="preserve">Ronda Can Fatjó, 7B. </w:t>
      </w:r>
    </w:p>
    <w:p w14:paraId="28EA9902" w14:textId="77777777" w:rsidR="0022205F" w:rsidRPr="00CA43F5" w:rsidRDefault="0022205F" w:rsidP="0022205F">
      <w:pPr>
        <w:keepNext/>
        <w:rPr>
          <w:lang w:val="sv-SE"/>
        </w:rPr>
      </w:pPr>
      <w:r w:rsidRPr="00CA43F5">
        <w:rPr>
          <w:lang w:val="sv-SE"/>
        </w:rPr>
        <w:t xml:space="preserve">08290 Cerdanyola del Vallès, </w:t>
      </w:r>
    </w:p>
    <w:p w14:paraId="4AFC9AD2" w14:textId="77777777" w:rsidR="0022205F" w:rsidRPr="00CA43F5" w:rsidRDefault="0022205F" w:rsidP="0022205F">
      <w:pPr>
        <w:keepNext/>
        <w:rPr>
          <w:lang w:val="fi-FI"/>
        </w:rPr>
      </w:pPr>
      <w:r w:rsidRPr="00CA43F5">
        <w:rPr>
          <w:lang w:val="fi-FI"/>
        </w:rPr>
        <w:t xml:space="preserve">Barcelona, </w:t>
      </w:r>
    </w:p>
    <w:p w14:paraId="19872F84" w14:textId="4C7A4949" w:rsidR="003B7027" w:rsidRPr="0028514E" w:rsidRDefault="0022205F" w:rsidP="006E5F9A">
      <w:pPr>
        <w:pStyle w:val="a4"/>
        <w:ind w:left="0"/>
      </w:pPr>
      <w:r>
        <w:t>Espanja</w:t>
      </w:r>
    </w:p>
    <w:p w14:paraId="7236A3C8" w14:textId="77777777" w:rsidR="003B7027" w:rsidRPr="0028514E" w:rsidRDefault="003B7027" w:rsidP="006E5F9A">
      <w:pPr>
        <w:pStyle w:val="a4"/>
        <w:ind w:left="0"/>
      </w:pPr>
    </w:p>
    <w:p w14:paraId="35361EC7" w14:textId="77777777" w:rsidR="003B7027" w:rsidRPr="0028514E" w:rsidRDefault="003B7027" w:rsidP="006E5F9A">
      <w:pPr>
        <w:pStyle w:val="a4"/>
        <w:ind w:left="0"/>
      </w:pPr>
    </w:p>
    <w:p w14:paraId="78477A27" w14:textId="77777777" w:rsidR="003B7027" w:rsidRPr="0028514E" w:rsidRDefault="00296A74" w:rsidP="00BF3213">
      <w:pPr>
        <w:pStyle w:val="1"/>
      </w:pPr>
      <w:bookmarkStart w:id="25" w:name="B._TOIMITTAMISEEN_JA_KÄYTTÖÖN_LIITTYVÄT_"/>
      <w:bookmarkEnd w:id="25"/>
      <w:r w:rsidRPr="0028514E">
        <w:t>B.</w:t>
      </w:r>
      <w:r w:rsidRPr="0028514E">
        <w:tab/>
        <w:t>TOIMITTAMISEEN JA KÄYTTÖÖN LIITTYVÄT EHDOT</w:t>
      </w:r>
    </w:p>
    <w:p w14:paraId="69261D68" w14:textId="77777777" w:rsidR="008B2BB7" w:rsidRPr="0028514E" w:rsidRDefault="008B2BB7" w:rsidP="006E5F9A">
      <w:pPr>
        <w:pStyle w:val="a4"/>
        <w:ind w:left="0"/>
      </w:pPr>
    </w:p>
    <w:p w14:paraId="764306B4" w14:textId="77777777" w:rsidR="003B7027" w:rsidRPr="0028514E" w:rsidRDefault="00296A74" w:rsidP="006E5F9A">
      <w:pPr>
        <w:pStyle w:val="a4"/>
        <w:ind w:left="0"/>
      </w:pPr>
      <w:r w:rsidRPr="0028514E">
        <w:t>Reseptilääke, jonka määräämiseen liittyy rajoitus (ks. liite I: valmisteyhteenvedon kohta 4.2).</w:t>
      </w:r>
    </w:p>
    <w:p w14:paraId="04652520" w14:textId="77777777" w:rsidR="003B7027" w:rsidRPr="0028514E" w:rsidRDefault="003B7027" w:rsidP="006E5F9A">
      <w:pPr>
        <w:pStyle w:val="a4"/>
        <w:ind w:left="0"/>
      </w:pPr>
    </w:p>
    <w:p w14:paraId="374DE84F" w14:textId="77777777" w:rsidR="003B7027" w:rsidRPr="0028514E" w:rsidRDefault="003B7027" w:rsidP="006E5F9A">
      <w:pPr>
        <w:pStyle w:val="a4"/>
        <w:ind w:left="0"/>
      </w:pPr>
    </w:p>
    <w:p w14:paraId="42D5F491" w14:textId="77777777" w:rsidR="003B7027" w:rsidRPr="0028514E" w:rsidRDefault="00296A74" w:rsidP="00BF3213">
      <w:pPr>
        <w:pStyle w:val="1"/>
      </w:pPr>
      <w:bookmarkStart w:id="26" w:name="C._MYYNTILUVAN_MUUT_EHDOT_JA_EDELLYTYKSE"/>
      <w:bookmarkEnd w:id="26"/>
      <w:r w:rsidRPr="0028514E">
        <w:t>C.</w:t>
      </w:r>
      <w:r w:rsidRPr="0028514E">
        <w:tab/>
        <w:t>MYYNTILUVAN MUUT EHDOT JA EDELLYTYKSET</w:t>
      </w:r>
    </w:p>
    <w:p w14:paraId="25143EA9" w14:textId="77777777" w:rsidR="008B2BB7" w:rsidRPr="0028514E" w:rsidRDefault="008B2BB7" w:rsidP="001C1F69"/>
    <w:p w14:paraId="14B4A706" w14:textId="77777777" w:rsidR="003B7027" w:rsidRPr="0028514E" w:rsidRDefault="00296A74" w:rsidP="00BD3C40">
      <w:pPr>
        <w:pStyle w:val="a"/>
      </w:pPr>
      <w:r w:rsidRPr="0028514E">
        <w:t>Määräaikaiset turvallisuuskatsaukset</w:t>
      </w:r>
    </w:p>
    <w:p w14:paraId="71784B8C" w14:textId="77777777" w:rsidR="003B7027" w:rsidRPr="0028514E" w:rsidRDefault="00296A74" w:rsidP="006E5F9A">
      <w:pPr>
        <w:pStyle w:val="a4"/>
        <w:ind w:left="0"/>
      </w:pPr>
      <w:r w:rsidRPr="0028514E">
        <w:t>Tämän lääkevalmisteen osalta velvoitteet määräaikaisten turvallisuuskatsausten toimittamisesta on määritelty Euroopan unionin viitepäivämäärät (EURD) ja toimittamisvaatimukset sisältävässä luettelossa, josta on säädetty Direktiivin 2001/83/EY 107 c artiklan 7 kohdassa, ja kaikissa luettelon myöhemmissä päivityksissä, jotka on julkaistu Euroopan lääkeviraston verkkosivuilla.</w:t>
      </w:r>
    </w:p>
    <w:p w14:paraId="2EF726CE" w14:textId="77777777" w:rsidR="008B2BB7" w:rsidRPr="0028514E" w:rsidRDefault="008B2BB7" w:rsidP="006E5F9A">
      <w:pPr>
        <w:pStyle w:val="a4"/>
        <w:ind w:left="0"/>
      </w:pPr>
    </w:p>
    <w:p w14:paraId="5A988ADF" w14:textId="77777777" w:rsidR="008B2BB7" w:rsidRPr="0028514E" w:rsidRDefault="008B2BB7" w:rsidP="006E5F9A">
      <w:pPr>
        <w:pStyle w:val="a4"/>
        <w:ind w:left="0"/>
      </w:pPr>
    </w:p>
    <w:p w14:paraId="29146547" w14:textId="77777777" w:rsidR="003B7027" w:rsidRPr="00BD3C40" w:rsidRDefault="00296A74" w:rsidP="000F5A9F">
      <w:pPr>
        <w:pStyle w:val="1"/>
        <w:keepNext/>
      </w:pPr>
      <w:bookmarkStart w:id="27" w:name="D._EHDOT_TAI_RAJOITUKSET,_JOTKA_KOSKEVAT"/>
      <w:bookmarkEnd w:id="27"/>
      <w:r w:rsidRPr="0028514E">
        <w:t>D.</w:t>
      </w:r>
      <w:r w:rsidRPr="0028514E">
        <w:tab/>
      </w:r>
      <w:r w:rsidRPr="00BD3C40">
        <w:t>EHDOT TAI RAJOITUKSET, JOTKA KOSKEVAT LÄÄKEVALMISTEEN TURVALLISTA JA TEHOKASTA KÄYTTÖÄ</w:t>
      </w:r>
    </w:p>
    <w:p w14:paraId="0E7E2D96" w14:textId="77777777" w:rsidR="008B2BB7" w:rsidRPr="009A3CB5" w:rsidRDefault="008B2BB7" w:rsidP="001C1F69">
      <w:pPr>
        <w:rPr>
          <w:lang w:val="fi-FI"/>
        </w:rPr>
      </w:pPr>
    </w:p>
    <w:p w14:paraId="19A79056" w14:textId="77777777" w:rsidR="003B7027" w:rsidRPr="00BD3C40" w:rsidRDefault="00296A74" w:rsidP="00BD3C40">
      <w:pPr>
        <w:pStyle w:val="a"/>
        <w:rPr>
          <w:b/>
          <w:bCs/>
        </w:rPr>
      </w:pPr>
      <w:r w:rsidRPr="00BD3C40">
        <w:rPr>
          <w:b/>
          <w:bCs/>
        </w:rPr>
        <w:t>Riskienhallintasuunnitelma (RMP)</w:t>
      </w:r>
    </w:p>
    <w:p w14:paraId="4C58F999" w14:textId="77777777" w:rsidR="00E2372A" w:rsidRPr="00BD3C40" w:rsidRDefault="00E2372A" w:rsidP="006E5F9A">
      <w:pPr>
        <w:pStyle w:val="a4"/>
        <w:ind w:left="0"/>
      </w:pPr>
    </w:p>
    <w:p w14:paraId="0C6C51EE" w14:textId="77777777" w:rsidR="003B7027" w:rsidRPr="00BD3C40" w:rsidRDefault="00296A74" w:rsidP="006E5F9A">
      <w:pPr>
        <w:pStyle w:val="a4"/>
        <w:ind w:left="0"/>
      </w:pPr>
      <w:r w:rsidRPr="00BD3C40">
        <w:t>Myyntiluvan haltijan on suoritettava vaaditut lääketurvatoimet ja interventiot myyntiluvan moduulissa</w:t>
      </w:r>
      <w:r w:rsidR="008B2BB7" w:rsidRPr="00BD3C40">
        <w:t xml:space="preserve"> </w:t>
      </w:r>
      <w:r w:rsidRPr="00BD3C40">
        <w:t>1.8.2 esitetyn sovitun riskinhallintasuunnitelman sekä mahdollisten sovittujen riskienhallintasuunnitelman myöhempien päivitysten mukaisesti.</w:t>
      </w:r>
    </w:p>
    <w:p w14:paraId="328FC7CA" w14:textId="77777777" w:rsidR="008B2BB7" w:rsidRPr="00BD3C40" w:rsidRDefault="008B2BB7" w:rsidP="006E5F9A">
      <w:pPr>
        <w:pStyle w:val="a4"/>
        <w:ind w:left="0"/>
      </w:pPr>
    </w:p>
    <w:p w14:paraId="50F0704A" w14:textId="77777777" w:rsidR="003B7027" w:rsidRPr="00BD3C40" w:rsidRDefault="00296A74" w:rsidP="006E5F9A">
      <w:pPr>
        <w:pStyle w:val="a4"/>
        <w:ind w:left="0"/>
      </w:pPr>
      <w:r w:rsidRPr="00BD3C40">
        <w:t>Päivitetty RMP tulee toimittaa</w:t>
      </w:r>
    </w:p>
    <w:p w14:paraId="3310B3E8" w14:textId="77777777" w:rsidR="003B7027" w:rsidRPr="00777B93" w:rsidRDefault="00296A74" w:rsidP="00BD3C40">
      <w:pPr>
        <w:pStyle w:val="a"/>
        <w:rPr>
          <w:rFonts w:eastAsia="SimSun"/>
        </w:rPr>
      </w:pPr>
      <w:proofErr w:type="spellStart"/>
      <w:r w:rsidRPr="00777B93">
        <w:rPr>
          <w:rFonts w:eastAsia="SimSun"/>
          <w:lang w:val="en-GB" w:eastAsia="zh-CN"/>
        </w:rPr>
        <w:t>Euroopan</w:t>
      </w:r>
      <w:proofErr w:type="spellEnd"/>
      <w:r w:rsidRPr="00777B93">
        <w:rPr>
          <w:rFonts w:eastAsia="SimSun"/>
          <w:lang w:val="en-GB" w:eastAsia="zh-CN"/>
        </w:rPr>
        <w:t xml:space="preserve"> </w:t>
      </w:r>
      <w:proofErr w:type="spellStart"/>
      <w:r w:rsidRPr="00777B93">
        <w:rPr>
          <w:rFonts w:eastAsia="SimSun"/>
          <w:lang w:val="en-GB" w:eastAsia="zh-CN"/>
        </w:rPr>
        <w:t>lääk</w:t>
      </w:r>
      <w:proofErr w:type="spellEnd"/>
      <w:r w:rsidRPr="00777B93">
        <w:rPr>
          <w:rFonts w:eastAsia="SimSun"/>
        </w:rPr>
        <w:t>eviraston pyynnöstä</w:t>
      </w:r>
    </w:p>
    <w:p w14:paraId="22D289C6" w14:textId="77777777" w:rsidR="003B7027" w:rsidRPr="00BD3C40" w:rsidRDefault="00296A74" w:rsidP="00BD3C40">
      <w:pPr>
        <w:pStyle w:val="a"/>
      </w:pPr>
      <w:r w:rsidRPr="00777B93">
        <w:rPr>
          <w:rFonts w:eastAsia="SimSun"/>
        </w:rPr>
        <w:t>ku</w:t>
      </w:r>
      <w:r w:rsidRPr="00BD3C40">
        <w:t>n riskienhallintajärjestelmää muutetaan, varsinkin kun saadaan uutta tietoa, joka saattaa johtaa hyöty-riskiprofiilin merkittävään muutokseen, tai kun on saavutettu tärkeä tavoite (lääketurvatoiminnassa tai riskien minimoinnissa).</w:t>
      </w:r>
    </w:p>
    <w:p w14:paraId="01FC3724" w14:textId="77777777" w:rsidR="008B2BB7" w:rsidRPr="00BD3C40" w:rsidRDefault="008B2BB7" w:rsidP="006E5F9A">
      <w:pPr>
        <w:pStyle w:val="a4"/>
        <w:ind w:left="0"/>
      </w:pPr>
    </w:p>
    <w:p w14:paraId="43DC1B1F" w14:textId="77777777" w:rsidR="003B7027" w:rsidRPr="00BD3C40" w:rsidRDefault="00296A74" w:rsidP="006E5F9A">
      <w:pPr>
        <w:pStyle w:val="a4"/>
        <w:ind w:left="0"/>
      </w:pPr>
      <w:r w:rsidRPr="00BD3C40">
        <w:lastRenderedPageBreak/>
        <w:t>Jos määräaikaisen turvallisuuskatsauksen toimittaminen ja riskienhallintasuunnitelman päivitys osuvat samaan aikaan, ne on toimitettava samanaikaisesti.</w:t>
      </w:r>
    </w:p>
    <w:p w14:paraId="6E095332" w14:textId="77777777" w:rsidR="008B2BB7" w:rsidRPr="00BD3C40" w:rsidRDefault="008B2BB7" w:rsidP="006E5F9A">
      <w:pPr>
        <w:pStyle w:val="a4"/>
        <w:ind w:left="0"/>
      </w:pPr>
    </w:p>
    <w:p w14:paraId="76C99B53" w14:textId="77777777" w:rsidR="003B7027" w:rsidRPr="00BD3C40" w:rsidRDefault="00296A74" w:rsidP="00BD3C40">
      <w:pPr>
        <w:pStyle w:val="a"/>
        <w:rPr>
          <w:b/>
          <w:bCs/>
        </w:rPr>
      </w:pPr>
      <w:r w:rsidRPr="00BD3C40">
        <w:rPr>
          <w:b/>
          <w:bCs/>
        </w:rPr>
        <w:t>Lisätoimenpiteet riskien minimoimiseksi</w:t>
      </w:r>
    </w:p>
    <w:p w14:paraId="2F58AA3A" w14:textId="77777777" w:rsidR="008B2BB7" w:rsidRPr="00BD3C40" w:rsidRDefault="008B2BB7" w:rsidP="00DD705A"/>
    <w:p w14:paraId="77873C46" w14:textId="0A5A4CAA" w:rsidR="003B7027" w:rsidRPr="00BD3C40" w:rsidRDefault="00296A74" w:rsidP="006E5F9A">
      <w:pPr>
        <w:pStyle w:val="a4"/>
        <w:ind w:left="0"/>
      </w:pPr>
      <w:r w:rsidRPr="00BD3C40">
        <w:t xml:space="preserve">Myyntiluvan haltijan on annettava käyttöaiheita nivelreumaa, yleisoireista lastenreumaa, polyartriittia ja jättisoluarteriittia käsittävän koulutuspaketin kaikille lääkäreille, joiden oletetaan määräävän </w:t>
      </w:r>
      <w:r w:rsidR="0022205F">
        <w:t>Avtozma</w:t>
      </w:r>
      <w:r w:rsidRPr="00BD3C40">
        <w:t>-valmistetta. Koulutuspaketin pitää sisältää seuraavat materiaalit:</w:t>
      </w:r>
    </w:p>
    <w:p w14:paraId="1A203508" w14:textId="77777777" w:rsidR="008B2BB7" w:rsidRPr="00BD3C40" w:rsidRDefault="008B2BB7" w:rsidP="006E5F9A">
      <w:pPr>
        <w:pStyle w:val="a4"/>
        <w:ind w:left="0"/>
      </w:pPr>
    </w:p>
    <w:p w14:paraId="609F2116" w14:textId="77777777" w:rsidR="003B7027" w:rsidRPr="00BD3C40" w:rsidRDefault="00296A74" w:rsidP="00BD3C40">
      <w:pPr>
        <w:pStyle w:val="a"/>
      </w:pPr>
      <w:r w:rsidRPr="00BD3C40">
        <w:t>Lääkärin tietopaketti</w:t>
      </w:r>
    </w:p>
    <w:p w14:paraId="53C53723" w14:textId="77777777" w:rsidR="003B7027" w:rsidRPr="00BD3C40" w:rsidRDefault="00296A74" w:rsidP="00BD3C40">
      <w:pPr>
        <w:pStyle w:val="a"/>
      </w:pPr>
      <w:r w:rsidRPr="00BD3C40">
        <w:t>Hoitajan tietopaketti</w:t>
      </w:r>
    </w:p>
    <w:p w14:paraId="4FE11401" w14:textId="77777777" w:rsidR="003B7027" w:rsidRPr="00BD3C40" w:rsidRDefault="00296A74" w:rsidP="00BD3C40">
      <w:pPr>
        <w:pStyle w:val="a"/>
      </w:pPr>
      <w:r w:rsidRPr="00BD3C40">
        <w:t>Potilaan tietopaketti</w:t>
      </w:r>
    </w:p>
    <w:p w14:paraId="08C93F7C" w14:textId="77777777" w:rsidR="003B7027" w:rsidRPr="00BD3C40" w:rsidRDefault="003B7027" w:rsidP="006E5F9A">
      <w:pPr>
        <w:pStyle w:val="a4"/>
        <w:ind w:left="0"/>
      </w:pPr>
    </w:p>
    <w:p w14:paraId="2B9538B6" w14:textId="77777777" w:rsidR="003B7027" w:rsidRPr="00BD3C40" w:rsidRDefault="00296A74" w:rsidP="006E5F9A">
      <w:pPr>
        <w:pStyle w:val="a4"/>
        <w:ind w:left="0"/>
      </w:pPr>
      <w:r w:rsidRPr="00BD3C40">
        <w:t>Ennen koulutusmateriaalin jakamista myyntiluvan haltijan on sovittava kansallisen viranomaisen kanssa koulutusmateriaalin sisällöstä, ulkoasusta ja viestintäsuunnitelmasta (jakelutapa mukaan lukien).</w:t>
      </w:r>
    </w:p>
    <w:p w14:paraId="16AD6E98" w14:textId="77777777" w:rsidR="00E62982" w:rsidRPr="00BD3C40" w:rsidRDefault="00E62982" w:rsidP="006E5F9A">
      <w:pPr>
        <w:pStyle w:val="a4"/>
        <w:ind w:left="0"/>
      </w:pPr>
    </w:p>
    <w:p w14:paraId="167873D8" w14:textId="77777777" w:rsidR="003B7027" w:rsidRPr="0028514E" w:rsidRDefault="00296A74" w:rsidP="006E5F9A">
      <w:pPr>
        <w:pStyle w:val="a4"/>
        <w:ind w:left="0"/>
      </w:pPr>
      <w:r w:rsidRPr="0028514E">
        <w:t>Lääkärin tietopaketin tulee sisältää seuraavat osiot:</w:t>
      </w:r>
    </w:p>
    <w:p w14:paraId="2600E8E8" w14:textId="77777777" w:rsidR="003B7027" w:rsidRPr="0028514E" w:rsidRDefault="00296A74" w:rsidP="00BD3C40">
      <w:pPr>
        <w:pStyle w:val="a"/>
      </w:pPr>
      <w:r w:rsidRPr="0028514E">
        <w:t>Viittaus valmisteyhteenvetoon (esim. linkki EMAn verkkosivuille)</w:t>
      </w:r>
    </w:p>
    <w:p w14:paraId="0BF3D20B" w14:textId="77777777" w:rsidR="003B7027" w:rsidRPr="0028514E" w:rsidRDefault="00296A74" w:rsidP="00BD3C40">
      <w:pPr>
        <w:pStyle w:val="a"/>
      </w:pPr>
      <w:r w:rsidRPr="0028514E">
        <w:t>Annoksen laskeminen (nivelreumapotilaille (RA), yleisoireista lastenreumaa ja polyartriittia sairastaville potilaille), infuusion valmistelu ja infuusionopeus</w:t>
      </w:r>
    </w:p>
    <w:p w14:paraId="23CDA798" w14:textId="77777777" w:rsidR="003B7027" w:rsidRPr="0028514E" w:rsidRDefault="00296A74" w:rsidP="00BD3C40">
      <w:pPr>
        <w:pStyle w:val="a"/>
      </w:pPr>
      <w:r w:rsidRPr="0028514E">
        <w:t>Vakavien infektioiden riski</w:t>
      </w:r>
    </w:p>
    <w:p w14:paraId="23A34385" w14:textId="77777777" w:rsidR="003B7027" w:rsidRPr="0028514E" w:rsidRDefault="00296A74" w:rsidP="001941FD">
      <w:pPr>
        <w:pStyle w:val="a"/>
        <w:tabs>
          <w:tab w:val="left" w:pos="1134"/>
        </w:tabs>
        <w:ind w:left="1134"/>
      </w:pPr>
      <w:r w:rsidRPr="0028514E">
        <w:t>Valmistetta ei saa antaa potilaille, joilla on aktiivinen tai epäilty infektio</w:t>
      </w:r>
    </w:p>
    <w:p w14:paraId="4961FBDD" w14:textId="77777777" w:rsidR="003B7027" w:rsidRPr="0028514E" w:rsidRDefault="00296A74" w:rsidP="001941FD">
      <w:pPr>
        <w:pStyle w:val="a"/>
        <w:tabs>
          <w:tab w:val="left" w:pos="1134"/>
        </w:tabs>
        <w:ind w:left="1134"/>
      </w:pPr>
      <w:r w:rsidRPr="0028514E">
        <w:t>Valmiste voi vähentää akuutin infektion merkkejä ja oireita ja siten viivästyttää diagnoosin tekoa</w:t>
      </w:r>
    </w:p>
    <w:p w14:paraId="4F08301D" w14:textId="77777777" w:rsidR="003B7027" w:rsidRPr="0028514E" w:rsidRDefault="00296A74" w:rsidP="00BD3C40">
      <w:pPr>
        <w:pStyle w:val="a"/>
      </w:pPr>
      <w:r w:rsidRPr="0028514E">
        <w:t>Maksatoksisuuden riski</w:t>
      </w:r>
    </w:p>
    <w:p w14:paraId="082AB8C8" w14:textId="77777777" w:rsidR="003B7027" w:rsidRPr="0028514E" w:rsidRDefault="00296A74" w:rsidP="001941FD">
      <w:pPr>
        <w:pStyle w:val="a"/>
        <w:tabs>
          <w:tab w:val="left" w:pos="1134"/>
        </w:tabs>
        <w:ind w:left="1134"/>
      </w:pPr>
      <w:r w:rsidRPr="0028514E">
        <w:t>Varovaisuutta on noudatettava harkittaessa hoidon aloittamista potilaille, joiden ALAT- tai ASAT-arvot ovat yli puolitoistakertaiset viitearvojen ylärajaan nähden (&gt; 1,5 x viitevälin yläraja). Hoitoa ei suositella potilaille, joiden ALAT- tai ASAT- arvot ovat &gt; 5 x viitevälin yläraja.</w:t>
      </w:r>
    </w:p>
    <w:p w14:paraId="69FF87E0" w14:textId="77777777" w:rsidR="003B7027" w:rsidRPr="0028514E" w:rsidRDefault="00296A74" w:rsidP="001941FD">
      <w:pPr>
        <w:pStyle w:val="a"/>
        <w:tabs>
          <w:tab w:val="left" w:pos="1134"/>
        </w:tabs>
        <w:ind w:left="1134"/>
      </w:pPr>
      <w:r w:rsidRPr="0028514E">
        <w:t>Nivelreuman, jättisoluarteriitin, lasten aktiivisen polyartriitin tai yleisoireisen lastenreuman hoitoon valmistetta käyttävien potilaiden ALAT- ja ASAT-arvoja pitää seurata joka 4.–8. viikko hoidon kuuden ensimmäisen kuukauden ajan ja sen jälkeen joka 12. viikko. Annoksen muutossuositukset transaminaasiarvojen perusteella, mukaan lukien tosilitsumabihoidon lopettamista, ovat linjassa valmisteyhteenvedon kohdan 4.2 kanssa.</w:t>
      </w:r>
    </w:p>
    <w:p w14:paraId="0B0C9790" w14:textId="77777777" w:rsidR="003B7027" w:rsidRPr="0028514E" w:rsidRDefault="00296A74" w:rsidP="00BD3C40">
      <w:pPr>
        <w:pStyle w:val="a"/>
      </w:pPr>
      <w:r w:rsidRPr="0028514E">
        <w:t>Gastrointestinaalisten perforaatioiden riski, varsinkin potilailla, joilla on aikaisemmin todettu divertikuliittia tai suoliston haavaumia</w:t>
      </w:r>
    </w:p>
    <w:p w14:paraId="7D1F1419" w14:textId="77777777" w:rsidR="003B7027" w:rsidRPr="0028514E" w:rsidRDefault="00296A74" w:rsidP="00BD3C40">
      <w:pPr>
        <w:pStyle w:val="a"/>
      </w:pPr>
      <w:r w:rsidRPr="0028514E">
        <w:t>Ohjeet vakavien haittavaikutusten raportoimiseen</w:t>
      </w:r>
    </w:p>
    <w:p w14:paraId="2C530A67" w14:textId="77777777" w:rsidR="003B7027" w:rsidRPr="0028514E" w:rsidRDefault="00296A74" w:rsidP="00BD3C40">
      <w:pPr>
        <w:pStyle w:val="a"/>
      </w:pPr>
      <w:r w:rsidRPr="0028514E">
        <w:t>Potilaan tietopaketti (hoitohenkilökunta antaa sen potilaille)</w:t>
      </w:r>
    </w:p>
    <w:p w14:paraId="08C2ED0F" w14:textId="77777777" w:rsidR="003B7027" w:rsidRPr="0028514E" w:rsidRDefault="00296A74" w:rsidP="00BD3C40">
      <w:pPr>
        <w:pStyle w:val="a"/>
      </w:pPr>
      <w:r w:rsidRPr="0028514E">
        <w:t>Ohjeet makrofagiaktivaatio-oireyhtymän diagnostisoimiseen yleisoireista lastenreumaa sairastavilla potilailla</w:t>
      </w:r>
    </w:p>
    <w:p w14:paraId="390D118C" w14:textId="77777777" w:rsidR="003B7027" w:rsidRPr="0028514E" w:rsidRDefault="00296A74" w:rsidP="00BD3C40">
      <w:pPr>
        <w:pStyle w:val="a"/>
      </w:pPr>
      <w:r w:rsidRPr="0028514E">
        <w:t>Suositukset annostuksen keskeyttämiseksi yleisoireista lastenreumaa ja polyartriittia sairastavilla potilailla.</w:t>
      </w:r>
    </w:p>
    <w:p w14:paraId="4566EB12" w14:textId="77777777" w:rsidR="003B7027" w:rsidRPr="0028514E" w:rsidRDefault="003B7027" w:rsidP="006E5F9A">
      <w:pPr>
        <w:pStyle w:val="a4"/>
        <w:ind w:left="0"/>
      </w:pPr>
    </w:p>
    <w:p w14:paraId="1854E8C2" w14:textId="77777777" w:rsidR="003B7027" w:rsidRPr="0028514E" w:rsidRDefault="00296A74" w:rsidP="006E5F9A">
      <w:pPr>
        <w:pStyle w:val="a4"/>
        <w:ind w:left="0"/>
      </w:pPr>
      <w:r w:rsidRPr="0028514E">
        <w:t>Hoitajan tietopaketin tulee sisältää seuraavat osiot:</w:t>
      </w:r>
    </w:p>
    <w:p w14:paraId="0C721E71" w14:textId="77777777" w:rsidR="003B7027" w:rsidRPr="0028514E" w:rsidRDefault="00296A74" w:rsidP="00BD3C40">
      <w:pPr>
        <w:pStyle w:val="a"/>
      </w:pPr>
      <w:r w:rsidRPr="0028514E">
        <w:t>Hoitovirheiden ja injektioon/infuusioon liittyvien reaktioiden estäminen</w:t>
      </w:r>
    </w:p>
    <w:p w14:paraId="11067EDD" w14:textId="77777777" w:rsidR="003B7027" w:rsidRPr="0028514E" w:rsidRDefault="00296A74" w:rsidP="001941FD">
      <w:pPr>
        <w:pStyle w:val="a"/>
        <w:tabs>
          <w:tab w:val="left" w:pos="1134"/>
        </w:tabs>
        <w:ind w:left="1134"/>
      </w:pPr>
      <w:r w:rsidRPr="0028514E">
        <w:t>Injektion / infuusion valmistelu</w:t>
      </w:r>
    </w:p>
    <w:p w14:paraId="413DA566" w14:textId="77777777" w:rsidR="003B7027" w:rsidRPr="0028514E" w:rsidRDefault="00296A74" w:rsidP="001941FD">
      <w:pPr>
        <w:pStyle w:val="a"/>
        <w:tabs>
          <w:tab w:val="left" w:pos="1134"/>
        </w:tabs>
        <w:ind w:left="1134"/>
      </w:pPr>
      <w:r w:rsidRPr="0028514E">
        <w:t>Infuusionopeus</w:t>
      </w:r>
    </w:p>
    <w:p w14:paraId="74FF0DF9" w14:textId="77777777" w:rsidR="003B7027" w:rsidRPr="0028514E" w:rsidRDefault="00296A74" w:rsidP="00BD3C40">
      <w:pPr>
        <w:pStyle w:val="a"/>
      </w:pPr>
      <w:r w:rsidRPr="0028514E">
        <w:t>Potilaan seuranta injektioon/infuusioon liittyvien reaktioiden varalta</w:t>
      </w:r>
    </w:p>
    <w:p w14:paraId="77C7F414" w14:textId="77777777" w:rsidR="003B7027" w:rsidRPr="0028514E" w:rsidRDefault="00296A74" w:rsidP="00BD3C40">
      <w:pPr>
        <w:pStyle w:val="a"/>
      </w:pPr>
      <w:r w:rsidRPr="0028514E">
        <w:t>Ohjeet vakavien haittavaikutusten raportoimiseen</w:t>
      </w:r>
    </w:p>
    <w:p w14:paraId="4CEB8F63" w14:textId="77777777" w:rsidR="00E62982" w:rsidRPr="0028514E" w:rsidRDefault="00E62982" w:rsidP="00BD3C40"/>
    <w:p w14:paraId="03E8A701" w14:textId="77777777" w:rsidR="003B7027" w:rsidRPr="0028514E" w:rsidRDefault="00296A74" w:rsidP="006E5F9A">
      <w:pPr>
        <w:pStyle w:val="a4"/>
        <w:ind w:left="0"/>
      </w:pPr>
      <w:r w:rsidRPr="0028514E">
        <w:t>Potilaan tietopaketin tulee sisältää seuraavat osiot:</w:t>
      </w:r>
    </w:p>
    <w:p w14:paraId="0F5B8345" w14:textId="77777777" w:rsidR="003B7027" w:rsidRPr="0028514E" w:rsidRDefault="00296A74" w:rsidP="00BD3C40">
      <w:pPr>
        <w:pStyle w:val="a"/>
      </w:pPr>
      <w:r w:rsidRPr="0028514E">
        <w:t>Pakkausseloste (jossa käyttöohjeet ihon alaiseen annosteluun) (esim. linkki EMAn verkkosivuille)</w:t>
      </w:r>
    </w:p>
    <w:p w14:paraId="44C7A07E" w14:textId="77777777" w:rsidR="003B7027" w:rsidRPr="0028514E" w:rsidRDefault="00296A74" w:rsidP="00BD3C40">
      <w:pPr>
        <w:pStyle w:val="a"/>
      </w:pPr>
      <w:r w:rsidRPr="0028514E">
        <w:t>Potilaskortti</w:t>
      </w:r>
    </w:p>
    <w:p w14:paraId="3964E4FB" w14:textId="77777777" w:rsidR="003B7027" w:rsidRPr="00CA43F5" w:rsidRDefault="00296A74" w:rsidP="00BD3C40">
      <w:pPr>
        <w:ind w:left="1134" w:hanging="567"/>
        <w:rPr>
          <w:lang w:val="fi-FI"/>
        </w:rPr>
      </w:pPr>
      <w:r w:rsidRPr="0028514E">
        <w:rPr>
          <w:rFonts w:eastAsia="Times New Roman"/>
          <w:lang w:val="fi-FI" w:eastAsia="en-US"/>
        </w:rPr>
        <w:lastRenderedPageBreak/>
        <w:t>-</w:t>
      </w:r>
      <w:r w:rsidRPr="0028514E">
        <w:rPr>
          <w:rFonts w:eastAsia="Times New Roman"/>
          <w:lang w:val="fi-FI" w:eastAsia="en-US"/>
        </w:rPr>
        <w:tab/>
      </w:r>
      <w:r w:rsidRPr="00CA43F5">
        <w:rPr>
          <w:lang w:val="fi-FI"/>
        </w:rPr>
        <w:t>jossa on tietoa riskistä sairastua infektioihin. Infektiot voivat kehittyä vakaviksi, ellei niitä hoideta. Myös aiemmin sairastetut infektiot voivat palata.</w:t>
      </w:r>
    </w:p>
    <w:p w14:paraId="6EB1378A" w14:textId="453BD2C0" w:rsidR="003B7027" w:rsidRPr="00CA43F5" w:rsidRDefault="00296A74" w:rsidP="00BD3C40">
      <w:pPr>
        <w:tabs>
          <w:tab w:val="left" w:pos="2032"/>
        </w:tabs>
        <w:ind w:left="1134" w:hanging="567"/>
        <w:rPr>
          <w:lang w:val="fi-FI"/>
        </w:rPr>
      </w:pPr>
      <w:r w:rsidRPr="0028514E">
        <w:rPr>
          <w:rFonts w:eastAsia="Times New Roman"/>
          <w:lang w:val="fi-FI" w:eastAsia="en-US"/>
        </w:rPr>
        <w:t>-</w:t>
      </w:r>
      <w:r w:rsidRPr="0028514E">
        <w:rPr>
          <w:rFonts w:eastAsia="Times New Roman"/>
          <w:lang w:val="fi-FI" w:eastAsia="en-US"/>
        </w:rPr>
        <w:tab/>
      </w:r>
      <w:r w:rsidRPr="00CA43F5">
        <w:rPr>
          <w:lang w:val="fi-FI"/>
        </w:rPr>
        <w:t xml:space="preserve">jossa on tietoa </w:t>
      </w:r>
      <w:r w:rsidR="00EE1020" w:rsidRPr="00CA43F5">
        <w:rPr>
          <w:lang w:val="fi-FI"/>
        </w:rPr>
        <w:t>Avtozma</w:t>
      </w:r>
      <w:r w:rsidRPr="00CA43F5">
        <w:rPr>
          <w:lang w:val="fi-FI"/>
        </w:rPr>
        <w:t>a käyttävien potilaiden riskistä kehittää divertikuliitin pahenemiseen liittyviä oireita. Oireet voivat muuttua vakaviksi, ellei niitä hoideta.</w:t>
      </w:r>
    </w:p>
    <w:p w14:paraId="1FAC987B" w14:textId="2310E40C" w:rsidR="003B7027" w:rsidRPr="00CA43F5" w:rsidRDefault="00296A74" w:rsidP="00BD3C40">
      <w:pPr>
        <w:tabs>
          <w:tab w:val="left" w:pos="2032"/>
        </w:tabs>
        <w:ind w:left="1134" w:hanging="567"/>
        <w:rPr>
          <w:lang w:val="fi-FI"/>
        </w:rPr>
      </w:pPr>
      <w:r w:rsidRPr="0028514E">
        <w:rPr>
          <w:rFonts w:eastAsia="Times New Roman"/>
          <w:lang w:val="fi-FI" w:eastAsia="en-US"/>
        </w:rPr>
        <w:t>-</w:t>
      </w:r>
      <w:r w:rsidRPr="0028514E">
        <w:rPr>
          <w:rFonts w:eastAsia="Times New Roman"/>
          <w:lang w:val="fi-FI" w:eastAsia="en-US"/>
        </w:rPr>
        <w:tab/>
      </w:r>
      <w:r w:rsidRPr="00CA43F5">
        <w:rPr>
          <w:lang w:val="fi-FI"/>
        </w:rPr>
        <w:t xml:space="preserve">jossa on tietoa </w:t>
      </w:r>
      <w:r w:rsidR="00EE1020" w:rsidRPr="00CA43F5">
        <w:rPr>
          <w:lang w:val="fi-FI"/>
        </w:rPr>
        <w:t>Avtozma</w:t>
      </w:r>
      <w:r w:rsidRPr="00CA43F5">
        <w:rPr>
          <w:lang w:val="fi-FI"/>
        </w:rPr>
        <w:t>a käyttävien potilaiden riskistä kehittää vakava maksavaurio. Potilaan maksan toimintaa seurataan verikokeilla. Potilaiden pitää heti kertoa hoitavalle lääkärille, jos he saavat maksatoksisuuden oireita kuten väsymystä, vatsakipua ja ikterusta.</w:t>
      </w:r>
    </w:p>
    <w:p w14:paraId="46B6ADBD" w14:textId="4A51860A" w:rsidR="00E62982" w:rsidRPr="00CA43F5" w:rsidRDefault="00EB5DDD" w:rsidP="000F5A9F">
      <w:pPr>
        <w:widowControl w:val="0"/>
        <w:autoSpaceDE w:val="0"/>
        <w:autoSpaceDN w:val="0"/>
        <w:jc w:val="center"/>
        <w:rPr>
          <w:b/>
          <w:bCs/>
          <w:lang w:val="fi-FI"/>
        </w:rPr>
      </w:pPr>
      <w:r w:rsidRPr="00CA43F5">
        <w:rPr>
          <w:lang w:val="fi-FI"/>
        </w:rPr>
        <w:br w:type="page"/>
      </w:r>
    </w:p>
    <w:p w14:paraId="69341070" w14:textId="77777777" w:rsidR="00E62982" w:rsidRPr="00CA43F5" w:rsidRDefault="00E62982" w:rsidP="006E5F9A">
      <w:pPr>
        <w:jc w:val="center"/>
        <w:rPr>
          <w:b/>
          <w:bCs/>
          <w:lang w:val="fi-FI"/>
        </w:rPr>
      </w:pPr>
    </w:p>
    <w:p w14:paraId="0D677E4B" w14:textId="77777777" w:rsidR="00E62982" w:rsidRPr="00CA43F5" w:rsidRDefault="00E62982" w:rsidP="006E5F9A">
      <w:pPr>
        <w:jc w:val="center"/>
        <w:rPr>
          <w:b/>
          <w:bCs/>
          <w:lang w:val="fi-FI"/>
        </w:rPr>
      </w:pPr>
    </w:p>
    <w:p w14:paraId="5664C269" w14:textId="77777777" w:rsidR="00E62982" w:rsidRPr="00CA43F5" w:rsidRDefault="00E62982" w:rsidP="006E5F9A">
      <w:pPr>
        <w:jc w:val="center"/>
        <w:rPr>
          <w:b/>
          <w:bCs/>
          <w:lang w:val="fi-FI"/>
        </w:rPr>
      </w:pPr>
    </w:p>
    <w:p w14:paraId="728314B4" w14:textId="77777777" w:rsidR="00E62982" w:rsidRPr="00CA43F5" w:rsidRDefault="00E62982" w:rsidP="006E5F9A">
      <w:pPr>
        <w:jc w:val="center"/>
        <w:rPr>
          <w:b/>
          <w:bCs/>
          <w:lang w:val="fi-FI"/>
        </w:rPr>
      </w:pPr>
    </w:p>
    <w:p w14:paraId="29BE2013" w14:textId="77777777" w:rsidR="00E62982" w:rsidRPr="00CA43F5" w:rsidRDefault="00E62982" w:rsidP="006E5F9A">
      <w:pPr>
        <w:jc w:val="center"/>
        <w:rPr>
          <w:b/>
          <w:bCs/>
          <w:lang w:val="fi-FI"/>
        </w:rPr>
      </w:pPr>
    </w:p>
    <w:p w14:paraId="7DE134EB" w14:textId="77777777" w:rsidR="00E62982" w:rsidRPr="00CA43F5" w:rsidRDefault="00E62982" w:rsidP="006E5F9A">
      <w:pPr>
        <w:jc w:val="center"/>
        <w:rPr>
          <w:b/>
          <w:bCs/>
          <w:lang w:val="fi-FI"/>
        </w:rPr>
      </w:pPr>
    </w:p>
    <w:p w14:paraId="43B8082B" w14:textId="77777777" w:rsidR="00E62982" w:rsidRPr="00CA43F5" w:rsidRDefault="00E62982" w:rsidP="006E5F9A">
      <w:pPr>
        <w:jc w:val="center"/>
        <w:rPr>
          <w:b/>
          <w:bCs/>
          <w:lang w:val="fi-FI"/>
        </w:rPr>
      </w:pPr>
    </w:p>
    <w:p w14:paraId="061E2993" w14:textId="77777777" w:rsidR="00E62982" w:rsidRPr="00CA43F5" w:rsidRDefault="00E62982" w:rsidP="006E5F9A">
      <w:pPr>
        <w:jc w:val="center"/>
        <w:rPr>
          <w:b/>
          <w:bCs/>
          <w:lang w:val="fi-FI"/>
        </w:rPr>
      </w:pPr>
    </w:p>
    <w:p w14:paraId="4E2D989C" w14:textId="77777777" w:rsidR="00E62982" w:rsidRPr="00CA43F5" w:rsidRDefault="00E62982" w:rsidP="006E5F9A">
      <w:pPr>
        <w:jc w:val="center"/>
        <w:rPr>
          <w:b/>
          <w:bCs/>
          <w:lang w:val="fi-FI"/>
        </w:rPr>
      </w:pPr>
    </w:p>
    <w:p w14:paraId="464478F4" w14:textId="77777777" w:rsidR="00E62982" w:rsidRPr="00CA43F5" w:rsidRDefault="00E62982" w:rsidP="006E5F9A">
      <w:pPr>
        <w:jc w:val="center"/>
        <w:rPr>
          <w:b/>
          <w:bCs/>
          <w:lang w:val="fi-FI"/>
        </w:rPr>
      </w:pPr>
    </w:p>
    <w:p w14:paraId="4BE11224" w14:textId="77777777" w:rsidR="00E62982" w:rsidRPr="00CA43F5" w:rsidRDefault="00E62982" w:rsidP="006E5F9A">
      <w:pPr>
        <w:jc w:val="center"/>
        <w:rPr>
          <w:b/>
          <w:bCs/>
          <w:lang w:val="fi-FI"/>
        </w:rPr>
      </w:pPr>
    </w:p>
    <w:p w14:paraId="1481BF54" w14:textId="77777777" w:rsidR="00E62982" w:rsidRPr="00CA43F5" w:rsidRDefault="00E62982" w:rsidP="006E5F9A">
      <w:pPr>
        <w:jc w:val="center"/>
        <w:rPr>
          <w:b/>
          <w:bCs/>
          <w:lang w:val="fi-FI"/>
        </w:rPr>
      </w:pPr>
    </w:p>
    <w:p w14:paraId="5095C199" w14:textId="77777777" w:rsidR="00E62982" w:rsidRPr="00CA43F5" w:rsidRDefault="00E62982" w:rsidP="006E5F9A">
      <w:pPr>
        <w:jc w:val="center"/>
        <w:rPr>
          <w:b/>
          <w:bCs/>
          <w:lang w:val="fi-FI"/>
        </w:rPr>
      </w:pPr>
    </w:p>
    <w:p w14:paraId="1C30DA62" w14:textId="77777777" w:rsidR="00E62982" w:rsidRPr="00CA43F5" w:rsidRDefault="00E62982" w:rsidP="006E5F9A">
      <w:pPr>
        <w:jc w:val="center"/>
        <w:rPr>
          <w:b/>
          <w:bCs/>
          <w:lang w:val="fi-FI"/>
        </w:rPr>
      </w:pPr>
    </w:p>
    <w:p w14:paraId="1936A63D" w14:textId="77777777" w:rsidR="00E62982" w:rsidRPr="00CA43F5" w:rsidRDefault="00E62982" w:rsidP="006E5F9A">
      <w:pPr>
        <w:jc w:val="center"/>
        <w:rPr>
          <w:b/>
          <w:bCs/>
          <w:lang w:val="fi-FI"/>
        </w:rPr>
      </w:pPr>
    </w:p>
    <w:p w14:paraId="60943452" w14:textId="77777777" w:rsidR="00E62982" w:rsidRPr="00CA43F5" w:rsidRDefault="00E62982" w:rsidP="006E5F9A">
      <w:pPr>
        <w:jc w:val="center"/>
        <w:rPr>
          <w:b/>
          <w:bCs/>
          <w:lang w:val="fi-FI"/>
        </w:rPr>
      </w:pPr>
    </w:p>
    <w:p w14:paraId="30A8168A" w14:textId="77777777" w:rsidR="00E62982" w:rsidRPr="00CA43F5" w:rsidRDefault="00E62982" w:rsidP="006E5F9A">
      <w:pPr>
        <w:jc w:val="center"/>
        <w:rPr>
          <w:b/>
          <w:bCs/>
          <w:lang w:val="fi-FI"/>
        </w:rPr>
      </w:pPr>
    </w:p>
    <w:p w14:paraId="3B75836D" w14:textId="77777777" w:rsidR="00E62982" w:rsidRPr="00CA43F5" w:rsidRDefault="00E62982" w:rsidP="006E5F9A">
      <w:pPr>
        <w:jc w:val="center"/>
        <w:rPr>
          <w:b/>
          <w:bCs/>
          <w:lang w:val="fi-FI"/>
        </w:rPr>
      </w:pPr>
    </w:p>
    <w:p w14:paraId="263FB787" w14:textId="77777777" w:rsidR="00E62982" w:rsidRPr="00CA43F5" w:rsidRDefault="00E62982" w:rsidP="006E5F9A">
      <w:pPr>
        <w:jc w:val="center"/>
        <w:rPr>
          <w:b/>
          <w:bCs/>
          <w:lang w:val="fi-FI"/>
        </w:rPr>
      </w:pPr>
    </w:p>
    <w:p w14:paraId="75708218" w14:textId="77777777" w:rsidR="00E62982" w:rsidRPr="00CA43F5" w:rsidRDefault="00E62982" w:rsidP="006E5F9A">
      <w:pPr>
        <w:jc w:val="center"/>
        <w:rPr>
          <w:b/>
          <w:bCs/>
          <w:lang w:val="fi-FI"/>
        </w:rPr>
      </w:pPr>
    </w:p>
    <w:p w14:paraId="783BBA91" w14:textId="77777777" w:rsidR="00E62982" w:rsidRPr="00CA43F5" w:rsidRDefault="00E62982" w:rsidP="006E5F9A">
      <w:pPr>
        <w:jc w:val="center"/>
        <w:rPr>
          <w:b/>
          <w:bCs/>
          <w:lang w:val="fi-FI"/>
        </w:rPr>
      </w:pPr>
    </w:p>
    <w:p w14:paraId="26714397" w14:textId="77777777" w:rsidR="00E62982" w:rsidRPr="00CA43F5" w:rsidRDefault="00E62982" w:rsidP="006E5F9A">
      <w:pPr>
        <w:jc w:val="center"/>
        <w:rPr>
          <w:b/>
          <w:bCs/>
          <w:lang w:val="fi-FI"/>
        </w:rPr>
      </w:pPr>
    </w:p>
    <w:p w14:paraId="623AB585" w14:textId="77777777" w:rsidR="005260D5" w:rsidRPr="00CA43F5" w:rsidRDefault="00296A74" w:rsidP="006E5F9A">
      <w:pPr>
        <w:jc w:val="center"/>
        <w:rPr>
          <w:b/>
          <w:bCs/>
          <w:lang w:val="fi-FI"/>
        </w:rPr>
      </w:pPr>
      <w:r w:rsidRPr="00CA43F5">
        <w:rPr>
          <w:b/>
          <w:bCs/>
          <w:lang w:val="fi-FI"/>
        </w:rPr>
        <w:t>LIITE III</w:t>
      </w:r>
    </w:p>
    <w:p w14:paraId="01529BF7" w14:textId="77777777" w:rsidR="005260D5" w:rsidRPr="009A3CB5" w:rsidRDefault="005260D5" w:rsidP="00DD705A">
      <w:pPr>
        <w:rPr>
          <w:lang w:val="fi-FI"/>
        </w:rPr>
      </w:pPr>
    </w:p>
    <w:p w14:paraId="593614BE" w14:textId="77777777" w:rsidR="003B7027" w:rsidRPr="009A3CB5" w:rsidRDefault="00296A74" w:rsidP="00DD705A">
      <w:pPr>
        <w:jc w:val="center"/>
        <w:rPr>
          <w:b/>
          <w:bCs/>
          <w:lang w:val="fi-FI"/>
        </w:rPr>
      </w:pPr>
      <w:r w:rsidRPr="009A3CB5">
        <w:rPr>
          <w:b/>
          <w:bCs/>
          <w:lang w:val="fi-FI"/>
        </w:rPr>
        <w:t>MYYNTIPÄÄLLYSMERKINNÄT JA PAKKAUSSELOSTE</w:t>
      </w:r>
    </w:p>
    <w:p w14:paraId="0AC697D7" w14:textId="77777777" w:rsidR="003B7027" w:rsidRPr="0028514E" w:rsidRDefault="003B7027" w:rsidP="006E5F9A">
      <w:pPr>
        <w:pStyle w:val="a4"/>
        <w:ind w:left="0"/>
        <w:jc w:val="center"/>
        <w:rPr>
          <w:b/>
        </w:rPr>
      </w:pPr>
    </w:p>
    <w:p w14:paraId="7FBBD7BC" w14:textId="77777777" w:rsidR="00EB5DDD" w:rsidRPr="0028514E" w:rsidRDefault="00EB5DDD" w:rsidP="000F5A9F">
      <w:pPr>
        <w:widowControl w:val="0"/>
        <w:autoSpaceDE w:val="0"/>
        <w:autoSpaceDN w:val="0"/>
        <w:jc w:val="center"/>
        <w:rPr>
          <w:rFonts w:eastAsia="Times New Roman"/>
          <w:b/>
          <w:lang w:val="fi-FI" w:eastAsia="en-US"/>
        </w:rPr>
      </w:pPr>
      <w:r w:rsidRPr="00CA43F5">
        <w:rPr>
          <w:b/>
          <w:lang w:val="fi-FI"/>
        </w:rPr>
        <w:br w:type="page"/>
      </w:r>
    </w:p>
    <w:p w14:paraId="790731E5" w14:textId="77777777" w:rsidR="00E62982" w:rsidRPr="00CA43F5" w:rsidRDefault="00E62982" w:rsidP="006E5F9A">
      <w:pPr>
        <w:jc w:val="center"/>
        <w:rPr>
          <w:b/>
          <w:bCs/>
          <w:lang w:val="fi-FI"/>
        </w:rPr>
      </w:pPr>
      <w:bookmarkStart w:id="28" w:name="A._MYYNTIPÄÄLLYSMERKINNÄT"/>
      <w:bookmarkEnd w:id="28"/>
    </w:p>
    <w:p w14:paraId="241222D1" w14:textId="77777777" w:rsidR="00E62982" w:rsidRPr="00CA43F5" w:rsidRDefault="00E62982" w:rsidP="006E5F9A">
      <w:pPr>
        <w:jc w:val="center"/>
        <w:rPr>
          <w:b/>
          <w:bCs/>
          <w:lang w:val="fi-FI"/>
        </w:rPr>
      </w:pPr>
    </w:p>
    <w:p w14:paraId="66CE72E1" w14:textId="77777777" w:rsidR="00E62982" w:rsidRPr="00CA43F5" w:rsidRDefault="00E62982" w:rsidP="006E5F9A">
      <w:pPr>
        <w:jc w:val="center"/>
        <w:rPr>
          <w:b/>
          <w:bCs/>
          <w:lang w:val="fi-FI"/>
        </w:rPr>
      </w:pPr>
    </w:p>
    <w:p w14:paraId="191A2278" w14:textId="77777777" w:rsidR="00E62982" w:rsidRPr="00CA43F5" w:rsidRDefault="00E62982" w:rsidP="006E5F9A">
      <w:pPr>
        <w:jc w:val="center"/>
        <w:rPr>
          <w:b/>
          <w:bCs/>
          <w:lang w:val="fi-FI"/>
        </w:rPr>
      </w:pPr>
    </w:p>
    <w:p w14:paraId="1AA90B52" w14:textId="77777777" w:rsidR="00E62982" w:rsidRPr="00CA43F5" w:rsidRDefault="00E62982" w:rsidP="006E5F9A">
      <w:pPr>
        <w:jc w:val="center"/>
        <w:rPr>
          <w:b/>
          <w:bCs/>
          <w:lang w:val="fi-FI"/>
        </w:rPr>
      </w:pPr>
    </w:p>
    <w:p w14:paraId="62240554" w14:textId="77777777" w:rsidR="00E62982" w:rsidRPr="00CA43F5" w:rsidRDefault="00E62982" w:rsidP="006E5F9A">
      <w:pPr>
        <w:jc w:val="center"/>
        <w:rPr>
          <w:b/>
          <w:bCs/>
          <w:lang w:val="fi-FI"/>
        </w:rPr>
      </w:pPr>
    </w:p>
    <w:p w14:paraId="1AED5EBB" w14:textId="77777777" w:rsidR="00E62982" w:rsidRPr="00CA43F5" w:rsidRDefault="00E62982" w:rsidP="006E5F9A">
      <w:pPr>
        <w:jc w:val="center"/>
        <w:rPr>
          <w:b/>
          <w:bCs/>
          <w:lang w:val="fi-FI"/>
        </w:rPr>
      </w:pPr>
    </w:p>
    <w:p w14:paraId="1F57DF09" w14:textId="77777777" w:rsidR="00E62982" w:rsidRPr="00CA43F5" w:rsidRDefault="00E62982" w:rsidP="006E5F9A">
      <w:pPr>
        <w:jc w:val="center"/>
        <w:rPr>
          <w:b/>
          <w:bCs/>
          <w:lang w:val="fi-FI"/>
        </w:rPr>
      </w:pPr>
    </w:p>
    <w:p w14:paraId="09143177" w14:textId="77777777" w:rsidR="00E62982" w:rsidRPr="00CA43F5" w:rsidRDefault="00E62982" w:rsidP="006E5F9A">
      <w:pPr>
        <w:jc w:val="center"/>
        <w:rPr>
          <w:b/>
          <w:bCs/>
          <w:lang w:val="fi-FI"/>
        </w:rPr>
      </w:pPr>
    </w:p>
    <w:p w14:paraId="66BA69DC" w14:textId="77777777" w:rsidR="00E62982" w:rsidRPr="00CA43F5" w:rsidRDefault="00E62982" w:rsidP="006E5F9A">
      <w:pPr>
        <w:jc w:val="center"/>
        <w:rPr>
          <w:b/>
          <w:bCs/>
          <w:lang w:val="fi-FI"/>
        </w:rPr>
      </w:pPr>
    </w:p>
    <w:p w14:paraId="187C0FA4" w14:textId="77777777" w:rsidR="00E62982" w:rsidRPr="00CA43F5" w:rsidRDefault="00E62982" w:rsidP="006E5F9A">
      <w:pPr>
        <w:jc w:val="center"/>
        <w:rPr>
          <w:b/>
          <w:bCs/>
          <w:lang w:val="fi-FI"/>
        </w:rPr>
      </w:pPr>
    </w:p>
    <w:p w14:paraId="6A70BD93" w14:textId="77777777" w:rsidR="00E62982" w:rsidRPr="00CA43F5" w:rsidRDefault="00E62982" w:rsidP="006E5F9A">
      <w:pPr>
        <w:jc w:val="center"/>
        <w:rPr>
          <w:b/>
          <w:bCs/>
          <w:lang w:val="fi-FI"/>
        </w:rPr>
      </w:pPr>
    </w:p>
    <w:p w14:paraId="022596AF" w14:textId="77777777" w:rsidR="00E62982" w:rsidRPr="00CA43F5" w:rsidRDefault="00E62982" w:rsidP="006E5F9A">
      <w:pPr>
        <w:jc w:val="center"/>
        <w:rPr>
          <w:b/>
          <w:bCs/>
          <w:lang w:val="fi-FI"/>
        </w:rPr>
      </w:pPr>
    </w:p>
    <w:p w14:paraId="771268B9" w14:textId="77777777" w:rsidR="00E62982" w:rsidRPr="00CA43F5" w:rsidRDefault="00E62982" w:rsidP="006E5F9A">
      <w:pPr>
        <w:jc w:val="center"/>
        <w:rPr>
          <w:b/>
          <w:bCs/>
          <w:lang w:val="fi-FI"/>
        </w:rPr>
      </w:pPr>
    </w:p>
    <w:p w14:paraId="18488769" w14:textId="77777777" w:rsidR="00E62982" w:rsidRPr="00CA43F5" w:rsidRDefault="00E62982" w:rsidP="006E5F9A">
      <w:pPr>
        <w:jc w:val="center"/>
        <w:rPr>
          <w:b/>
          <w:bCs/>
          <w:lang w:val="fi-FI"/>
        </w:rPr>
      </w:pPr>
    </w:p>
    <w:p w14:paraId="317F7779" w14:textId="77777777" w:rsidR="00E62982" w:rsidRPr="00CA43F5" w:rsidRDefault="00E62982" w:rsidP="006E5F9A">
      <w:pPr>
        <w:jc w:val="center"/>
        <w:rPr>
          <w:b/>
          <w:bCs/>
          <w:lang w:val="fi-FI"/>
        </w:rPr>
      </w:pPr>
    </w:p>
    <w:p w14:paraId="02173CDF" w14:textId="77777777" w:rsidR="00E62982" w:rsidRPr="00CA43F5" w:rsidRDefault="00E62982" w:rsidP="006E5F9A">
      <w:pPr>
        <w:jc w:val="center"/>
        <w:rPr>
          <w:b/>
          <w:bCs/>
          <w:lang w:val="fi-FI"/>
        </w:rPr>
      </w:pPr>
    </w:p>
    <w:p w14:paraId="5086D74E" w14:textId="77777777" w:rsidR="00E62982" w:rsidRPr="00CA43F5" w:rsidRDefault="00E62982" w:rsidP="006E5F9A">
      <w:pPr>
        <w:jc w:val="center"/>
        <w:rPr>
          <w:b/>
          <w:bCs/>
          <w:lang w:val="fi-FI"/>
        </w:rPr>
      </w:pPr>
    </w:p>
    <w:p w14:paraId="5FFEB031" w14:textId="77777777" w:rsidR="00E62982" w:rsidRPr="00CA43F5" w:rsidRDefault="00E62982" w:rsidP="006E5F9A">
      <w:pPr>
        <w:jc w:val="center"/>
        <w:rPr>
          <w:b/>
          <w:bCs/>
          <w:lang w:val="fi-FI"/>
        </w:rPr>
      </w:pPr>
    </w:p>
    <w:p w14:paraId="48BA2503" w14:textId="77777777" w:rsidR="00E62982" w:rsidRPr="00CA43F5" w:rsidRDefault="00E62982" w:rsidP="006E5F9A">
      <w:pPr>
        <w:jc w:val="center"/>
        <w:rPr>
          <w:b/>
          <w:bCs/>
          <w:lang w:val="fi-FI"/>
        </w:rPr>
      </w:pPr>
    </w:p>
    <w:p w14:paraId="282ABC6F" w14:textId="77777777" w:rsidR="00E62982" w:rsidRPr="00CA43F5" w:rsidRDefault="00E62982" w:rsidP="006E5F9A">
      <w:pPr>
        <w:jc w:val="center"/>
        <w:rPr>
          <w:b/>
          <w:bCs/>
          <w:lang w:val="fi-FI"/>
        </w:rPr>
      </w:pPr>
    </w:p>
    <w:p w14:paraId="0A8BA7B9" w14:textId="77777777" w:rsidR="00E62982" w:rsidRPr="00CA43F5" w:rsidRDefault="00E62982" w:rsidP="006E5F9A">
      <w:pPr>
        <w:jc w:val="center"/>
        <w:rPr>
          <w:b/>
          <w:bCs/>
          <w:lang w:val="fi-FI"/>
        </w:rPr>
      </w:pPr>
    </w:p>
    <w:p w14:paraId="2AAE1CEE" w14:textId="77777777" w:rsidR="00EB5DDD" w:rsidRPr="00CA43F5" w:rsidRDefault="00296A74" w:rsidP="00DD705A">
      <w:pPr>
        <w:pStyle w:val="1"/>
        <w:jc w:val="center"/>
        <w:rPr>
          <w:b w:val="0"/>
        </w:rPr>
      </w:pPr>
      <w:r w:rsidRPr="0028514E">
        <w:t>A.</w:t>
      </w:r>
      <w:r w:rsidR="00E62982" w:rsidRPr="0028514E">
        <w:t xml:space="preserve"> </w:t>
      </w:r>
      <w:r w:rsidRPr="00CA43F5">
        <w:t>MYYNTIPÄÄLLYSMERKINNÄT</w:t>
      </w:r>
    </w:p>
    <w:p w14:paraId="74989D31" w14:textId="77777777" w:rsidR="00EB5DDD" w:rsidRPr="00CA43F5" w:rsidRDefault="00EB5DDD" w:rsidP="006E5F9A">
      <w:pPr>
        <w:tabs>
          <w:tab w:val="left" w:pos="540"/>
          <w:tab w:val="left" w:pos="4038"/>
        </w:tabs>
        <w:jc w:val="center"/>
        <w:rPr>
          <w:b/>
          <w:lang w:val="fi-FI"/>
        </w:rPr>
      </w:pPr>
    </w:p>
    <w:p w14:paraId="4E2F5849" w14:textId="348FFA36" w:rsidR="00C119F3" w:rsidRPr="00CA43F5" w:rsidRDefault="00EB5DDD" w:rsidP="00EA2A65">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CA43F5">
        <w:rPr>
          <w:b/>
          <w:lang w:val="fi-FI"/>
        </w:rPr>
        <w:br w:type="page"/>
      </w:r>
      <w:r w:rsidR="00C119F3" w:rsidRPr="00CA43F5">
        <w:rPr>
          <w:b/>
          <w:lang w:val="fi-FI"/>
        </w:rPr>
        <w:lastRenderedPageBreak/>
        <w:t>ULKOPAKKAUKSESSA ON OLTAVA SEURAAVAT MERKINNÄT</w:t>
      </w:r>
    </w:p>
    <w:p w14:paraId="095AD146" w14:textId="77777777" w:rsidR="00C119F3" w:rsidRPr="0028514E" w:rsidRDefault="00C119F3" w:rsidP="00EA2A65">
      <w:pPr>
        <w:pStyle w:val="a4"/>
        <w:pBdr>
          <w:top w:val="single" w:sz="4" w:space="1" w:color="000000"/>
          <w:left w:val="single" w:sz="4" w:space="4" w:color="000000"/>
          <w:bottom w:val="single" w:sz="4" w:space="1" w:color="000000"/>
          <w:right w:val="single" w:sz="4" w:space="4" w:color="000000"/>
        </w:pBdr>
        <w:tabs>
          <w:tab w:val="left" w:pos="540"/>
        </w:tabs>
        <w:ind w:left="0"/>
        <w:rPr>
          <w:b/>
        </w:rPr>
      </w:pPr>
    </w:p>
    <w:p w14:paraId="7C1B1B5B" w14:textId="77777777" w:rsidR="00C119F3" w:rsidRPr="00CA43F5" w:rsidRDefault="00C119F3" w:rsidP="00EA2A65">
      <w:pPr>
        <w:pBdr>
          <w:top w:val="single" w:sz="4" w:space="1" w:color="000000"/>
          <w:left w:val="single" w:sz="4" w:space="4" w:color="000000"/>
          <w:bottom w:val="single" w:sz="4" w:space="1" w:color="000000"/>
          <w:right w:val="single" w:sz="4" w:space="4" w:color="000000"/>
        </w:pBdr>
        <w:tabs>
          <w:tab w:val="left" w:pos="540"/>
        </w:tabs>
        <w:rPr>
          <w:b/>
          <w:lang w:val="fi-FI"/>
        </w:rPr>
      </w:pPr>
      <w:r w:rsidRPr="00CA43F5">
        <w:rPr>
          <w:b/>
          <w:lang w:val="fi-FI"/>
        </w:rPr>
        <w:t>KOTELO</w:t>
      </w:r>
    </w:p>
    <w:p w14:paraId="36F5635A" w14:textId="77777777" w:rsidR="003B7027" w:rsidRPr="0028514E" w:rsidRDefault="003B7027" w:rsidP="006E5F9A">
      <w:pPr>
        <w:pStyle w:val="a4"/>
        <w:tabs>
          <w:tab w:val="left" w:pos="540"/>
        </w:tabs>
        <w:ind w:left="0"/>
      </w:pPr>
    </w:p>
    <w:p w14:paraId="7EF13FBE" w14:textId="77777777" w:rsidR="00E62982" w:rsidRPr="0028514E" w:rsidRDefault="00E62982" w:rsidP="006E5F9A">
      <w:pPr>
        <w:pStyle w:val="a4"/>
        <w:tabs>
          <w:tab w:val="left" w:pos="540"/>
        </w:tabs>
        <w:ind w:left="0"/>
      </w:pPr>
    </w:p>
    <w:p w14:paraId="08276A3E"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w:t>
      </w:r>
      <w:r w:rsidRPr="00CA43F5">
        <w:rPr>
          <w:b/>
          <w:lang w:val="fi-FI"/>
        </w:rPr>
        <w:tab/>
        <w:t>LÄÄKEVALMISTEEN NIMI</w:t>
      </w:r>
    </w:p>
    <w:p w14:paraId="6B2376B5" w14:textId="77777777" w:rsidR="003B7027" w:rsidRPr="0028514E" w:rsidRDefault="003B7027" w:rsidP="006E5F9A">
      <w:pPr>
        <w:pStyle w:val="a4"/>
        <w:tabs>
          <w:tab w:val="left" w:pos="540"/>
        </w:tabs>
        <w:ind w:left="0"/>
        <w:rPr>
          <w:b/>
        </w:rPr>
      </w:pPr>
    </w:p>
    <w:p w14:paraId="4A8DE1B5" w14:textId="5A096119" w:rsidR="003B7027" w:rsidRPr="0028514E" w:rsidRDefault="00EE1020" w:rsidP="006E5F9A">
      <w:pPr>
        <w:pStyle w:val="a4"/>
        <w:tabs>
          <w:tab w:val="left" w:pos="540"/>
        </w:tabs>
        <w:ind w:left="0"/>
      </w:pPr>
      <w:r>
        <w:t>Avtozma</w:t>
      </w:r>
      <w:r w:rsidRPr="0028514E">
        <w:t xml:space="preserve"> </w:t>
      </w:r>
      <w:r w:rsidR="00296A74" w:rsidRPr="0028514E">
        <w:t>20 mg/ml infuusiokonsentraatti, liuosta varten tosilitsumabi</w:t>
      </w:r>
    </w:p>
    <w:p w14:paraId="4018C295" w14:textId="77777777" w:rsidR="003B7027" w:rsidRPr="0028514E" w:rsidRDefault="003B7027" w:rsidP="006E5F9A">
      <w:pPr>
        <w:pStyle w:val="a4"/>
        <w:tabs>
          <w:tab w:val="left" w:pos="540"/>
        </w:tabs>
        <w:ind w:left="0"/>
      </w:pPr>
    </w:p>
    <w:p w14:paraId="10EDA234" w14:textId="77777777" w:rsidR="00E62982" w:rsidRPr="0028514E" w:rsidRDefault="00E62982" w:rsidP="006E5F9A">
      <w:pPr>
        <w:pStyle w:val="a4"/>
        <w:tabs>
          <w:tab w:val="left" w:pos="540"/>
        </w:tabs>
        <w:ind w:left="0"/>
      </w:pPr>
    </w:p>
    <w:p w14:paraId="077450BA"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2.</w:t>
      </w:r>
      <w:r w:rsidRPr="00CA43F5">
        <w:rPr>
          <w:b/>
          <w:lang w:val="fi-FI"/>
        </w:rPr>
        <w:tab/>
        <w:t>VAIKUTTAVA(T) AINE(ET)</w:t>
      </w:r>
    </w:p>
    <w:p w14:paraId="1449AD04" w14:textId="77777777" w:rsidR="003B7027" w:rsidRPr="0028514E" w:rsidRDefault="003B7027" w:rsidP="006E5F9A">
      <w:pPr>
        <w:pStyle w:val="a4"/>
        <w:tabs>
          <w:tab w:val="left" w:pos="540"/>
        </w:tabs>
        <w:ind w:left="0"/>
      </w:pPr>
    </w:p>
    <w:p w14:paraId="697F23D4" w14:textId="77777777" w:rsidR="003B7027" w:rsidRPr="0028514E" w:rsidRDefault="00296A74" w:rsidP="006E5F9A">
      <w:pPr>
        <w:pStyle w:val="a4"/>
        <w:tabs>
          <w:tab w:val="left" w:pos="540"/>
        </w:tabs>
        <w:ind w:left="0"/>
      </w:pPr>
      <w:r w:rsidRPr="0028514E">
        <w:t>Yksi injektiopullo sisältää 80 mg tosilitsumabia.</w:t>
      </w:r>
    </w:p>
    <w:p w14:paraId="4D8E70C1" w14:textId="77777777" w:rsidR="003B7027" w:rsidRPr="0028514E" w:rsidRDefault="003B7027" w:rsidP="006E5F9A">
      <w:pPr>
        <w:pStyle w:val="a4"/>
        <w:tabs>
          <w:tab w:val="left" w:pos="540"/>
        </w:tabs>
        <w:ind w:left="0"/>
      </w:pPr>
    </w:p>
    <w:p w14:paraId="6C8875CD" w14:textId="77777777" w:rsidR="00E62982" w:rsidRPr="0028514E" w:rsidRDefault="00E62982" w:rsidP="006E5F9A">
      <w:pPr>
        <w:pStyle w:val="a4"/>
        <w:tabs>
          <w:tab w:val="left" w:pos="540"/>
        </w:tabs>
        <w:ind w:left="0"/>
      </w:pPr>
    </w:p>
    <w:p w14:paraId="4A1C2392"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3.</w:t>
      </w:r>
      <w:r w:rsidRPr="00CA43F5">
        <w:rPr>
          <w:b/>
          <w:lang w:val="fi-FI"/>
        </w:rPr>
        <w:tab/>
        <w:t>LUETTELO APUAINEISTA</w:t>
      </w:r>
    </w:p>
    <w:p w14:paraId="348D79AC" w14:textId="77777777" w:rsidR="003B7027" w:rsidRPr="0028514E" w:rsidRDefault="003B7027" w:rsidP="006E5F9A">
      <w:pPr>
        <w:pStyle w:val="a4"/>
        <w:tabs>
          <w:tab w:val="left" w:pos="540"/>
        </w:tabs>
        <w:ind w:left="0"/>
      </w:pPr>
    </w:p>
    <w:p w14:paraId="1460985B" w14:textId="4731F7DE" w:rsidR="00EE1020" w:rsidRPr="00C26E34" w:rsidRDefault="00EE1020" w:rsidP="00C26E34">
      <w:pPr>
        <w:pStyle w:val="a4"/>
        <w:ind w:left="0"/>
        <w:rPr>
          <w:rFonts w:eastAsia="맑은 고딕"/>
          <w:lang w:eastAsia="ko-KR"/>
        </w:rPr>
      </w:pPr>
      <w:r>
        <w:t>Apuaineet: L‑histidiini,</w:t>
      </w:r>
      <w:r w:rsidR="00A5656C">
        <w:rPr>
          <w:rFonts w:eastAsia="맑은 고딕" w:hint="eastAsia"/>
          <w:lang w:eastAsia="ko-KR"/>
        </w:rPr>
        <w:t xml:space="preserve"> </w:t>
      </w:r>
      <w:r w:rsidR="00C26E34" w:rsidRPr="00C26E34">
        <w:rPr>
          <w:rFonts w:eastAsia="맑은 고딕" w:hint="eastAsia"/>
          <w:lang w:eastAsia="ko-KR"/>
        </w:rPr>
        <w:t>L-histidiinimonohydrokloridimonohydraatti</w:t>
      </w:r>
      <w:r w:rsidR="00A5656C">
        <w:rPr>
          <w:rFonts w:eastAsia="맑은 고딕" w:hint="eastAsia"/>
          <w:lang w:eastAsia="ko-KR"/>
        </w:rPr>
        <w:t xml:space="preserve">, </w:t>
      </w:r>
      <w:r>
        <w:t>L‑treoniini, L‑metioniini, polysorbaatti 80 ja injektionesteisiin käytettävä vesi.</w:t>
      </w:r>
      <w:r w:rsidR="00296A74" w:rsidRPr="0028514E">
        <w:t xml:space="preserve"> </w:t>
      </w:r>
    </w:p>
    <w:p w14:paraId="328188F6" w14:textId="23EB491D" w:rsidR="003B7027" w:rsidRPr="0028514E" w:rsidRDefault="00296A74" w:rsidP="006E5F9A">
      <w:pPr>
        <w:pStyle w:val="a4"/>
        <w:tabs>
          <w:tab w:val="left" w:pos="540"/>
        </w:tabs>
        <w:ind w:left="0"/>
      </w:pPr>
      <w:r w:rsidRPr="0028514E">
        <w:t>Katso lisätiedot pakkausselosteesta.</w:t>
      </w:r>
    </w:p>
    <w:p w14:paraId="2E70182A" w14:textId="77777777" w:rsidR="003B7027" w:rsidRPr="0028514E" w:rsidRDefault="003B7027" w:rsidP="006E5F9A">
      <w:pPr>
        <w:pStyle w:val="a4"/>
        <w:tabs>
          <w:tab w:val="left" w:pos="540"/>
        </w:tabs>
        <w:ind w:left="0"/>
      </w:pPr>
    </w:p>
    <w:p w14:paraId="1D5BD216" w14:textId="77777777" w:rsidR="00E62982" w:rsidRPr="0028514E" w:rsidRDefault="00E62982" w:rsidP="006E5F9A">
      <w:pPr>
        <w:pStyle w:val="a4"/>
        <w:tabs>
          <w:tab w:val="left" w:pos="540"/>
        </w:tabs>
        <w:ind w:left="0"/>
      </w:pPr>
    </w:p>
    <w:p w14:paraId="66974CC3"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4.</w:t>
      </w:r>
      <w:r w:rsidRPr="00CA43F5">
        <w:rPr>
          <w:b/>
          <w:lang w:val="fi-FI"/>
        </w:rPr>
        <w:tab/>
        <w:t>LÄÄKEMUOTO JA SISÄLLÖN MÄÄRÄ</w:t>
      </w:r>
    </w:p>
    <w:p w14:paraId="5568CC93" w14:textId="77777777" w:rsidR="003B7027" w:rsidRPr="0028514E" w:rsidRDefault="003B7027" w:rsidP="006E5F9A">
      <w:pPr>
        <w:pStyle w:val="a4"/>
        <w:tabs>
          <w:tab w:val="left" w:pos="540"/>
        </w:tabs>
        <w:ind w:left="0"/>
      </w:pPr>
    </w:p>
    <w:p w14:paraId="598FD715" w14:textId="77777777" w:rsidR="00511AFB" w:rsidRDefault="00296A74" w:rsidP="006E5F9A">
      <w:pPr>
        <w:pStyle w:val="a4"/>
        <w:tabs>
          <w:tab w:val="left" w:pos="540"/>
        </w:tabs>
        <w:ind w:left="0"/>
        <w:rPr>
          <w:rFonts w:eastAsia="맑은 고딕"/>
          <w:lang w:eastAsia="ko-KR"/>
        </w:rPr>
      </w:pPr>
      <w:r w:rsidRPr="0028514E">
        <w:t xml:space="preserve">Infuusiokonsentraatti, liuosta varten </w:t>
      </w:r>
    </w:p>
    <w:p w14:paraId="307D0748" w14:textId="505149FA" w:rsidR="003B7027" w:rsidRPr="0028514E" w:rsidRDefault="00296A74" w:rsidP="006E5F9A">
      <w:pPr>
        <w:pStyle w:val="a4"/>
        <w:tabs>
          <w:tab w:val="left" w:pos="540"/>
        </w:tabs>
        <w:ind w:left="0"/>
      </w:pPr>
      <w:r w:rsidRPr="0028514E">
        <w:t>80 mg/4 ml</w:t>
      </w:r>
    </w:p>
    <w:p w14:paraId="478D33DE" w14:textId="77777777" w:rsidR="003B7027" w:rsidRPr="0028514E" w:rsidRDefault="00296A74" w:rsidP="006E5F9A">
      <w:pPr>
        <w:pStyle w:val="a4"/>
        <w:tabs>
          <w:tab w:val="left" w:pos="540"/>
        </w:tabs>
        <w:ind w:left="0"/>
      </w:pPr>
      <w:r w:rsidRPr="0028514E">
        <w:t>1 injektiopullo à 4 ml</w:t>
      </w:r>
    </w:p>
    <w:p w14:paraId="0F0B95E8" w14:textId="77777777" w:rsidR="003B7027" w:rsidRPr="0028514E" w:rsidRDefault="00296A74" w:rsidP="006E5F9A">
      <w:pPr>
        <w:pStyle w:val="a4"/>
        <w:tabs>
          <w:tab w:val="left" w:pos="540"/>
        </w:tabs>
        <w:ind w:left="0"/>
      </w:pPr>
      <w:r w:rsidRPr="0028514E">
        <w:t>4 injektiopulloa à 4 ml</w:t>
      </w:r>
    </w:p>
    <w:p w14:paraId="4A8298FB" w14:textId="77777777" w:rsidR="003B7027" w:rsidRPr="0028514E" w:rsidRDefault="003B7027" w:rsidP="006E5F9A">
      <w:pPr>
        <w:pStyle w:val="a4"/>
        <w:tabs>
          <w:tab w:val="left" w:pos="540"/>
        </w:tabs>
        <w:ind w:left="0"/>
      </w:pPr>
    </w:p>
    <w:p w14:paraId="0F33BBC4" w14:textId="77777777" w:rsidR="00E62982" w:rsidRPr="0028514E" w:rsidRDefault="00E62982" w:rsidP="006E5F9A">
      <w:pPr>
        <w:pStyle w:val="a4"/>
        <w:tabs>
          <w:tab w:val="left" w:pos="540"/>
        </w:tabs>
        <w:ind w:left="0"/>
      </w:pPr>
    </w:p>
    <w:p w14:paraId="4EB6F4DE"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5.</w:t>
      </w:r>
      <w:r w:rsidRPr="00CA43F5">
        <w:rPr>
          <w:b/>
          <w:lang w:val="fi-FI"/>
        </w:rPr>
        <w:tab/>
        <w:t>ANTOTAPA JA TARVITTAESSA ANTOREITTI (ANTOREITIT)</w:t>
      </w:r>
    </w:p>
    <w:p w14:paraId="5BDCB7FF" w14:textId="77777777" w:rsidR="003B7027" w:rsidRPr="0028514E" w:rsidRDefault="003B7027" w:rsidP="006E5F9A">
      <w:pPr>
        <w:pStyle w:val="a4"/>
        <w:tabs>
          <w:tab w:val="left" w:pos="540"/>
        </w:tabs>
        <w:ind w:left="0"/>
      </w:pPr>
    </w:p>
    <w:p w14:paraId="3D8B9930" w14:textId="77777777" w:rsidR="00E62982" w:rsidRPr="0028514E" w:rsidRDefault="00296A74" w:rsidP="006E5F9A">
      <w:pPr>
        <w:pStyle w:val="a4"/>
        <w:tabs>
          <w:tab w:val="left" w:pos="540"/>
        </w:tabs>
        <w:ind w:left="0"/>
      </w:pPr>
      <w:r w:rsidRPr="0028514E">
        <w:t>Laskimonsisäiseen infuusioon laimentamisen jälkeen</w:t>
      </w:r>
    </w:p>
    <w:p w14:paraId="2F80A154" w14:textId="77777777" w:rsidR="003B7027" w:rsidRPr="0028514E" w:rsidRDefault="00296A74" w:rsidP="006E5F9A">
      <w:pPr>
        <w:pStyle w:val="a4"/>
        <w:tabs>
          <w:tab w:val="left" w:pos="540"/>
        </w:tabs>
        <w:ind w:left="0"/>
      </w:pPr>
      <w:r w:rsidRPr="0028514E">
        <w:t>Laimennettu valmiste tulisi käyttää välittömästi</w:t>
      </w:r>
    </w:p>
    <w:p w14:paraId="74B9D3A7" w14:textId="77777777" w:rsidR="003B7027" w:rsidRPr="0028514E" w:rsidRDefault="00296A74" w:rsidP="006E5F9A">
      <w:pPr>
        <w:pStyle w:val="a4"/>
        <w:tabs>
          <w:tab w:val="left" w:pos="540"/>
        </w:tabs>
        <w:ind w:left="0"/>
      </w:pPr>
      <w:r w:rsidRPr="0028514E">
        <w:t>Lue pakkausseloste ennen käyttöä</w:t>
      </w:r>
    </w:p>
    <w:p w14:paraId="17F99A18" w14:textId="77777777" w:rsidR="003B7027" w:rsidRPr="0028514E" w:rsidRDefault="003B7027" w:rsidP="006E5F9A">
      <w:pPr>
        <w:pStyle w:val="a4"/>
        <w:tabs>
          <w:tab w:val="left" w:pos="540"/>
        </w:tabs>
        <w:ind w:left="0"/>
      </w:pPr>
    </w:p>
    <w:p w14:paraId="5D9937E6" w14:textId="77777777" w:rsidR="00E62982" w:rsidRPr="0028514E" w:rsidRDefault="00E62982" w:rsidP="006E5F9A">
      <w:pPr>
        <w:pStyle w:val="a4"/>
        <w:tabs>
          <w:tab w:val="left" w:pos="540"/>
        </w:tabs>
        <w:ind w:left="0"/>
      </w:pPr>
    </w:p>
    <w:p w14:paraId="5A0260B3"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6.</w:t>
      </w:r>
      <w:r w:rsidRPr="00CA43F5">
        <w:rPr>
          <w:b/>
          <w:lang w:val="fi-FI"/>
        </w:rPr>
        <w:tab/>
        <w:t>ERITYISVAROITUS VALMISTEEN SÄILYTTÄMISESTÄ POISSA LASTEN ULOTTUVILTA JA NÄKYVILTÄ</w:t>
      </w:r>
    </w:p>
    <w:p w14:paraId="28448D51" w14:textId="77777777" w:rsidR="003B7027" w:rsidRPr="0028514E" w:rsidRDefault="003B7027" w:rsidP="006E5F9A">
      <w:pPr>
        <w:pStyle w:val="a4"/>
        <w:tabs>
          <w:tab w:val="left" w:pos="540"/>
        </w:tabs>
        <w:ind w:left="0"/>
      </w:pPr>
    </w:p>
    <w:p w14:paraId="68EE318B" w14:textId="77777777" w:rsidR="003B7027" w:rsidRPr="0028514E" w:rsidRDefault="00296A74" w:rsidP="006E5F9A">
      <w:pPr>
        <w:pStyle w:val="a4"/>
        <w:tabs>
          <w:tab w:val="left" w:pos="540"/>
        </w:tabs>
        <w:ind w:left="0"/>
      </w:pPr>
      <w:r w:rsidRPr="0028514E">
        <w:t>Ei lasten ulottuville eikä näkyville</w:t>
      </w:r>
    </w:p>
    <w:p w14:paraId="14EF8887" w14:textId="77777777" w:rsidR="003B7027" w:rsidRPr="0028514E" w:rsidRDefault="003B7027" w:rsidP="006E5F9A">
      <w:pPr>
        <w:pStyle w:val="a4"/>
        <w:tabs>
          <w:tab w:val="left" w:pos="540"/>
        </w:tabs>
        <w:ind w:left="0"/>
      </w:pPr>
    </w:p>
    <w:p w14:paraId="44554D27" w14:textId="77777777" w:rsidR="00E62982" w:rsidRPr="0028514E" w:rsidRDefault="00E62982" w:rsidP="006E5F9A">
      <w:pPr>
        <w:pStyle w:val="a4"/>
        <w:tabs>
          <w:tab w:val="left" w:pos="540"/>
        </w:tabs>
        <w:ind w:left="0"/>
      </w:pPr>
    </w:p>
    <w:p w14:paraId="177DAE28"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7.</w:t>
      </w:r>
      <w:r w:rsidRPr="00CA43F5">
        <w:rPr>
          <w:b/>
          <w:lang w:val="fi-FI"/>
        </w:rPr>
        <w:tab/>
        <w:t>MUU ERITYISVAROITUS (MUUT ERITYISVAROITUKSET), JOS TARPEEN</w:t>
      </w:r>
    </w:p>
    <w:p w14:paraId="4B8EF7F7" w14:textId="77777777" w:rsidR="003B7027" w:rsidRPr="0028514E" w:rsidRDefault="003B7027" w:rsidP="006E5F9A">
      <w:pPr>
        <w:pStyle w:val="a4"/>
        <w:tabs>
          <w:tab w:val="left" w:pos="540"/>
        </w:tabs>
        <w:ind w:left="0"/>
      </w:pPr>
    </w:p>
    <w:p w14:paraId="46CBAADA" w14:textId="77777777" w:rsidR="003B7027" w:rsidRPr="0028514E" w:rsidRDefault="003B7027" w:rsidP="006E5F9A">
      <w:pPr>
        <w:pStyle w:val="a4"/>
        <w:tabs>
          <w:tab w:val="left" w:pos="540"/>
        </w:tabs>
        <w:ind w:left="0"/>
      </w:pPr>
    </w:p>
    <w:p w14:paraId="0E664B29"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8.</w:t>
      </w:r>
      <w:r w:rsidRPr="00CA43F5">
        <w:rPr>
          <w:b/>
          <w:lang w:val="fi-FI"/>
        </w:rPr>
        <w:tab/>
        <w:t>VIIMEINEN KÄYTTÖPÄIVÄMÄÄRÄ</w:t>
      </w:r>
    </w:p>
    <w:p w14:paraId="055E0ED5" w14:textId="77777777" w:rsidR="003B7027" w:rsidRPr="0028514E" w:rsidRDefault="003B7027" w:rsidP="006E5F9A">
      <w:pPr>
        <w:pStyle w:val="a4"/>
        <w:tabs>
          <w:tab w:val="left" w:pos="540"/>
        </w:tabs>
        <w:ind w:left="0"/>
      </w:pPr>
    </w:p>
    <w:p w14:paraId="046BB7EE" w14:textId="77777777" w:rsidR="003B7027" w:rsidRPr="0028514E" w:rsidRDefault="00296A74" w:rsidP="006E5F9A">
      <w:pPr>
        <w:pStyle w:val="a4"/>
        <w:tabs>
          <w:tab w:val="left" w:pos="540"/>
        </w:tabs>
        <w:ind w:left="0"/>
      </w:pPr>
      <w:r w:rsidRPr="0028514E">
        <w:t>Käyt. viim.</w:t>
      </w:r>
    </w:p>
    <w:p w14:paraId="337BE1EE" w14:textId="77777777" w:rsidR="00EB5DDD" w:rsidRPr="0028514E" w:rsidRDefault="00EB5DDD" w:rsidP="006E5F9A">
      <w:pPr>
        <w:pStyle w:val="a4"/>
        <w:tabs>
          <w:tab w:val="left" w:pos="540"/>
        </w:tabs>
        <w:ind w:left="0"/>
      </w:pPr>
    </w:p>
    <w:p w14:paraId="32973157" w14:textId="77777777" w:rsidR="00E62982" w:rsidRPr="0028514E" w:rsidRDefault="00E62982" w:rsidP="006E5F9A">
      <w:pPr>
        <w:pStyle w:val="a4"/>
        <w:tabs>
          <w:tab w:val="left" w:pos="540"/>
        </w:tabs>
        <w:ind w:left="0"/>
      </w:pPr>
    </w:p>
    <w:p w14:paraId="6D4CB430"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9.</w:t>
      </w:r>
      <w:r w:rsidRPr="00CA43F5">
        <w:rPr>
          <w:b/>
          <w:lang w:val="fi-FI"/>
        </w:rPr>
        <w:tab/>
        <w:t>ERITYISET SÄILYTYSOLOSUHTEET</w:t>
      </w:r>
    </w:p>
    <w:p w14:paraId="32A9909F" w14:textId="77777777" w:rsidR="003B7027" w:rsidRPr="0028514E" w:rsidRDefault="003B7027" w:rsidP="006E5F9A">
      <w:pPr>
        <w:pStyle w:val="a4"/>
        <w:tabs>
          <w:tab w:val="left" w:pos="540"/>
        </w:tabs>
        <w:ind w:left="0"/>
      </w:pPr>
    </w:p>
    <w:p w14:paraId="33E2A6AD" w14:textId="77777777" w:rsidR="0061560B" w:rsidRDefault="00296A74" w:rsidP="006E5F9A">
      <w:pPr>
        <w:pStyle w:val="a4"/>
        <w:tabs>
          <w:tab w:val="left" w:pos="540"/>
        </w:tabs>
        <w:ind w:left="0"/>
        <w:rPr>
          <w:rFonts w:eastAsia="맑은 고딕"/>
          <w:lang w:eastAsia="ko-KR"/>
        </w:rPr>
      </w:pPr>
      <w:r w:rsidRPr="0028514E">
        <w:t xml:space="preserve">Säilytä jääkaapissa </w:t>
      </w:r>
    </w:p>
    <w:p w14:paraId="2E1DEEEB" w14:textId="2E454E89" w:rsidR="003B7027" w:rsidRPr="0028514E" w:rsidRDefault="00296A74" w:rsidP="006E5F9A">
      <w:pPr>
        <w:pStyle w:val="a4"/>
        <w:tabs>
          <w:tab w:val="left" w:pos="540"/>
        </w:tabs>
        <w:ind w:left="0"/>
      </w:pPr>
      <w:r w:rsidRPr="0028514E">
        <w:t>Ei saa jäätyä</w:t>
      </w:r>
    </w:p>
    <w:p w14:paraId="79984A37" w14:textId="6365948B" w:rsidR="003B7027" w:rsidRPr="0028514E" w:rsidRDefault="00296A74">
      <w:pPr>
        <w:pStyle w:val="a4"/>
        <w:tabs>
          <w:tab w:val="left" w:pos="540"/>
        </w:tabs>
        <w:ind w:left="0"/>
      </w:pPr>
      <w:r w:rsidRPr="0028514E">
        <w:lastRenderedPageBreak/>
        <w:t>Pidä injektiopullo ulkopakkauksessa.</w:t>
      </w:r>
      <w:r w:rsidR="000B049C">
        <w:rPr>
          <w:rFonts w:eastAsia="맑은 고딕" w:hint="eastAsia"/>
          <w:lang w:eastAsia="ko-KR"/>
        </w:rPr>
        <w:t xml:space="preserve"> </w:t>
      </w:r>
      <w:r w:rsidRPr="0028514E">
        <w:t>Herkkä valolle</w:t>
      </w:r>
    </w:p>
    <w:p w14:paraId="626417DD" w14:textId="77777777" w:rsidR="003B7027" w:rsidRPr="0028514E" w:rsidRDefault="003B7027" w:rsidP="006E5F9A">
      <w:pPr>
        <w:pStyle w:val="a4"/>
        <w:tabs>
          <w:tab w:val="left" w:pos="540"/>
        </w:tabs>
        <w:ind w:left="0"/>
      </w:pPr>
    </w:p>
    <w:p w14:paraId="34F46B1A" w14:textId="77777777" w:rsidR="00E62982" w:rsidRPr="0028514E" w:rsidRDefault="00E62982" w:rsidP="006E5F9A">
      <w:pPr>
        <w:pStyle w:val="a4"/>
        <w:tabs>
          <w:tab w:val="left" w:pos="540"/>
        </w:tabs>
        <w:ind w:left="0"/>
      </w:pPr>
    </w:p>
    <w:p w14:paraId="1FBD9AEA"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10.</w:t>
      </w:r>
      <w:r w:rsidRPr="00CA43F5">
        <w:rPr>
          <w:b/>
          <w:lang w:val="fi-FI"/>
        </w:rPr>
        <w:tab/>
        <w:t>ERITYISET VAROTOIMET KÄYTTÄMÄTTÖMIEN LÄÄKEVALMISTEIDEN TAI NIISTÄ PERÄISIN OLEVAN JÄTEMATERIAALIN HÄVITTÄMISEKSI, JOS TARPEEN</w:t>
      </w:r>
    </w:p>
    <w:p w14:paraId="47ECCE03" w14:textId="77777777" w:rsidR="003B7027" w:rsidRPr="0028514E" w:rsidRDefault="003B7027" w:rsidP="006E5F9A">
      <w:pPr>
        <w:pStyle w:val="a4"/>
        <w:tabs>
          <w:tab w:val="left" w:pos="540"/>
        </w:tabs>
        <w:ind w:left="0"/>
      </w:pPr>
    </w:p>
    <w:p w14:paraId="62A81C1C" w14:textId="77777777" w:rsidR="003B7027" w:rsidRPr="0028514E" w:rsidRDefault="003B7027" w:rsidP="006E5F9A">
      <w:pPr>
        <w:pStyle w:val="a4"/>
        <w:tabs>
          <w:tab w:val="left" w:pos="540"/>
        </w:tabs>
        <w:ind w:left="0"/>
      </w:pPr>
    </w:p>
    <w:p w14:paraId="664B41E6"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11.</w:t>
      </w:r>
      <w:r w:rsidRPr="00CA43F5">
        <w:rPr>
          <w:b/>
          <w:lang w:val="fi-FI"/>
        </w:rPr>
        <w:tab/>
        <w:t>MYYNTILUVAN HALTIJAN NIMI JA OSOITE</w:t>
      </w:r>
    </w:p>
    <w:p w14:paraId="702C0BB0" w14:textId="77777777" w:rsidR="003B7027" w:rsidRPr="0028514E" w:rsidRDefault="003B7027" w:rsidP="006E5F9A">
      <w:pPr>
        <w:pStyle w:val="a4"/>
        <w:tabs>
          <w:tab w:val="left" w:pos="540"/>
        </w:tabs>
        <w:ind w:left="0"/>
      </w:pPr>
    </w:p>
    <w:p w14:paraId="5EA7D449" w14:textId="77777777" w:rsidR="00EE1020" w:rsidRPr="00CA43F5" w:rsidRDefault="00EE1020" w:rsidP="00EE1020">
      <w:pPr>
        <w:keepNext/>
        <w:rPr>
          <w:lang w:val="fi-FI"/>
        </w:rPr>
      </w:pPr>
      <w:r w:rsidRPr="00CA43F5">
        <w:rPr>
          <w:lang w:val="fi-FI"/>
        </w:rPr>
        <w:t xml:space="preserve">Celltrion Healthcare Hungary Kft. </w:t>
      </w:r>
    </w:p>
    <w:p w14:paraId="6787E5BC" w14:textId="77777777" w:rsidR="00EE1020" w:rsidRPr="00020C6B" w:rsidRDefault="00EE1020" w:rsidP="00EE1020">
      <w:pPr>
        <w:keepNext/>
      </w:pPr>
      <w:r w:rsidRPr="00020C6B">
        <w:t>1062 Budapest</w:t>
      </w:r>
    </w:p>
    <w:p w14:paraId="638548BE" w14:textId="77777777" w:rsidR="00EE1020" w:rsidRPr="00020C6B" w:rsidRDefault="00EE1020" w:rsidP="00EE1020">
      <w:pPr>
        <w:keepNext/>
      </w:pPr>
      <w:r w:rsidRPr="00020C6B">
        <w:t xml:space="preserve">Váci </w:t>
      </w:r>
      <w:proofErr w:type="spellStart"/>
      <w:r w:rsidRPr="00020C6B">
        <w:t>út</w:t>
      </w:r>
      <w:proofErr w:type="spellEnd"/>
      <w:r w:rsidRPr="00020C6B">
        <w:t xml:space="preserve"> 1-3. </w:t>
      </w:r>
      <w:proofErr w:type="spellStart"/>
      <w:r w:rsidRPr="00020C6B">
        <w:t>WestEnd</w:t>
      </w:r>
      <w:proofErr w:type="spellEnd"/>
      <w:r w:rsidRPr="00020C6B">
        <w:t xml:space="preserve"> Office Building B </w:t>
      </w:r>
      <w:proofErr w:type="spellStart"/>
      <w:r w:rsidRPr="00020C6B">
        <w:t>torony</w:t>
      </w:r>
      <w:proofErr w:type="spellEnd"/>
    </w:p>
    <w:p w14:paraId="662BED52" w14:textId="0BB06E6A" w:rsidR="003B7027" w:rsidRPr="0028514E" w:rsidRDefault="00EE1020" w:rsidP="006E5F9A">
      <w:pPr>
        <w:pStyle w:val="a4"/>
        <w:tabs>
          <w:tab w:val="left" w:pos="540"/>
        </w:tabs>
        <w:ind w:left="0"/>
      </w:pPr>
      <w:r>
        <w:t>Unkari</w:t>
      </w:r>
    </w:p>
    <w:p w14:paraId="3E3C5521" w14:textId="77777777" w:rsidR="003B7027" w:rsidRPr="0028514E" w:rsidRDefault="003B7027" w:rsidP="006E5F9A">
      <w:pPr>
        <w:pStyle w:val="a4"/>
        <w:tabs>
          <w:tab w:val="left" w:pos="540"/>
        </w:tabs>
        <w:ind w:left="0"/>
      </w:pPr>
    </w:p>
    <w:p w14:paraId="2B9AB3DF" w14:textId="77777777" w:rsidR="00E62982" w:rsidRPr="0028514E" w:rsidRDefault="00E62982" w:rsidP="006E5F9A">
      <w:pPr>
        <w:pStyle w:val="a4"/>
        <w:tabs>
          <w:tab w:val="left" w:pos="540"/>
        </w:tabs>
        <w:ind w:left="0"/>
      </w:pPr>
    </w:p>
    <w:p w14:paraId="68F34687"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12.</w:t>
      </w:r>
      <w:r w:rsidRPr="00CA43F5">
        <w:rPr>
          <w:b/>
          <w:lang w:val="fi-FI"/>
        </w:rPr>
        <w:tab/>
        <w:t>MYYNTILUVAN NUMERO(T)</w:t>
      </w:r>
    </w:p>
    <w:p w14:paraId="57E5A50C" w14:textId="77777777" w:rsidR="003B7027" w:rsidRPr="0028514E" w:rsidRDefault="003B7027" w:rsidP="006E5F9A">
      <w:pPr>
        <w:pStyle w:val="a4"/>
        <w:tabs>
          <w:tab w:val="left" w:pos="540"/>
        </w:tabs>
        <w:ind w:left="0"/>
      </w:pPr>
    </w:p>
    <w:p w14:paraId="7D5B4B77" w14:textId="5CBBDA9F" w:rsidR="00EE1020" w:rsidRPr="00CA43F5" w:rsidRDefault="00EE1020" w:rsidP="00EE1020">
      <w:pPr>
        <w:keepNext/>
        <w:rPr>
          <w:lang w:val="fi-FI"/>
        </w:rPr>
      </w:pPr>
      <w:r w:rsidRPr="00CA43F5">
        <w:rPr>
          <w:lang w:val="fi-FI"/>
        </w:rPr>
        <w:t>EU/</w:t>
      </w:r>
      <w:r w:rsidR="006264CA" w:rsidRPr="00F458BB">
        <w:rPr>
          <w:spacing w:val="-1"/>
          <w:lang w:val="pt-BR"/>
        </w:rPr>
        <w:t>1/24/1896/00</w:t>
      </w:r>
      <w:r w:rsidR="006264CA">
        <w:rPr>
          <w:rFonts w:eastAsia="맑은 고딕" w:hint="eastAsia"/>
          <w:spacing w:val="-1"/>
          <w:lang w:val="pt-BR" w:eastAsia="ko-KR"/>
        </w:rPr>
        <w:t>1</w:t>
      </w:r>
      <w:r w:rsidR="006264CA">
        <w:rPr>
          <w:lang w:val="fi-FI"/>
        </w:rPr>
        <w:t xml:space="preserve"> 1 injektiopullo</w:t>
      </w:r>
    </w:p>
    <w:p w14:paraId="48B3C876" w14:textId="2DBEFB40" w:rsidR="003B7027" w:rsidRPr="00E919A5" w:rsidRDefault="00EE1020" w:rsidP="006E5F9A">
      <w:pPr>
        <w:pStyle w:val="a4"/>
        <w:tabs>
          <w:tab w:val="left" w:pos="540"/>
        </w:tabs>
        <w:ind w:left="0"/>
      </w:pPr>
      <w:r w:rsidRPr="00E919A5">
        <w:t>EU/</w:t>
      </w:r>
      <w:r w:rsidR="006264CA" w:rsidRPr="00F458BB">
        <w:rPr>
          <w:spacing w:val="-1"/>
          <w:lang w:val="pt-BR"/>
        </w:rPr>
        <w:t>1/24/1896/00</w:t>
      </w:r>
      <w:r w:rsidR="006264CA">
        <w:rPr>
          <w:rFonts w:eastAsia="맑은 고딕"/>
          <w:spacing w:val="-1"/>
          <w:lang w:val="pt-BR" w:eastAsia="ko-KR"/>
        </w:rPr>
        <w:t>2</w:t>
      </w:r>
      <w:r w:rsidR="00662A9B">
        <w:rPr>
          <w:rFonts w:eastAsia="맑은 고딕"/>
          <w:spacing w:val="-1"/>
          <w:lang w:val="pt-BR" w:eastAsia="ko-KR"/>
        </w:rPr>
        <w:t xml:space="preserve"> </w:t>
      </w:r>
      <w:r w:rsidR="006264CA" w:rsidRPr="00E919A5">
        <w:t>4 injektiopulloa</w:t>
      </w:r>
    </w:p>
    <w:p w14:paraId="341E367A" w14:textId="77777777" w:rsidR="003B7027" w:rsidRPr="00E919A5" w:rsidRDefault="003B7027" w:rsidP="006E5F9A">
      <w:pPr>
        <w:pStyle w:val="a4"/>
        <w:tabs>
          <w:tab w:val="left" w:pos="540"/>
        </w:tabs>
        <w:ind w:left="0"/>
      </w:pPr>
    </w:p>
    <w:p w14:paraId="061CB779" w14:textId="77777777" w:rsidR="00E62982" w:rsidRPr="00E919A5" w:rsidRDefault="00E62982" w:rsidP="006E5F9A">
      <w:pPr>
        <w:pStyle w:val="a4"/>
        <w:tabs>
          <w:tab w:val="left" w:pos="540"/>
        </w:tabs>
        <w:ind w:left="0"/>
      </w:pPr>
    </w:p>
    <w:p w14:paraId="16B74592"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 w:val="left" w:pos="724"/>
        </w:tabs>
        <w:spacing w:before="1"/>
        <w:rPr>
          <w:b/>
          <w:lang w:val="fi-FI"/>
        </w:rPr>
      </w:pPr>
      <w:r w:rsidRPr="00CA43F5">
        <w:rPr>
          <w:b/>
          <w:lang w:val="fi-FI"/>
        </w:rPr>
        <w:t>13.</w:t>
      </w:r>
      <w:r w:rsidRPr="00CA43F5">
        <w:rPr>
          <w:b/>
          <w:lang w:val="fi-FI"/>
        </w:rPr>
        <w:tab/>
        <w:t>ERÄNUMERO</w:t>
      </w:r>
    </w:p>
    <w:p w14:paraId="0FF4B6C0" w14:textId="77777777" w:rsidR="003B7027" w:rsidRPr="0028514E" w:rsidRDefault="003B7027" w:rsidP="006E5F9A">
      <w:pPr>
        <w:pStyle w:val="a4"/>
        <w:tabs>
          <w:tab w:val="left" w:pos="540"/>
        </w:tabs>
        <w:ind w:left="0"/>
      </w:pPr>
    </w:p>
    <w:p w14:paraId="3A13ACE1" w14:textId="12B998E6" w:rsidR="003B7027" w:rsidRPr="0028514E" w:rsidRDefault="00030FA5" w:rsidP="006E5F9A">
      <w:pPr>
        <w:pStyle w:val="a4"/>
        <w:tabs>
          <w:tab w:val="left" w:pos="540"/>
        </w:tabs>
        <w:ind w:left="0"/>
      </w:pPr>
      <w:r>
        <w:t>Erä</w:t>
      </w:r>
    </w:p>
    <w:p w14:paraId="1FDC185F" w14:textId="77777777" w:rsidR="003B7027" w:rsidRPr="0028514E" w:rsidRDefault="003B7027" w:rsidP="006E5F9A">
      <w:pPr>
        <w:pStyle w:val="a4"/>
        <w:tabs>
          <w:tab w:val="left" w:pos="540"/>
        </w:tabs>
        <w:ind w:left="0"/>
      </w:pPr>
    </w:p>
    <w:p w14:paraId="599FA5D0" w14:textId="77777777" w:rsidR="00E62982" w:rsidRPr="0028514E" w:rsidRDefault="00E62982" w:rsidP="006E5F9A">
      <w:pPr>
        <w:pStyle w:val="a4"/>
        <w:tabs>
          <w:tab w:val="left" w:pos="540"/>
        </w:tabs>
        <w:ind w:left="0"/>
      </w:pPr>
    </w:p>
    <w:p w14:paraId="5CA90A55"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14.</w:t>
      </w:r>
      <w:r w:rsidRPr="00CA43F5">
        <w:rPr>
          <w:b/>
          <w:lang w:val="fi-FI"/>
        </w:rPr>
        <w:tab/>
        <w:t>YLEINEN TOIMITTAMISLUOKITTELU</w:t>
      </w:r>
    </w:p>
    <w:p w14:paraId="5BFE3CB0" w14:textId="77777777" w:rsidR="003B7027" w:rsidRPr="0028514E" w:rsidRDefault="003B7027" w:rsidP="006E5F9A">
      <w:pPr>
        <w:pStyle w:val="a4"/>
        <w:tabs>
          <w:tab w:val="left" w:pos="540"/>
        </w:tabs>
        <w:ind w:left="0"/>
      </w:pPr>
    </w:p>
    <w:p w14:paraId="436B15A9" w14:textId="77777777" w:rsidR="003B7027" w:rsidRPr="00237A3E" w:rsidRDefault="00296A74" w:rsidP="00CA43F5">
      <w:pPr>
        <w:rPr>
          <w:rFonts w:eastAsia="DengXian"/>
          <w:highlight w:val="lightGray"/>
          <w:lang w:val="fi-FI"/>
        </w:rPr>
      </w:pPr>
      <w:r w:rsidRPr="00237A3E">
        <w:rPr>
          <w:rFonts w:eastAsia="DengXian"/>
          <w:highlight w:val="lightGray"/>
          <w:lang w:val="fi-FI"/>
        </w:rPr>
        <w:t>Reseptilääke</w:t>
      </w:r>
    </w:p>
    <w:p w14:paraId="7E2AD98B" w14:textId="77777777" w:rsidR="003B7027" w:rsidRPr="0028514E" w:rsidRDefault="003B7027" w:rsidP="006E5F9A">
      <w:pPr>
        <w:pStyle w:val="a4"/>
        <w:tabs>
          <w:tab w:val="left" w:pos="540"/>
        </w:tabs>
        <w:ind w:left="0"/>
      </w:pPr>
    </w:p>
    <w:p w14:paraId="4CE8B1F1" w14:textId="77777777" w:rsidR="00E62982" w:rsidRPr="0028514E" w:rsidRDefault="00E62982" w:rsidP="006E5F9A">
      <w:pPr>
        <w:pStyle w:val="a4"/>
        <w:tabs>
          <w:tab w:val="left" w:pos="540"/>
        </w:tabs>
        <w:ind w:left="0"/>
      </w:pPr>
    </w:p>
    <w:p w14:paraId="15FF3B8D"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15.</w:t>
      </w:r>
      <w:r w:rsidRPr="00CA43F5">
        <w:rPr>
          <w:b/>
          <w:lang w:val="fi-FI"/>
        </w:rPr>
        <w:tab/>
        <w:t>KÄYTTÖOHJEET</w:t>
      </w:r>
    </w:p>
    <w:p w14:paraId="7B9C5142" w14:textId="77777777" w:rsidR="003B7027" w:rsidRPr="0028514E" w:rsidRDefault="003B7027" w:rsidP="006E5F9A">
      <w:pPr>
        <w:pStyle w:val="a4"/>
        <w:tabs>
          <w:tab w:val="left" w:pos="540"/>
        </w:tabs>
        <w:ind w:left="0"/>
      </w:pPr>
    </w:p>
    <w:p w14:paraId="36E6444B" w14:textId="77777777" w:rsidR="003B7027" w:rsidRPr="0028514E" w:rsidRDefault="003B7027" w:rsidP="006E5F9A">
      <w:pPr>
        <w:pStyle w:val="a4"/>
        <w:tabs>
          <w:tab w:val="left" w:pos="540"/>
        </w:tabs>
        <w:ind w:left="0"/>
      </w:pPr>
    </w:p>
    <w:p w14:paraId="3AD6B9B4"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16.</w:t>
      </w:r>
      <w:r w:rsidRPr="00CA43F5">
        <w:rPr>
          <w:b/>
          <w:lang w:val="fi-FI"/>
        </w:rPr>
        <w:tab/>
        <w:t>TIEDOT PISTEKIRJOITUKSELLA</w:t>
      </w:r>
    </w:p>
    <w:p w14:paraId="5A9EFAAB" w14:textId="77777777" w:rsidR="003B7027" w:rsidRPr="0028514E" w:rsidRDefault="003B7027" w:rsidP="006E5F9A">
      <w:pPr>
        <w:pStyle w:val="a4"/>
        <w:tabs>
          <w:tab w:val="left" w:pos="540"/>
        </w:tabs>
        <w:ind w:left="0"/>
      </w:pPr>
    </w:p>
    <w:p w14:paraId="3901B3FD" w14:textId="0CFB0E60" w:rsidR="003B7027" w:rsidRDefault="00D315AE" w:rsidP="00D315AE">
      <w:pPr>
        <w:rPr>
          <w:rFonts w:eastAsia="DengXian"/>
          <w:highlight w:val="lightGray"/>
          <w:lang w:val="fi-FI"/>
        </w:rPr>
      </w:pPr>
      <w:r>
        <w:rPr>
          <w:rFonts w:eastAsia="DengXian"/>
          <w:highlight w:val="lightGray"/>
          <w:lang w:val="fi-FI"/>
        </w:rPr>
        <w:t>Vapautettu pistekirjoituksesta</w:t>
      </w:r>
    </w:p>
    <w:p w14:paraId="1162C80E" w14:textId="77777777" w:rsidR="00E62982" w:rsidRPr="0028514E" w:rsidRDefault="00E62982" w:rsidP="006E5F9A">
      <w:pPr>
        <w:pStyle w:val="a4"/>
        <w:tabs>
          <w:tab w:val="left" w:pos="540"/>
        </w:tabs>
        <w:ind w:left="0"/>
      </w:pPr>
    </w:p>
    <w:p w14:paraId="15A17E15"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17.</w:t>
      </w:r>
      <w:r w:rsidRPr="00CA43F5">
        <w:rPr>
          <w:b/>
          <w:lang w:val="fi-FI"/>
        </w:rPr>
        <w:tab/>
        <w:t>YKSILÖLLINEN TUNNISTE – 2D-VIIVAKOODI</w:t>
      </w:r>
    </w:p>
    <w:p w14:paraId="6F6E998F" w14:textId="77777777" w:rsidR="003B7027" w:rsidRPr="0028514E" w:rsidRDefault="003B7027" w:rsidP="006E5F9A">
      <w:pPr>
        <w:pStyle w:val="a4"/>
        <w:tabs>
          <w:tab w:val="left" w:pos="540"/>
        </w:tabs>
        <w:ind w:left="0"/>
      </w:pPr>
    </w:p>
    <w:p w14:paraId="0105EA0E" w14:textId="77777777" w:rsidR="003B7027" w:rsidRPr="00237A3E" w:rsidRDefault="00296A74" w:rsidP="00CA43F5">
      <w:pPr>
        <w:rPr>
          <w:rFonts w:eastAsia="DengXian"/>
          <w:highlight w:val="lightGray"/>
          <w:lang w:val="fi-FI"/>
        </w:rPr>
      </w:pPr>
      <w:r w:rsidRPr="00237A3E">
        <w:rPr>
          <w:rFonts w:eastAsia="DengXian"/>
          <w:highlight w:val="lightGray"/>
          <w:lang w:val="fi-FI"/>
        </w:rPr>
        <w:t>&lt;2D-viivakoodi, joka sisältää yksilöllisen tunnisteen.&gt;</w:t>
      </w:r>
    </w:p>
    <w:p w14:paraId="5AF0CC2A" w14:textId="77777777" w:rsidR="003B7027" w:rsidRPr="0028514E" w:rsidRDefault="003B7027" w:rsidP="006E5F9A">
      <w:pPr>
        <w:pStyle w:val="a4"/>
        <w:tabs>
          <w:tab w:val="left" w:pos="540"/>
        </w:tabs>
        <w:ind w:left="0"/>
      </w:pPr>
    </w:p>
    <w:p w14:paraId="62D5401F" w14:textId="77777777" w:rsidR="00E62982" w:rsidRPr="0028514E" w:rsidRDefault="00E62982" w:rsidP="006E5F9A">
      <w:pPr>
        <w:pStyle w:val="a4"/>
        <w:tabs>
          <w:tab w:val="left" w:pos="540"/>
        </w:tabs>
        <w:ind w:left="0"/>
      </w:pPr>
    </w:p>
    <w:p w14:paraId="2A09DAE7"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18.</w:t>
      </w:r>
      <w:r w:rsidRPr="00CA43F5">
        <w:rPr>
          <w:b/>
          <w:lang w:val="fi-FI"/>
        </w:rPr>
        <w:tab/>
        <w:t>YKSILÖLLINEN TUNNISTE – LUETTAVISSA OLEVAT TIEDOT</w:t>
      </w:r>
    </w:p>
    <w:p w14:paraId="571F8A23" w14:textId="77777777" w:rsidR="003B7027" w:rsidRPr="0028514E" w:rsidRDefault="003B7027" w:rsidP="006E5F9A">
      <w:pPr>
        <w:pStyle w:val="a4"/>
        <w:tabs>
          <w:tab w:val="left" w:pos="540"/>
        </w:tabs>
        <w:ind w:left="0"/>
      </w:pPr>
    </w:p>
    <w:p w14:paraId="70033FB9" w14:textId="77777777" w:rsidR="00E62982" w:rsidRPr="0028514E" w:rsidRDefault="00296A74" w:rsidP="006E5F9A">
      <w:pPr>
        <w:pStyle w:val="a4"/>
        <w:tabs>
          <w:tab w:val="left" w:pos="540"/>
        </w:tabs>
        <w:ind w:left="0"/>
      </w:pPr>
      <w:r w:rsidRPr="0028514E">
        <w:t>PC</w:t>
      </w:r>
    </w:p>
    <w:p w14:paraId="47B08256" w14:textId="77777777" w:rsidR="00E62982" w:rsidRPr="0028514E" w:rsidRDefault="00296A74" w:rsidP="006E5F9A">
      <w:pPr>
        <w:pStyle w:val="a4"/>
        <w:tabs>
          <w:tab w:val="left" w:pos="540"/>
        </w:tabs>
        <w:ind w:left="0"/>
      </w:pPr>
      <w:r w:rsidRPr="0028514E">
        <w:t>SN</w:t>
      </w:r>
    </w:p>
    <w:p w14:paraId="5984E6E5" w14:textId="77777777" w:rsidR="003B7027" w:rsidRPr="0028514E" w:rsidRDefault="00296A74" w:rsidP="006E5F9A">
      <w:pPr>
        <w:pStyle w:val="a4"/>
        <w:tabs>
          <w:tab w:val="left" w:pos="540"/>
        </w:tabs>
        <w:ind w:left="0"/>
      </w:pPr>
      <w:r w:rsidRPr="003F07A8">
        <w:rPr>
          <w:highlight w:val="lightGray"/>
        </w:rPr>
        <w:t>NN</w:t>
      </w:r>
    </w:p>
    <w:p w14:paraId="7FE6B4FA" w14:textId="127EB586" w:rsidR="00C119F3" w:rsidRPr="00CA43F5" w:rsidRDefault="00E62982" w:rsidP="00EA2A65">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CA43F5">
        <w:rPr>
          <w:lang w:val="fi-FI"/>
        </w:rPr>
        <w:br w:type="page"/>
      </w:r>
      <w:r w:rsidR="00C119F3" w:rsidRPr="00CA43F5">
        <w:rPr>
          <w:b/>
          <w:lang w:val="fi-FI"/>
        </w:rPr>
        <w:lastRenderedPageBreak/>
        <w:t>ULKOPAKKAUKSESSA ON OLTAVA SEURAAVAT MERKINNÄT</w:t>
      </w:r>
    </w:p>
    <w:p w14:paraId="02B5C225" w14:textId="2206893C" w:rsidR="003B7027" w:rsidRPr="00CA43F5" w:rsidRDefault="00C119F3" w:rsidP="00EA2A65">
      <w:pPr>
        <w:pBdr>
          <w:top w:val="single" w:sz="4" w:space="1" w:color="000000"/>
          <w:left w:val="single" w:sz="4" w:space="4" w:color="000000"/>
          <w:bottom w:val="single" w:sz="4" w:space="1" w:color="000000"/>
          <w:right w:val="single" w:sz="4" w:space="4" w:color="000000"/>
        </w:pBdr>
        <w:tabs>
          <w:tab w:val="left" w:pos="540"/>
        </w:tabs>
        <w:rPr>
          <w:lang w:val="fi-FI"/>
        </w:rPr>
      </w:pPr>
      <w:r w:rsidRPr="00CA43F5">
        <w:rPr>
          <w:b/>
          <w:lang w:val="fi-FI"/>
        </w:rPr>
        <w:t>KOTELO</w:t>
      </w:r>
    </w:p>
    <w:p w14:paraId="11E5ABA8" w14:textId="77777777" w:rsidR="00E62982" w:rsidRDefault="00E62982" w:rsidP="006E5F9A">
      <w:pPr>
        <w:pStyle w:val="a4"/>
        <w:tabs>
          <w:tab w:val="left" w:pos="540"/>
        </w:tabs>
        <w:ind w:left="0"/>
      </w:pPr>
    </w:p>
    <w:p w14:paraId="6B572F2B" w14:textId="77777777" w:rsidR="000F5A9F" w:rsidRPr="0028514E" w:rsidRDefault="000F5A9F" w:rsidP="006E5F9A">
      <w:pPr>
        <w:pStyle w:val="a4"/>
        <w:tabs>
          <w:tab w:val="left" w:pos="540"/>
        </w:tabs>
        <w:ind w:left="0"/>
      </w:pPr>
    </w:p>
    <w:p w14:paraId="32F717F0"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w:t>
      </w:r>
      <w:r w:rsidRPr="00CA43F5">
        <w:rPr>
          <w:b/>
          <w:lang w:val="fi-FI"/>
        </w:rPr>
        <w:tab/>
        <w:t>LÄÄKEVALMISTEEN NIMI</w:t>
      </w:r>
    </w:p>
    <w:p w14:paraId="4C5E1CBE" w14:textId="77777777" w:rsidR="003B7027" w:rsidRPr="0028514E" w:rsidRDefault="003B7027" w:rsidP="006E5F9A">
      <w:pPr>
        <w:pStyle w:val="a4"/>
        <w:tabs>
          <w:tab w:val="left" w:pos="540"/>
        </w:tabs>
        <w:ind w:left="0"/>
      </w:pPr>
    </w:p>
    <w:p w14:paraId="52539E4E" w14:textId="14BB3DAF" w:rsidR="009B2466" w:rsidRDefault="00EE1020" w:rsidP="006E5F9A">
      <w:pPr>
        <w:pStyle w:val="a4"/>
        <w:tabs>
          <w:tab w:val="left" w:pos="540"/>
        </w:tabs>
        <w:ind w:left="0"/>
        <w:rPr>
          <w:rFonts w:eastAsia="맑은 고딕"/>
          <w:lang w:eastAsia="ko-KR"/>
        </w:rPr>
      </w:pPr>
      <w:r>
        <w:t>Avtozma</w:t>
      </w:r>
      <w:r w:rsidRPr="0028514E">
        <w:t xml:space="preserve"> </w:t>
      </w:r>
      <w:r w:rsidR="00296A74" w:rsidRPr="0028514E">
        <w:t xml:space="preserve">20 mg/ml infuusiokonsentraatti, liuosta varten </w:t>
      </w:r>
    </w:p>
    <w:p w14:paraId="51817499" w14:textId="5FD3904C" w:rsidR="003B7027" w:rsidRPr="0028514E" w:rsidRDefault="00296A74" w:rsidP="006E5F9A">
      <w:pPr>
        <w:pStyle w:val="a4"/>
        <w:tabs>
          <w:tab w:val="left" w:pos="540"/>
        </w:tabs>
        <w:ind w:left="0"/>
      </w:pPr>
      <w:r w:rsidRPr="0028514E">
        <w:t>tosilitsumabi</w:t>
      </w:r>
    </w:p>
    <w:p w14:paraId="6E62E7AC" w14:textId="77777777" w:rsidR="003B7027" w:rsidRPr="0028514E" w:rsidRDefault="003B7027" w:rsidP="006E5F9A">
      <w:pPr>
        <w:pStyle w:val="a4"/>
        <w:tabs>
          <w:tab w:val="left" w:pos="540"/>
        </w:tabs>
        <w:ind w:left="0"/>
      </w:pPr>
    </w:p>
    <w:p w14:paraId="635EA65F" w14:textId="77777777" w:rsidR="00E62982" w:rsidRPr="0028514E" w:rsidRDefault="00E62982" w:rsidP="006E5F9A">
      <w:pPr>
        <w:pStyle w:val="a4"/>
        <w:tabs>
          <w:tab w:val="left" w:pos="540"/>
        </w:tabs>
        <w:ind w:left="0"/>
      </w:pPr>
    </w:p>
    <w:p w14:paraId="41217223"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2.</w:t>
      </w:r>
      <w:r w:rsidRPr="00CA43F5">
        <w:rPr>
          <w:b/>
          <w:lang w:val="fi-FI"/>
        </w:rPr>
        <w:tab/>
        <w:t>VAIKUTTAVA(T) AINE(ET)</w:t>
      </w:r>
    </w:p>
    <w:p w14:paraId="3B248A92" w14:textId="77777777" w:rsidR="003B7027" w:rsidRPr="0028514E" w:rsidRDefault="003B7027" w:rsidP="006E5F9A">
      <w:pPr>
        <w:pStyle w:val="a4"/>
        <w:tabs>
          <w:tab w:val="left" w:pos="540"/>
        </w:tabs>
        <w:ind w:left="0"/>
      </w:pPr>
    </w:p>
    <w:p w14:paraId="03E4E56D" w14:textId="77777777" w:rsidR="003B7027" w:rsidRPr="0028514E" w:rsidRDefault="00296A74" w:rsidP="006E5F9A">
      <w:pPr>
        <w:pStyle w:val="a4"/>
        <w:tabs>
          <w:tab w:val="left" w:pos="540"/>
        </w:tabs>
        <w:ind w:left="0"/>
      </w:pPr>
      <w:r w:rsidRPr="0028514E">
        <w:t>Yksi injektiopullo sisältää 200 mg tosilitsumabia.</w:t>
      </w:r>
    </w:p>
    <w:p w14:paraId="7F4226AA" w14:textId="77777777" w:rsidR="003B7027" w:rsidRPr="0028514E" w:rsidRDefault="003B7027" w:rsidP="006E5F9A">
      <w:pPr>
        <w:pStyle w:val="a4"/>
        <w:tabs>
          <w:tab w:val="left" w:pos="540"/>
        </w:tabs>
        <w:ind w:left="0"/>
      </w:pPr>
    </w:p>
    <w:p w14:paraId="27D23E12" w14:textId="77777777" w:rsidR="00E62982" w:rsidRPr="0028514E" w:rsidRDefault="00E62982" w:rsidP="006E5F9A">
      <w:pPr>
        <w:pStyle w:val="a4"/>
        <w:tabs>
          <w:tab w:val="left" w:pos="540"/>
        </w:tabs>
        <w:ind w:left="0"/>
      </w:pPr>
    </w:p>
    <w:p w14:paraId="47A40B2F"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3.</w:t>
      </w:r>
      <w:r w:rsidRPr="00CA43F5">
        <w:rPr>
          <w:b/>
          <w:lang w:val="fi-FI"/>
        </w:rPr>
        <w:tab/>
        <w:t>LUETTELO APUAINEISTA</w:t>
      </w:r>
    </w:p>
    <w:p w14:paraId="7B4DF152" w14:textId="77777777" w:rsidR="003B7027" w:rsidRPr="0028514E" w:rsidRDefault="003B7027" w:rsidP="006E5F9A">
      <w:pPr>
        <w:pStyle w:val="a4"/>
        <w:tabs>
          <w:tab w:val="left" w:pos="540"/>
        </w:tabs>
        <w:ind w:left="0"/>
      </w:pPr>
    </w:p>
    <w:p w14:paraId="45B03956" w14:textId="62FEDF42" w:rsidR="00EE1020" w:rsidRDefault="00EE1020" w:rsidP="006E5F9A">
      <w:pPr>
        <w:pStyle w:val="a4"/>
        <w:tabs>
          <w:tab w:val="left" w:pos="540"/>
        </w:tabs>
        <w:ind w:left="0"/>
      </w:pPr>
      <w:r>
        <w:t>Apuaineet: L‑histidiini,</w:t>
      </w:r>
      <w:r w:rsidR="00A5656C">
        <w:rPr>
          <w:rFonts w:eastAsia="맑은 고딕" w:hint="eastAsia"/>
          <w:lang w:eastAsia="ko-KR"/>
        </w:rPr>
        <w:t xml:space="preserve"> </w:t>
      </w:r>
      <w:r w:rsidR="00C26E34" w:rsidRPr="00C26E34">
        <w:rPr>
          <w:rFonts w:eastAsia="맑은 고딕" w:hint="eastAsia"/>
          <w:lang w:eastAsia="ko-KR"/>
        </w:rPr>
        <w:t>L-histidiinimonohydrokloridimonohydraatti</w:t>
      </w:r>
      <w:r w:rsidR="00A5656C">
        <w:rPr>
          <w:rFonts w:eastAsia="맑은 고딕" w:hint="eastAsia"/>
          <w:lang w:eastAsia="ko-KR"/>
        </w:rPr>
        <w:t>,</w:t>
      </w:r>
      <w:r>
        <w:t xml:space="preserve"> L‑treoniini, L‑metioniini, polysorbaatti 80 ja injektionesteisiin käytettävä vesi.</w:t>
      </w:r>
    </w:p>
    <w:p w14:paraId="782FE287" w14:textId="1538F8DF" w:rsidR="003B7027" w:rsidRPr="0028514E" w:rsidRDefault="00296A74" w:rsidP="006E5F9A">
      <w:pPr>
        <w:pStyle w:val="a4"/>
        <w:tabs>
          <w:tab w:val="left" w:pos="540"/>
        </w:tabs>
        <w:ind w:left="0"/>
      </w:pPr>
      <w:r w:rsidRPr="0028514E">
        <w:t>Katso lisätiedot pakkausselosteesta.</w:t>
      </w:r>
    </w:p>
    <w:p w14:paraId="60124C1A" w14:textId="77777777" w:rsidR="003B7027" w:rsidRPr="0028514E" w:rsidRDefault="003B7027" w:rsidP="006E5F9A">
      <w:pPr>
        <w:pStyle w:val="a4"/>
        <w:tabs>
          <w:tab w:val="left" w:pos="540"/>
        </w:tabs>
        <w:ind w:left="0"/>
      </w:pPr>
    </w:p>
    <w:p w14:paraId="38FE7369" w14:textId="77777777" w:rsidR="00E62982" w:rsidRPr="0028514E" w:rsidRDefault="00E62982" w:rsidP="006E5F9A">
      <w:pPr>
        <w:pStyle w:val="a4"/>
        <w:tabs>
          <w:tab w:val="left" w:pos="540"/>
        </w:tabs>
        <w:ind w:left="0"/>
      </w:pPr>
    </w:p>
    <w:p w14:paraId="149E678D"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4.</w:t>
      </w:r>
      <w:r w:rsidRPr="00CA43F5">
        <w:rPr>
          <w:b/>
          <w:lang w:val="fi-FI"/>
        </w:rPr>
        <w:tab/>
        <w:t>LÄÄKEMUOTO JA SISÄLLÖN MÄÄRÄ</w:t>
      </w:r>
    </w:p>
    <w:p w14:paraId="1BF74EFC" w14:textId="77777777" w:rsidR="003B7027" w:rsidRPr="0028514E" w:rsidRDefault="003B7027" w:rsidP="006E5F9A">
      <w:pPr>
        <w:pStyle w:val="a4"/>
        <w:tabs>
          <w:tab w:val="left" w:pos="540"/>
        </w:tabs>
        <w:ind w:left="0"/>
      </w:pPr>
    </w:p>
    <w:p w14:paraId="799DED50" w14:textId="77777777" w:rsidR="00E2372A" w:rsidRDefault="00296A74" w:rsidP="006E5F9A">
      <w:pPr>
        <w:pStyle w:val="a4"/>
        <w:tabs>
          <w:tab w:val="left" w:pos="540"/>
        </w:tabs>
        <w:ind w:left="0"/>
      </w:pPr>
      <w:r w:rsidRPr="0028514E">
        <w:t xml:space="preserve">Infuusiokonsentraatti, liuosta varten </w:t>
      </w:r>
    </w:p>
    <w:p w14:paraId="3AA6191D" w14:textId="77777777" w:rsidR="003B7027" w:rsidRPr="0028514E" w:rsidRDefault="00296A74" w:rsidP="006E5F9A">
      <w:pPr>
        <w:pStyle w:val="a4"/>
        <w:tabs>
          <w:tab w:val="left" w:pos="540"/>
        </w:tabs>
        <w:ind w:left="0"/>
      </w:pPr>
      <w:r w:rsidRPr="0028514E">
        <w:t>200 mg/10 ml</w:t>
      </w:r>
    </w:p>
    <w:p w14:paraId="111E3B8A" w14:textId="77777777" w:rsidR="003B7027" w:rsidRPr="0028514E" w:rsidRDefault="00296A74" w:rsidP="006E5F9A">
      <w:pPr>
        <w:pStyle w:val="a4"/>
        <w:tabs>
          <w:tab w:val="left" w:pos="540"/>
        </w:tabs>
        <w:ind w:left="0"/>
      </w:pPr>
      <w:r w:rsidRPr="0028514E">
        <w:t>1 injektiopullo à 10 ml</w:t>
      </w:r>
    </w:p>
    <w:p w14:paraId="4FDED3FB" w14:textId="77777777" w:rsidR="003B7027" w:rsidRPr="0028514E" w:rsidRDefault="00296A74" w:rsidP="006E5F9A">
      <w:pPr>
        <w:pStyle w:val="a4"/>
        <w:tabs>
          <w:tab w:val="left" w:pos="540"/>
        </w:tabs>
        <w:ind w:left="0"/>
      </w:pPr>
      <w:r w:rsidRPr="0028514E">
        <w:t>4 injektiopulloa à 10 ml</w:t>
      </w:r>
    </w:p>
    <w:p w14:paraId="32771C86" w14:textId="77777777" w:rsidR="003B7027" w:rsidRPr="0028514E" w:rsidRDefault="003B7027" w:rsidP="006E5F9A">
      <w:pPr>
        <w:pStyle w:val="a4"/>
        <w:tabs>
          <w:tab w:val="left" w:pos="540"/>
        </w:tabs>
        <w:ind w:left="0"/>
      </w:pPr>
    </w:p>
    <w:p w14:paraId="1E8E2071" w14:textId="77777777" w:rsidR="00E62982" w:rsidRPr="0028514E" w:rsidRDefault="00E62982" w:rsidP="006E5F9A">
      <w:pPr>
        <w:pStyle w:val="a4"/>
        <w:tabs>
          <w:tab w:val="left" w:pos="540"/>
        </w:tabs>
        <w:ind w:left="0"/>
      </w:pPr>
    </w:p>
    <w:p w14:paraId="4D7F47C5"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5.</w:t>
      </w:r>
      <w:r w:rsidRPr="00CA43F5">
        <w:rPr>
          <w:b/>
          <w:lang w:val="fi-FI"/>
        </w:rPr>
        <w:tab/>
        <w:t>ANTOTAPA JA TARVITTAESSA ANTOREITTI (ANTOREITIT)</w:t>
      </w:r>
    </w:p>
    <w:p w14:paraId="26F13DAA" w14:textId="77777777" w:rsidR="003B7027" w:rsidRPr="0028514E" w:rsidRDefault="003B7027" w:rsidP="006E5F9A">
      <w:pPr>
        <w:pStyle w:val="a4"/>
        <w:tabs>
          <w:tab w:val="left" w:pos="540"/>
        </w:tabs>
        <w:ind w:left="0"/>
      </w:pPr>
    </w:p>
    <w:p w14:paraId="0FD76838" w14:textId="77777777" w:rsidR="00E62982" w:rsidRPr="0028514E" w:rsidRDefault="00296A74" w:rsidP="006E5F9A">
      <w:pPr>
        <w:pStyle w:val="a4"/>
        <w:tabs>
          <w:tab w:val="left" w:pos="540"/>
        </w:tabs>
        <w:ind w:left="0"/>
      </w:pPr>
      <w:r w:rsidRPr="0028514E">
        <w:t>Laskimonsisäiseen infuusioon laimentamisen jälkeen</w:t>
      </w:r>
    </w:p>
    <w:p w14:paraId="55C5EE6E" w14:textId="77777777" w:rsidR="003B7027" w:rsidRPr="0028514E" w:rsidRDefault="00296A74" w:rsidP="006E5F9A">
      <w:pPr>
        <w:pStyle w:val="a4"/>
        <w:tabs>
          <w:tab w:val="left" w:pos="540"/>
        </w:tabs>
        <w:ind w:left="0"/>
      </w:pPr>
      <w:r w:rsidRPr="0028514E">
        <w:t>Laimennettu valmiste tulisi käyttää välittömästi</w:t>
      </w:r>
    </w:p>
    <w:p w14:paraId="2558D3BF" w14:textId="77777777" w:rsidR="003B7027" w:rsidRPr="0028514E" w:rsidRDefault="00296A74" w:rsidP="006E5F9A">
      <w:pPr>
        <w:pStyle w:val="a4"/>
        <w:tabs>
          <w:tab w:val="left" w:pos="540"/>
        </w:tabs>
        <w:ind w:left="0"/>
      </w:pPr>
      <w:r w:rsidRPr="0028514E">
        <w:t>Lue pakkausseloste ennen käyttöä</w:t>
      </w:r>
    </w:p>
    <w:p w14:paraId="5BBFFB6F" w14:textId="77777777" w:rsidR="003B7027" w:rsidRPr="0028514E" w:rsidRDefault="003B7027" w:rsidP="006E5F9A">
      <w:pPr>
        <w:pStyle w:val="a4"/>
        <w:tabs>
          <w:tab w:val="left" w:pos="540"/>
        </w:tabs>
        <w:ind w:left="0"/>
      </w:pPr>
    </w:p>
    <w:p w14:paraId="6F1DC23D" w14:textId="77777777" w:rsidR="00E62982" w:rsidRPr="0028514E" w:rsidRDefault="00E62982" w:rsidP="006E5F9A">
      <w:pPr>
        <w:pStyle w:val="a4"/>
        <w:tabs>
          <w:tab w:val="left" w:pos="540"/>
        </w:tabs>
        <w:ind w:left="0"/>
      </w:pPr>
    </w:p>
    <w:p w14:paraId="63B19418"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6.</w:t>
      </w:r>
      <w:r w:rsidRPr="00CA43F5">
        <w:rPr>
          <w:b/>
          <w:lang w:val="fi-FI"/>
        </w:rPr>
        <w:tab/>
        <w:t>ERITYISVAROITUS VALMISTEEN SÄILYTTÄMISESTÄ POISSA LASTEN ULOTTUVILTA JA NÄKYVILTÄ</w:t>
      </w:r>
    </w:p>
    <w:p w14:paraId="2E8B5953" w14:textId="77777777" w:rsidR="003B7027" w:rsidRPr="0028514E" w:rsidRDefault="003B7027" w:rsidP="006E5F9A">
      <w:pPr>
        <w:pStyle w:val="a4"/>
        <w:tabs>
          <w:tab w:val="left" w:pos="540"/>
        </w:tabs>
        <w:ind w:left="0"/>
      </w:pPr>
    </w:p>
    <w:p w14:paraId="32EEA19D" w14:textId="77777777" w:rsidR="003B7027" w:rsidRPr="0028514E" w:rsidRDefault="00296A74" w:rsidP="006E5F9A">
      <w:pPr>
        <w:pStyle w:val="a4"/>
        <w:tabs>
          <w:tab w:val="left" w:pos="540"/>
        </w:tabs>
        <w:ind w:left="0"/>
      </w:pPr>
      <w:r w:rsidRPr="0028514E">
        <w:t>Ei lasten ulottuville eikä näkyville</w:t>
      </w:r>
    </w:p>
    <w:p w14:paraId="07BAE36C" w14:textId="77777777" w:rsidR="003B7027" w:rsidRPr="0028514E" w:rsidRDefault="003B7027" w:rsidP="006E5F9A">
      <w:pPr>
        <w:pStyle w:val="a4"/>
        <w:tabs>
          <w:tab w:val="left" w:pos="540"/>
        </w:tabs>
        <w:ind w:left="0"/>
      </w:pPr>
    </w:p>
    <w:p w14:paraId="27B3627B" w14:textId="77777777" w:rsidR="00E62982" w:rsidRPr="0028514E" w:rsidRDefault="00E62982" w:rsidP="006E5F9A">
      <w:pPr>
        <w:pStyle w:val="a4"/>
        <w:tabs>
          <w:tab w:val="left" w:pos="540"/>
        </w:tabs>
        <w:ind w:left="0"/>
      </w:pPr>
    </w:p>
    <w:p w14:paraId="27D5BDA9"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7.</w:t>
      </w:r>
      <w:r w:rsidRPr="00CA43F5">
        <w:rPr>
          <w:b/>
          <w:lang w:val="fi-FI"/>
        </w:rPr>
        <w:tab/>
        <w:t>MUU ERITYISVAROITUS (MUUT ERITYISVAROITUKSET), JOS TARPEEN</w:t>
      </w:r>
    </w:p>
    <w:p w14:paraId="4DD9BFFB" w14:textId="77777777" w:rsidR="003B7027" w:rsidRPr="0028514E" w:rsidRDefault="003B7027" w:rsidP="006E5F9A">
      <w:pPr>
        <w:pStyle w:val="a4"/>
        <w:tabs>
          <w:tab w:val="left" w:pos="540"/>
        </w:tabs>
        <w:ind w:left="0"/>
      </w:pPr>
    </w:p>
    <w:p w14:paraId="35A6D3E1" w14:textId="77777777" w:rsidR="003B7027" w:rsidRPr="0028514E" w:rsidRDefault="003B7027" w:rsidP="006E5F9A">
      <w:pPr>
        <w:pStyle w:val="a4"/>
        <w:tabs>
          <w:tab w:val="left" w:pos="540"/>
        </w:tabs>
        <w:ind w:left="0"/>
      </w:pPr>
    </w:p>
    <w:p w14:paraId="5C1B3474"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8.</w:t>
      </w:r>
      <w:r w:rsidRPr="00CA43F5">
        <w:rPr>
          <w:b/>
          <w:lang w:val="fi-FI"/>
        </w:rPr>
        <w:tab/>
        <w:t>VIIMEINEN KÄYTTÖPÄIVÄMÄÄRÄ</w:t>
      </w:r>
    </w:p>
    <w:p w14:paraId="1AB83E8E" w14:textId="77777777" w:rsidR="003B7027" w:rsidRPr="0028514E" w:rsidRDefault="003B7027" w:rsidP="006E5F9A">
      <w:pPr>
        <w:pStyle w:val="a4"/>
        <w:tabs>
          <w:tab w:val="left" w:pos="540"/>
        </w:tabs>
        <w:ind w:left="0"/>
      </w:pPr>
    </w:p>
    <w:p w14:paraId="29447D18" w14:textId="77777777" w:rsidR="003B7027" w:rsidRPr="0028514E" w:rsidRDefault="00296A74" w:rsidP="006E5F9A">
      <w:pPr>
        <w:pStyle w:val="a4"/>
        <w:tabs>
          <w:tab w:val="left" w:pos="540"/>
        </w:tabs>
        <w:ind w:left="0"/>
      </w:pPr>
      <w:r w:rsidRPr="0028514E">
        <w:t>Käyt. viim.</w:t>
      </w:r>
    </w:p>
    <w:p w14:paraId="437FBB57" w14:textId="77777777" w:rsidR="00E62982" w:rsidRPr="0028514E" w:rsidRDefault="00E62982" w:rsidP="006E5F9A">
      <w:pPr>
        <w:pStyle w:val="a4"/>
        <w:tabs>
          <w:tab w:val="left" w:pos="540"/>
        </w:tabs>
        <w:ind w:left="0"/>
      </w:pPr>
    </w:p>
    <w:p w14:paraId="1642C63C" w14:textId="77777777" w:rsidR="00E62982" w:rsidRPr="0028514E" w:rsidRDefault="00E62982" w:rsidP="006E5F9A">
      <w:pPr>
        <w:pStyle w:val="a4"/>
        <w:tabs>
          <w:tab w:val="left" w:pos="540"/>
        </w:tabs>
        <w:ind w:left="0"/>
      </w:pPr>
    </w:p>
    <w:p w14:paraId="1ABBA62B"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9.</w:t>
      </w:r>
      <w:r w:rsidRPr="00CA43F5">
        <w:rPr>
          <w:b/>
          <w:lang w:val="fi-FI"/>
        </w:rPr>
        <w:tab/>
        <w:t>ERITYISET SÄILYTYSOLOSUHTEET</w:t>
      </w:r>
    </w:p>
    <w:p w14:paraId="2BE28635" w14:textId="77777777" w:rsidR="003B7027" w:rsidRPr="0028514E" w:rsidRDefault="003B7027" w:rsidP="006E5F9A">
      <w:pPr>
        <w:pStyle w:val="a4"/>
        <w:tabs>
          <w:tab w:val="left" w:pos="540"/>
        </w:tabs>
        <w:ind w:left="0"/>
      </w:pPr>
    </w:p>
    <w:p w14:paraId="2C4356C7" w14:textId="77777777" w:rsidR="00E62982" w:rsidRPr="0028514E" w:rsidRDefault="00296A74" w:rsidP="006E5F9A">
      <w:pPr>
        <w:pStyle w:val="a4"/>
        <w:tabs>
          <w:tab w:val="left" w:pos="540"/>
        </w:tabs>
        <w:ind w:left="0"/>
      </w:pPr>
      <w:r w:rsidRPr="0028514E">
        <w:t>Säilytä jääkaapissa</w:t>
      </w:r>
    </w:p>
    <w:p w14:paraId="2E64DAA0" w14:textId="77777777" w:rsidR="003B7027" w:rsidRPr="0028514E" w:rsidRDefault="00296A74" w:rsidP="006E5F9A">
      <w:pPr>
        <w:pStyle w:val="a4"/>
        <w:tabs>
          <w:tab w:val="left" w:pos="540"/>
        </w:tabs>
        <w:ind w:left="0"/>
      </w:pPr>
      <w:r w:rsidRPr="0028514E">
        <w:t>Ei saa jäätyä</w:t>
      </w:r>
    </w:p>
    <w:p w14:paraId="6E23E6CB" w14:textId="77777777" w:rsidR="003B7027" w:rsidRPr="0028514E" w:rsidRDefault="00296A74" w:rsidP="006E5F9A">
      <w:pPr>
        <w:pStyle w:val="a4"/>
        <w:tabs>
          <w:tab w:val="left" w:pos="540"/>
        </w:tabs>
        <w:ind w:left="0"/>
      </w:pPr>
      <w:r w:rsidRPr="0028514E">
        <w:lastRenderedPageBreak/>
        <w:t>Pidä injektiopullo ulkopakkauksessa. Herkkä valolle</w:t>
      </w:r>
    </w:p>
    <w:p w14:paraId="7259DC33" w14:textId="77777777" w:rsidR="003B7027" w:rsidRPr="0028514E" w:rsidRDefault="003B7027" w:rsidP="006E5F9A">
      <w:pPr>
        <w:pStyle w:val="a4"/>
        <w:tabs>
          <w:tab w:val="left" w:pos="540"/>
        </w:tabs>
        <w:ind w:left="0"/>
      </w:pPr>
    </w:p>
    <w:p w14:paraId="7C618470" w14:textId="77777777" w:rsidR="00E62982" w:rsidRPr="0028514E" w:rsidRDefault="00E62982" w:rsidP="006E5F9A">
      <w:pPr>
        <w:pStyle w:val="a4"/>
        <w:tabs>
          <w:tab w:val="left" w:pos="540"/>
        </w:tabs>
        <w:ind w:left="0"/>
      </w:pPr>
    </w:p>
    <w:p w14:paraId="4422BCE4"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10.</w:t>
      </w:r>
      <w:r w:rsidRPr="00CA43F5">
        <w:rPr>
          <w:b/>
          <w:lang w:val="fi-FI"/>
        </w:rPr>
        <w:tab/>
        <w:t>ERITYISET VAROTOIMET KÄYTTÄMÄTTÖMIEN LÄÄKEVALMISTEIDEN TAI NIISTÄ PERÄISIN OLEVAN JÄTEMATERIAALIN HÄVITTÄMISEKSI, JOS TARPEEN</w:t>
      </w:r>
    </w:p>
    <w:p w14:paraId="03B54894" w14:textId="77777777" w:rsidR="003B7027" w:rsidRPr="0028514E" w:rsidRDefault="003B7027" w:rsidP="006E5F9A">
      <w:pPr>
        <w:pStyle w:val="a4"/>
        <w:tabs>
          <w:tab w:val="left" w:pos="540"/>
        </w:tabs>
        <w:ind w:left="0"/>
      </w:pPr>
    </w:p>
    <w:p w14:paraId="5CAE0FC2" w14:textId="77777777" w:rsidR="003B7027" w:rsidRPr="0028514E" w:rsidRDefault="003B7027" w:rsidP="006E5F9A">
      <w:pPr>
        <w:pStyle w:val="a4"/>
        <w:tabs>
          <w:tab w:val="left" w:pos="540"/>
        </w:tabs>
        <w:ind w:left="0"/>
      </w:pPr>
    </w:p>
    <w:p w14:paraId="1C9F75F2"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11.</w:t>
      </w:r>
      <w:r w:rsidRPr="00CA43F5">
        <w:rPr>
          <w:b/>
          <w:lang w:val="fi-FI"/>
        </w:rPr>
        <w:tab/>
        <w:t>MYYNTILUVAN HALTIJAN NIMI JA OSOITE</w:t>
      </w:r>
    </w:p>
    <w:p w14:paraId="2C7C910B" w14:textId="77777777" w:rsidR="003B7027" w:rsidRPr="0028514E" w:rsidRDefault="003B7027" w:rsidP="006E5F9A">
      <w:pPr>
        <w:pStyle w:val="a4"/>
        <w:tabs>
          <w:tab w:val="left" w:pos="540"/>
        </w:tabs>
        <w:ind w:left="0"/>
      </w:pPr>
    </w:p>
    <w:p w14:paraId="3B1F0929" w14:textId="77777777" w:rsidR="00EE1020" w:rsidRPr="00CA43F5" w:rsidRDefault="00EE1020" w:rsidP="00EE1020">
      <w:pPr>
        <w:keepNext/>
        <w:rPr>
          <w:lang w:val="fi-FI"/>
        </w:rPr>
      </w:pPr>
      <w:r w:rsidRPr="00CA43F5">
        <w:rPr>
          <w:lang w:val="fi-FI"/>
        </w:rPr>
        <w:t xml:space="preserve">Celltrion Healthcare Hungary Kft. </w:t>
      </w:r>
    </w:p>
    <w:p w14:paraId="30AF2D68" w14:textId="77777777" w:rsidR="00EE1020" w:rsidRPr="00020C6B" w:rsidRDefault="00EE1020" w:rsidP="00EE1020">
      <w:pPr>
        <w:keepNext/>
      </w:pPr>
      <w:r w:rsidRPr="00020C6B">
        <w:t>1062 Budapest</w:t>
      </w:r>
    </w:p>
    <w:p w14:paraId="4B6DBB82" w14:textId="77777777" w:rsidR="00EE1020" w:rsidRPr="00020C6B" w:rsidRDefault="00EE1020" w:rsidP="00EE1020">
      <w:pPr>
        <w:keepNext/>
      </w:pPr>
      <w:r w:rsidRPr="00020C6B">
        <w:t xml:space="preserve">Váci </w:t>
      </w:r>
      <w:proofErr w:type="spellStart"/>
      <w:r w:rsidRPr="00020C6B">
        <w:t>út</w:t>
      </w:r>
      <w:proofErr w:type="spellEnd"/>
      <w:r w:rsidRPr="00020C6B">
        <w:t xml:space="preserve"> 1-3. </w:t>
      </w:r>
      <w:proofErr w:type="spellStart"/>
      <w:r w:rsidRPr="00020C6B">
        <w:t>WestEnd</w:t>
      </w:r>
      <w:proofErr w:type="spellEnd"/>
      <w:r w:rsidRPr="00020C6B">
        <w:t xml:space="preserve"> Office Building B </w:t>
      </w:r>
      <w:proofErr w:type="spellStart"/>
      <w:r w:rsidRPr="00020C6B">
        <w:t>torony</w:t>
      </w:r>
      <w:proofErr w:type="spellEnd"/>
    </w:p>
    <w:p w14:paraId="29979CBD" w14:textId="4C79DFF3" w:rsidR="003B7027" w:rsidRPr="0028514E" w:rsidRDefault="00EE1020" w:rsidP="006E5F9A">
      <w:pPr>
        <w:pStyle w:val="a4"/>
        <w:tabs>
          <w:tab w:val="left" w:pos="540"/>
        </w:tabs>
        <w:ind w:left="0"/>
      </w:pPr>
      <w:r>
        <w:t>Unkari</w:t>
      </w:r>
    </w:p>
    <w:p w14:paraId="3864D5CD" w14:textId="77777777" w:rsidR="003B7027" w:rsidRPr="0028514E" w:rsidRDefault="003B7027" w:rsidP="006E5F9A">
      <w:pPr>
        <w:pStyle w:val="a4"/>
        <w:tabs>
          <w:tab w:val="left" w:pos="540"/>
        </w:tabs>
        <w:ind w:left="0"/>
      </w:pPr>
    </w:p>
    <w:p w14:paraId="0F6AFCD5" w14:textId="77777777" w:rsidR="00E62982" w:rsidRPr="0028514E" w:rsidRDefault="00E62982" w:rsidP="006E5F9A">
      <w:pPr>
        <w:pStyle w:val="a4"/>
        <w:tabs>
          <w:tab w:val="left" w:pos="540"/>
        </w:tabs>
        <w:ind w:left="0"/>
      </w:pPr>
    </w:p>
    <w:p w14:paraId="16722550"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12.</w:t>
      </w:r>
      <w:r w:rsidRPr="00CA43F5">
        <w:rPr>
          <w:b/>
          <w:lang w:val="fi-FI"/>
        </w:rPr>
        <w:tab/>
        <w:t>MYYNTILUVAN NUMERO(T)</w:t>
      </w:r>
    </w:p>
    <w:p w14:paraId="340E2ECD" w14:textId="77777777" w:rsidR="003B7027" w:rsidRPr="0028514E" w:rsidRDefault="003B7027" w:rsidP="006E5F9A">
      <w:pPr>
        <w:pStyle w:val="a4"/>
        <w:tabs>
          <w:tab w:val="left" w:pos="540"/>
        </w:tabs>
        <w:ind w:left="0"/>
      </w:pPr>
    </w:p>
    <w:p w14:paraId="6AC67EFA" w14:textId="752B7071" w:rsidR="00EE1020" w:rsidRPr="00CA43F5" w:rsidRDefault="00EE1020" w:rsidP="00EE1020">
      <w:pPr>
        <w:keepNext/>
        <w:rPr>
          <w:lang w:val="fi-FI"/>
        </w:rPr>
      </w:pPr>
      <w:r w:rsidRPr="00CA43F5">
        <w:rPr>
          <w:lang w:val="fi-FI"/>
        </w:rPr>
        <w:t>EU/</w:t>
      </w:r>
      <w:r w:rsidR="001C42B9" w:rsidRPr="003672E9">
        <w:rPr>
          <w:spacing w:val="-1"/>
          <w:lang w:val="pt-BR"/>
        </w:rPr>
        <w:t>1/24/1896/00</w:t>
      </w:r>
      <w:r w:rsidR="001C42B9">
        <w:rPr>
          <w:rFonts w:eastAsia="맑은 고딕" w:hint="eastAsia"/>
          <w:spacing w:val="-1"/>
          <w:lang w:val="pt-BR" w:eastAsia="ko-KR"/>
        </w:rPr>
        <w:t>3</w:t>
      </w:r>
      <w:r w:rsidR="001C42B9">
        <w:rPr>
          <w:lang w:val="fi-FI"/>
        </w:rPr>
        <w:t xml:space="preserve"> 1 injektiopullo</w:t>
      </w:r>
    </w:p>
    <w:p w14:paraId="18A6DFCF" w14:textId="7355612B" w:rsidR="006C36EF" w:rsidRPr="00E919A5" w:rsidRDefault="00EE1020" w:rsidP="006E5F9A">
      <w:pPr>
        <w:pStyle w:val="a4"/>
        <w:tabs>
          <w:tab w:val="left" w:pos="540"/>
        </w:tabs>
        <w:ind w:left="0"/>
      </w:pPr>
      <w:r w:rsidRPr="00E919A5">
        <w:t>EU/</w:t>
      </w:r>
      <w:r w:rsidR="001C42B9" w:rsidRPr="003672E9">
        <w:rPr>
          <w:spacing w:val="-1"/>
          <w:lang w:val="pt-BR"/>
        </w:rPr>
        <w:t>1/24/1896/00</w:t>
      </w:r>
      <w:r w:rsidR="001C42B9">
        <w:rPr>
          <w:rFonts w:eastAsia="맑은 고딕"/>
          <w:spacing w:val="-1"/>
          <w:lang w:val="pt-BR" w:eastAsia="ko-KR"/>
        </w:rPr>
        <w:t>4</w:t>
      </w:r>
      <w:r w:rsidR="008D0054" w:rsidRPr="00E919A5">
        <w:t xml:space="preserve"> 4 injektiopulloa</w:t>
      </w:r>
    </w:p>
    <w:p w14:paraId="4929272F" w14:textId="77777777" w:rsidR="003B7027" w:rsidRPr="00E919A5" w:rsidRDefault="003B7027" w:rsidP="006E5F9A">
      <w:pPr>
        <w:pStyle w:val="a4"/>
        <w:tabs>
          <w:tab w:val="left" w:pos="540"/>
        </w:tabs>
        <w:ind w:left="0"/>
      </w:pPr>
    </w:p>
    <w:p w14:paraId="4AD11EAC" w14:textId="77777777" w:rsidR="00E62982" w:rsidRPr="00E919A5" w:rsidRDefault="00E62982" w:rsidP="006E5F9A">
      <w:pPr>
        <w:pStyle w:val="a4"/>
        <w:tabs>
          <w:tab w:val="left" w:pos="540"/>
        </w:tabs>
        <w:ind w:left="0"/>
      </w:pPr>
    </w:p>
    <w:p w14:paraId="53929C34"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 w:val="left" w:pos="724"/>
        </w:tabs>
        <w:spacing w:line="252" w:lineRule="exact"/>
        <w:rPr>
          <w:b/>
          <w:lang w:val="fi-FI"/>
        </w:rPr>
      </w:pPr>
      <w:r w:rsidRPr="00CA43F5">
        <w:rPr>
          <w:b/>
          <w:lang w:val="fi-FI"/>
        </w:rPr>
        <w:t>13.</w:t>
      </w:r>
      <w:r w:rsidRPr="00CA43F5">
        <w:rPr>
          <w:b/>
          <w:lang w:val="fi-FI"/>
        </w:rPr>
        <w:tab/>
        <w:t>ERÄNUMERO</w:t>
      </w:r>
    </w:p>
    <w:p w14:paraId="3A7F4A10" w14:textId="77777777" w:rsidR="003B7027" w:rsidRPr="0028514E" w:rsidRDefault="003B7027" w:rsidP="006E5F9A">
      <w:pPr>
        <w:pStyle w:val="a4"/>
        <w:tabs>
          <w:tab w:val="left" w:pos="540"/>
        </w:tabs>
        <w:ind w:left="0"/>
      </w:pPr>
    </w:p>
    <w:p w14:paraId="4049131E" w14:textId="2D7DB2DF" w:rsidR="003B7027" w:rsidRPr="0028514E" w:rsidRDefault="008D0054" w:rsidP="006E5F9A">
      <w:pPr>
        <w:pStyle w:val="a4"/>
        <w:tabs>
          <w:tab w:val="left" w:pos="540"/>
        </w:tabs>
        <w:ind w:left="0"/>
      </w:pPr>
      <w:r>
        <w:t>Erä</w:t>
      </w:r>
    </w:p>
    <w:p w14:paraId="4E6F2E6E" w14:textId="77777777" w:rsidR="003B7027" w:rsidRPr="0028514E" w:rsidRDefault="003B7027" w:rsidP="006E5F9A">
      <w:pPr>
        <w:pStyle w:val="a4"/>
        <w:tabs>
          <w:tab w:val="left" w:pos="540"/>
        </w:tabs>
        <w:ind w:left="0"/>
      </w:pPr>
    </w:p>
    <w:p w14:paraId="1A550535" w14:textId="77777777" w:rsidR="00E62982" w:rsidRPr="0028514E" w:rsidRDefault="00E62982" w:rsidP="006E5F9A">
      <w:pPr>
        <w:pStyle w:val="a4"/>
        <w:tabs>
          <w:tab w:val="left" w:pos="540"/>
        </w:tabs>
        <w:ind w:left="0"/>
      </w:pPr>
    </w:p>
    <w:p w14:paraId="4AB59486"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14.</w:t>
      </w:r>
      <w:r w:rsidRPr="00CA43F5">
        <w:rPr>
          <w:b/>
          <w:lang w:val="fi-FI"/>
        </w:rPr>
        <w:tab/>
        <w:t>YLEINEN TOIMITTAMISLUOKITTELU</w:t>
      </w:r>
    </w:p>
    <w:p w14:paraId="330FC374" w14:textId="77777777" w:rsidR="003B7027" w:rsidRPr="0028514E" w:rsidRDefault="003B7027" w:rsidP="006E5F9A">
      <w:pPr>
        <w:pStyle w:val="a4"/>
        <w:tabs>
          <w:tab w:val="left" w:pos="540"/>
        </w:tabs>
        <w:ind w:left="0"/>
      </w:pPr>
    </w:p>
    <w:p w14:paraId="7ECA0CC2" w14:textId="77777777" w:rsidR="003B7027" w:rsidRPr="00237A3E" w:rsidRDefault="00296A74" w:rsidP="00CA43F5">
      <w:pPr>
        <w:rPr>
          <w:rFonts w:eastAsia="DengXian"/>
          <w:highlight w:val="lightGray"/>
          <w:lang w:val="fi-FI"/>
        </w:rPr>
      </w:pPr>
      <w:r w:rsidRPr="00237A3E">
        <w:rPr>
          <w:rFonts w:eastAsia="DengXian"/>
          <w:highlight w:val="lightGray"/>
          <w:lang w:val="fi-FI"/>
        </w:rPr>
        <w:t>Reseptilääke</w:t>
      </w:r>
    </w:p>
    <w:p w14:paraId="28586397" w14:textId="77777777" w:rsidR="003B7027" w:rsidRPr="0028514E" w:rsidRDefault="003B7027" w:rsidP="006E5F9A">
      <w:pPr>
        <w:pStyle w:val="a4"/>
        <w:tabs>
          <w:tab w:val="left" w:pos="540"/>
        </w:tabs>
        <w:ind w:left="0"/>
      </w:pPr>
    </w:p>
    <w:p w14:paraId="61F16E19" w14:textId="77777777" w:rsidR="00E62982" w:rsidRPr="0028514E" w:rsidRDefault="00E62982" w:rsidP="006E5F9A">
      <w:pPr>
        <w:pStyle w:val="a4"/>
        <w:tabs>
          <w:tab w:val="left" w:pos="540"/>
        </w:tabs>
        <w:ind w:left="0"/>
      </w:pPr>
    </w:p>
    <w:p w14:paraId="0619918C"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15.</w:t>
      </w:r>
      <w:r w:rsidRPr="00CA43F5">
        <w:rPr>
          <w:b/>
          <w:lang w:val="fi-FI"/>
        </w:rPr>
        <w:tab/>
        <w:t>KÄYTTÖOHJEET</w:t>
      </w:r>
    </w:p>
    <w:p w14:paraId="1DF160E2" w14:textId="77777777" w:rsidR="003B7027" w:rsidRPr="0028514E" w:rsidRDefault="003B7027" w:rsidP="006E5F9A">
      <w:pPr>
        <w:pStyle w:val="a4"/>
        <w:tabs>
          <w:tab w:val="left" w:pos="540"/>
        </w:tabs>
        <w:ind w:left="0"/>
      </w:pPr>
    </w:p>
    <w:p w14:paraId="501E7A58" w14:textId="77777777" w:rsidR="003B7027" w:rsidRPr="0028514E" w:rsidRDefault="003B7027" w:rsidP="006E5F9A">
      <w:pPr>
        <w:pStyle w:val="a4"/>
        <w:tabs>
          <w:tab w:val="left" w:pos="540"/>
        </w:tabs>
        <w:ind w:left="0"/>
      </w:pPr>
    </w:p>
    <w:p w14:paraId="3C485D4F"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16.</w:t>
      </w:r>
      <w:r w:rsidRPr="00CA43F5">
        <w:rPr>
          <w:b/>
          <w:lang w:val="fi-FI"/>
        </w:rPr>
        <w:tab/>
        <w:t>TIEDOT PISTEKIRJOITUKSELLA</w:t>
      </w:r>
    </w:p>
    <w:p w14:paraId="3F306349" w14:textId="77777777" w:rsidR="003B7027" w:rsidRPr="0028514E" w:rsidRDefault="003B7027" w:rsidP="006E5F9A">
      <w:pPr>
        <w:pStyle w:val="a4"/>
        <w:tabs>
          <w:tab w:val="left" w:pos="540"/>
        </w:tabs>
        <w:ind w:left="0"/>
      </w:pPr>
    </w:p>
    <w:p w14:paraId="2CE402B3" w14:textId="307FE95B" w:rsidR="003B7027" w:rsidRPr="00EA0C47" w:rsidRDefault="00EA0C47" w:rsidP="00EA0C47">
      <w:pPr>
        <w:rPr>
          <w:rFonts w:eastAsia="맑은 고딕"/>
          <w:highlight w:val="lightGray"/>
          <w:lang w:val="fi-FI" w:eastAsia="ko-KR"/>
        </w:rPr>
      </w:pPr>
      <w:r w:rsidRPr="00EA0C47">
        <w:rPr>
          <w:rFonts w:eastAsia="DengXian"/>
          <w:highlight w:val="lightGray"/>
          <w:lang w:val="fi-FI"/>
        </w:rPr>
        <w:t>Vapautettu pistekirjoituksesta</w:t>
      </w:r>
    </w:p>
    <w:p w14:paraId="42485F13" w14:textId="77777777" w:rsidR="00E62982" w:rsidRPr="0028514E" w:rsidRDefault="00E62982" w:rsidP="006E5F9A">
      <w:pPr>
        <w:pStyle w:val="a4"/>
        <w:tabs>
          <w:tab w:val="left" w:pos="540"/>
        </w:tabs>
        <w:ind w:left="0"/>
      </w:pPr>
    </w:p>
    <w:p w14:paraId="6D7431C5"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17.</w:t>
      </w:r>
      <w:r w:rsidRPr="00CA43F5">
        <w:rPr>
          <w:b/>
          <w:lang w:val="fi-FI"/>
        </w:rPr>
        <w:tab/>
        <w:t>YKSILÖLLINEN TUNNISTE – 2D-VIIVAKOODI</w:t>
      </w:r>
    </w:p>
    <w:p w14:paraId="1DA6328D" w14:textId="77777777" w:rsidR="003B7027" w:rsidRPr="0028514E" w:rsidRDefault="003B7027" w:rsidP="006E5F9A">
      <w:pPr>
        <w:pStyle w:val="a4"/>
        <w:tabs>
          <w:tab w:val="left" w:pos="540"/>
        </w:tabs>
        <w:ind w:left="0"/>
      </w:pPr>
    </w:p>
    <w:p w14:paraId="0BEE18ED" w14:textId="77777777" w:rsidR="003B7027" w:rsidRPr="00237A3E" w:rsidRDefault="00296A74" w:rsidP="00CA43F5">
      <w:pPr>
        <w:rPr>
          <w:rFonts w:eastAsia="DengXian"/>
          <w:highlight w:val="lightGray"/>
          <w:lang w:val="fi-FI"/>
        </w:rPr>
      </w:pPr>
      <w:r w:rsidRPr="00237A3E">
        <w:rPr>
          <w:rFonts w:eastAsia="DengXian"/>
          <w:highlight w:val="lightGray"/>
          <w:lang w:val="fi-FI"/>
        </w:rPr>
        <w:t>&lt;2D-viivakoodi, joka sisältää yksilöllisen tunnisteen.&gt;</w:t>
      </w:r>
    </w:p>
    <w:p w14:paraId="483EFD6F" w14:textId="77777777" w:rsidR="003B7027" w:rsidRPr="0028514E" w:rsidRDefault="003B7027" w:rsidP="006E5F9A">
      <w:pPr>
        <w:pStyle w:val="a4"/>
        <w:tabs>
          <w:tab w:val="left" w:pos="540"/>
        </w:tabs>
        <w:ind w:left="0"/>
      </w:pPr>
    </w:p>
    <w:p w14:paraId="338D7426" w14:textId="77777777" w:rsidR="00E62982" w:rsidRPr="0028514E" w:rsidRDefault="00E62982" w:rsidP="006E5F9A">
      <w:pPr>
        <w:pStyle w:val="a4"/>
        <w:tabs>
          <w:tab w:val="left" w:pos="540"/>
        </w:tabs>
        <w:ind w:left="0"/>
      </w:pPr>
    </w:p>
    <w:p w14:paraId="54ADB410"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18.</w:t>
      </w:r>
      <w:r w:rsidRPr="00CA43F5">
        <w:rPr>
          <w:b/>
          <w:lang w:val="fi-FI"/>
        </w:rPr>
        <w:tab/>
        <w:t>YKSILÖLLINEN TUNNISTE – LUETTAVISSA OLEVAT TIEDOT</w:t>
      </w:r>
    </w:p>
    <w:p w14:paraId="26E1B6FC" w14:textId="77777777" w:rsidR="003B7027" w:rsidRPr="0028514E" w:rsidRDefault="003B7027" w:rsidP="006E5F9A">
      <w:pPr>
        <w:pStyle w:val="a4"/>
        <w:tabs>
          <w:tab w:val="left" w:pos="540"/>
        </w:tabs>
        <w:ind w:left="0"/>
      </w:pPr>
    </w:p>
    <w:p w14:paraId="3C35ADF9" w14:textId="77777777" w:rsidR="00E62982" w:rsidRPr="0028514E" w:rsidRDefault="00296A74" w:rsidP="006E5F9A">
      <w:pPr>
        <w:pStyle w:val="a4"/>
        <w:tabs>
          <w:tab w:val="left" w:pos="540"/>
        </w:tabs>
        <w:ind w:left="0"/>
      </w:pPr>
      <w:r w:rsidRPr="0028514E">
        <w:t>PC</w:t>
      </w:r>
    </w:p>
    <w:p w14:paraId="72600DC9" w14:textId="77777777" w:rsidR="00E62982" w:rsidRPr="0028514E" w:rsidRDefault="00296A74" w:rsidP="006E5F9A">
      <w:pPr>
        <w:pStyle w:val="a4"/>
        <w:tabs>
          <w:tab w:val="left" w:pos="540"/>
        </w:tabs>
        <w:ind w:left="0"/>
      </w:pPr>
      <w:r w:rsidRPr="0028514E">
        <w:t>SN</w:t>
      </w:r>
    </w:p>
    <w:p w14:paraId="69FDBA2C" w14:textId="77777777" w:rsidR="003B7027" w:rsidRPr="0028514E" w:rsidRDefault="00296A74" w:rsidP="006E5F9A">
      <w:pPr>
        <w:pStyle w:val="a4"/>
        <w:tabs>
          <w:tab w:val="left" w:pos="540"/>
        </w:tabs>
        <w:ind w:left="0"/>
      </w:pPr>
      <w:r w:rsidRPr="003F07A8">
        <w:rPr>
          <w:highlight w:val="lightGray"/>
        </w:rPr>
        <w:t>NN</w:t>
      </w:r>
    </w:p>
    <w:p w14:paraId="2A064837" w14:textId="0AB979BD" w:rsidR="00C119F3" w:rsidRPr="00CA43F5" w:rsidRDefault="00E62982" w:rsidP="00EA2A65">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CA43F5">
        <w:rPr>
          <w:lang w:val="fi-FI"/>
        </w:rPr>
        <w:br w:type="page"/>
      </w:r>
      <w:r w:rsidR="00C119F3" w:rsidRPr="00CA43F5">
        <w:rPr>
          <w:b/>
          <w:lang w:val="fi-FI"/>
        </w:rPr>
        <w:lastRenderedPageBreak/>
        <w:t>ULKOPAKKAUKSESSA ON OLTAVA SEURAAVAT MERKINNÄT</w:t>
      </w:r>
    </w:p>
    <w:p w14:paraId="4E0D2F2F" w14:textId="77777777" w:rsidR="00C119F3" w:rsidRPr="00CA43F5" w:rsidRDefault="00C119F3" w:rsidP="00EA2A65">
      <w:pPr>
        <w:pBdr>
          <w:top w:val="single" w:sz="4" w:space="1" w:color="000000"/>
          <w:left w:val="single" w:sz="4" w:space="4" w:color="000000"/>
          <w:bottom w:val="single" w:sz="4" w:space="1" w:color="000000"/>
          <w:right w:val="single" w:sz="4" w:space="4" w:color="000000"/>
        </w:pBdr>
        <w:tabs>
          <w:tab w:val="left" w:pos="540"/>
        </w:tabs>
        <w:rPr>
          <w:b/>
          <w:lang w:val="fi-FI"/>
        </w:rPr>
      </w:pPr>
      <w:r w:rsidRPr="00CA43F5">
        <w:rPr>
          <w:b/>
          <w:lang w:val="fi-FI"/>
        </w:rPr>
        <w:t>KOTELO</w:t>
      </w:r>
    </w:p>
    <w:p w14:paraId="6AD809AB" w14:textId="77777777" w:rsidR="003B7027" w:rsidRPr="0028514E" w:rsidRDefault="003B7027" w:rsidP="006E5F9A">
      <w:pPr>
        <w:pStyle w:val="a4"/>
        <w:tabs>
          <w:tab w:val="left" w:pos="540"/>
        </w:tabs>
        <w:ind w:left="0"/>
      </w:pPr>
    </w:p>
    <w:p w14:paraId="7CF7DF07" w14:textId="77777777" w:rsidR="00E62982" w:rsidRPr="0028514E" w:rsidRDefault="00E62982" w:rsidP="006E5F9A">
      <w:pPr>
        <w:pStyle w:val="a4"/>
        <w:tabs>
          <w:tab w:val="left" w:pos="540"/>
        </w:tabs>
        <w:ind w:left="0"/>
      </w:pPr>
    </w:p>
    <w:p w14:paraId="4C33FDC3"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w:t>
      </w:r>
      <w:r w:rsidRPr="00CA43F5">
        <w:rPr>
          <w:b/>
          <w:lang w:val="fi-FI"/>
        </w:rPr>
        <w:tab/>
        <w:t>LÄÄKEVALMISTEEN NIMI</w:t>
      </w:r>
    </w:p>
    <w:p w14:paraId="019B032D" w14:textId="77777777" w:rsidR="003B7027" w:rsidRPr="0028514E" w:rsidRDefault="003B7027" w:rsidP="006E5F9A">
      <w:pPr>
        <w:pStyle w:val="a4"/>
        <w:tabs>
          <w:tab w:val="left" w:pos="540"/>
        </w:tabs>
        <w:ind w:left="0"/>
      </w:pPr>
    </w:p>
    <w:p w14:paraId="0A3CF6C5" w14:textId="3A1EEC8B" w:rsidR="009B2466" w:rsidRDefault="00EE1020" w:rsidP="006E5F9A">
      <w:pPr>
        <w:pStyle w:val="a4"/>
        <w:tabs>
          <w:tab w:val="left" w:pos="540"/>
        </w:tabs>
        <w:ind w:left="0"/>
        <w:rPr>
          <w:rFonts w:eastAsia="맑은 고딕"/>
          <w:lang w:eastAsia="ko-KR"/>
        </w:rPr>
      </w:pPr>
      <w:r>
        <w:t>Avtozma</w:t>
      </w:r>
      <w:r w:rsidRPr="0028514E">
        <w:t xml:space="preserve"> </w:t>
      </w:r>
      <w:r w:rsidR="00296A74" w:rsidRPr="0028514E">
        <w:t xml:space="preserve">20 mg/ml infuusiokonsentraatti, liuosta varten </w:t>
      </w:r>
    </w:p>
    <w:p w14:paraId="32D586F4" w14:textId="516E298D" w:rsidR="003B7027" w:rsidRPr="0028514E" w:rsidRDefault="00296A74" w:rsidP="006E5F9A">
      <w:pPr>
        <w:pStyle w:val="a4"/>
        <w:tabs>
          <w:tab w:val="left" w:pos="540"/>
        </w:tabs>
        <w:ind w:left="0"/>
      </w:pPr>
      <w:r w:rsidRPr="0028514E">
        <w:t>tosilitsumabi</w:t>
      </w:r>
    </w:p>
    <w:p w14:paraId="44A6FB8F" w14:textId="77777777" w:rsidR="003B7027" w:rsidRPr="0028514E" w:rsidRDefault="003B7027" w:rsidP="006E5F9A">
      <w:pPr>
        <w:pStyle w:val="a4"/>
        <w:tabs>
          <w:tab w:val="left" w:pos="540"/>
        </w:tabs>
        <w:ind w:left="0"/>
      </w:pPr>
    </w:p>
    <w:p w14:paraId="550D75C7" w14:textId="77777777" w:rsidR="00E62982" w:rsidRPr="0028514E" w:rsidRDefault="00E62982" w:rsidP="006E5F9A">
      <w:pPr>
        <w:pStyle w:val="a4"/>
        <w:tabs>
          <w:tab w:val="left" w:pos="540"/>
        </w:tabs>
        <w:ind w:left="0"/>
      </w:pPr>
    </w:p>
    <w:p w14:paraId="006C26C4"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2.</w:t>
      </w:r>
      <w:r w:rsidRPr="00CA43F5">
        <w:rPr>
          <w:b/>
          <w:lang w:val="fi-FI"/>
        </w:rPr>
        <w:tab/>
        <w:t>VAIKUTTAVA(T) AINE(ET)</w:t>
      </w:r>
    </w:p>
    <w:p w14:paraId="5017EE04" w14:textId="77777777" w:rsidR="003B7027" w:rsidRPr="0028514E" w:rsidRDefault="003B7027" w:rsidP="006E5F9A">
      <w:pPr>
        <w:pStyle w:val="a4"/>
        <w:tabs>
          <w:tab w:val="left" w:pos="540"/>
        </w:tabs>
        <w:ind w:left="0"/>
      </w:pPr>
    </w:p>
    <w:p w14:paraId="4112EDDD" w14:textId="77777777" w:rsidR="003B7027" w:rsidRPr="0028514E" w:rsidRDefault="00296A74" w:rsidP="006E5F9A">
      <w:pPr>
        <w:pStyle w:val="a4"/>
        <w:tabs>
          <w:tab w:val="left" w:pos="540"/>
        </w:tabs>
        <w:ind w:left="0"/>
      </w:pPr>
      <w:r w:rsidRPr="0028514E">
        <w:t>Yksi injektiopullo sisältää 400 mg tosilitsumabia.</w:t>
      </w:r>
    </w:p>
    <w:p w14:paraId="0E3C177F" w14:textId="77777777" w:rsidR="003B7027" w:rsidRPr="0028514E" w:rsidRDefault="003B7027" w:rsidP="006E5F9A">
      <w:pPr>
        <w:pStyle w:val="a4"/>
        <w:tabs>
          <w:tab w:val="left" w:pos="540"/>
        </w:tabs>
        <w:ind w:left="0"/>
      </w:pPr>
    </w:p>
    <w:p w14:paraId="325E1F4E" w14:textId="77777777" w:rsidR="00E62982" w:rsidRPr="0028514E" w:rsidRDefault="00E62982" w:rsidP="006E5F9A">
      <w:pPr>
        <w:pStyle w:val="a4"/>
        <w:tabs>
          <w:tab w:val="left" w:pos="540"/>
        </w:tabs>
        <w:ind w:left="0"/>
      </w:pPr>
    </w:p>
    <w:p w14:paraId="5FE3C7B4"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3.</w:t>
      </w:r>
      <w:r w:rsidRPr="00CA43F5">
        <w:rPr>
          <w:b/>
          <w:lang w:val="fi-FI"/>
        </w:rPr>
        <w:tab/>
        <w:t>LUETTELO APUAINEISTA</w:t>
      </w:r>
    </w:p>
    <w:p w14:paraId="40713276" w14:textId="77777777" w:rsidR="00C119F3" w:rsidRPr="0028514E" w:rsidRDefault="00C119F3" w:rsidP="006E5F9A">
      <w:pPr>
        <w:pStyle w:val="a4"/>
        <w:tabs>
          <w:tab w:val="left" w:pos="540"/>
        </w:tabs>
        <w:ind w:left="0"/>
      </w:pPr>
    </w:p>
    <w:p w14:paraId="054CC875" w14:textId="66C7C5C2" w:rsidR="00EE1020" w:rsidRDefault="00EE1020" w:rsidP="006E5F9A">
      <w:pPr>
        <w:pStyle w:val="a4"/>
        <w:tabs>
          <w:tab w:val="left" w:pos="540"/>
        </w:tabs>
        <w:ind w:left="0"/>
      </w:pPr>
      <w:r>
        <w:t xml:space="preserve">Apuaineet: L‑histidiini, </w:t>
      </w:r>
      <w:r w:rsidR="00C26E34" w:rsidRPr="00C26E34">
        <w:rPr>
          <w:rFonts w:eastAsia="맑은 고딕" w:hint="eastAsia"/>
          <w:lang w:eastAsia="ko-KR"/>
        </w:rPr>
        <w:t>L-histidiinimonohydrokloridimonohydraatti</w:t>
      </w:r>
      <w:r w:rsidR="00A5656C">
        <w:rPr>
          <w:rFonts w:eastAsia="맑은 고딕" w:hint="eastAsia"/>
          <w:lang w:eastAsia="ko-KR"/>
        </w:rPr>
        <w:t xml:space="preserve">, </w:t>
      </w:r>
      <w:r>
        <w:t>L‑treoniini, L‑metioniini, polysorbaatti 80 ja injektionesteisiin käytettävä vesi.</w:t>
      </w:r>
    </w:p>
    <w:p w14:paraId="51A9AC30" w14:textId="35C297F8" w:rsidR="003B7027" w:rsidRPr="0028514E" w:rsidRDefault="00296A74" w:rsidP="006E5F9A">
      <w:pPr>
        <w:pStyle w:val="a4"/>
        <w:tabs>
          <w:tab w:val="left" w:pos="540"/>
        </w:tabs>
        <w:ind w:left="0"/>
      </w:pPr>
      <w:r w:rsidRPr="0028514E">
        <w:t>Katso lisätiedot pakkausselosteesta.</w:t>
      </w:r>
    </w:p>
    <w:p w14:paraId="753F86AD" w14:textId="77777777" w:rsidR="003B7027" w:rsidRPr="0028514E" w:rsidRDefault="003B7027" w:rsidP="006E5F9A">
      <w:pPr>
        <w:pStyle w:val="a4"/>
        <w:tabs>
          <w:tab w:val="left" w:pos="540"/>
        </w:tabs>
        <w:ind w:left="0"/>
      </w:pPr>
    </w:p>
    <w:p w14:paraId="211E8180" w14:textId="77777777" w:rsidR="00E62982" w:rsidRPr="0028514E" w:rsidRDefault="00E62982" w:rsidP="006E5F9A">
      <w:pPr>
        <w:pStyle w:val="a4"/>
        <w:tabs>
          <w:tab w:val="left" w:pos="540"/>
        </w:tabs>
        <w:ind w:left="0"/>
      </w:pPr>
    </w:p>
    <w:p w14:paraId="2A5ADFA5"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4.</w:t>
      </w:r>
      <w:r w:rsidRPr="00CA43F5">
        <w:rPr>
          <w:b/>
          <w:lang w:val="fi-FI"/>
        </w:rPr>
        <w:tab/>
        <w:t>LÄÄKEMUOTO JA SISÄLLÖN MÄÄRÄ</w:t>
      </w:r>
    </w:p>
    <w:p w14:paraId="7B42961A" w14:textId="77777777" w:rsidR="003B7027" w:rsidRPr="0028514E" w:rsidRDefault="003B7027" w:rsidP="006E5F9A">
      <w:pPr>
        <w:pStyle w:val="a4"/>
        <w:tabs>
          <w:tab w:val="left" w:pos="540"/>
        </w:tabs>
        <w:ind w:left="0"/>
      </w:pPr>
    </w:p>
    <w:p w14:paraId="780DDD00" w14:textId="77777777" w:rsidR="0018234E" w:rsidRDefault="00296A74" w:rsidP="006E5F9A">
      <w:pPr>
        <w:pStyle w:val="a4"/>
        <w:tabs>
          <w:tab w:val="left" w:pos="540"/>
        </w:tabs>
        <w:ind w:left="0"/>
        <w:rPr>
          <w:rFonts w:eastAsia="맑은 고딕"/>
          <w:lang w:eastAsia="ko-KR"/>
        </w:rPr>
      </w:pPr>
      <w:r w:rsidRPr="0028514E">
        <w:t xml:space="preserve">Infuusiokonsentraatti, liuosta varten </w:t>
      </w:r>
    </w:p>
    <w:p w14:paraId="4485697E" w14:textId="1A6A38B3" w:rsidR="003B7027" w:rsidRPr="0028514E" w:rsidRDefault="00296A74" w:rsidP="006E5F9A">
      <w:pPr>
        <w:pStyle w:val="a4"/>
        <w:tabs>
          <w:tab w:val="left" w:pos="540"/>
        </w:tabs>
        <w:ind w:left="0"/>
      </w:pPr>
      <w:r w:rsidRPr="0028514E">
        <w:t>400 mg/20 ml</w:t>
      </w:r>
    </w:p>
    <w:p w14:paraId="4D2CDEF7" w14:textId="77777777" w:rsidR="003B7027" w:rsidRPr="0028514E" w:rsidRDefault="00296A74" w:rsidP="006E5F9A">
      <w:pPr>
        <w:pStyle w:val="a4"/>
        <w:tabs>
          <w:tab w:val="left" w:pos="540"/>
        </w:tabs>
        <w:ind w:left="0"/>
      </w:pPr>
      <w:r w:rsidRPr="0028514E">
        <w:t>1 injektiopullo à 20 ml</w:t>
      </w:r>
    </w:p>
    <w:p w14:paraId="4D727B8D" w14:textId="77777777" w:rsidR="003B7027" w:rsidRPr="0028514E" w:rsidRDefault="00296A74" w:rsidP="006E5F9A">
      <w:pPr>
        <w:pStyle w:val="a4"/>
        <w:tabs>
          <w:tab w:val="left" w:pos="540"/>
        </w:tabs>
        <w:ind w:left="0"/>
      </w:pPr>
      <w:r w:rsidRPr="0028514E">
        <w:t>4 injektiopulloa à 20 ml</w:t>
      </w:r>
    </w:p>
    <w:p w14:paraId="3BFAB78D" w14:textId="77777777" w:rsidR="003B7027" w:rsidRPr="0028514E" w:rsidRDefault="003B7027" w:rsidP="006E5F9A">
      <w:pPr>
        <w:pStyle w:val="a4"/>
        <w:tabs>
          <w:tab w:val="left" w:pos="540"/>
        </w:tabs>
        <w:ind w:left="0"/>
      </w:pPr>
    </w:p>
    <w:p w14:paraId="1C606235" w14:textId="77777777" w:rsidR="00E62982" w:rsidRPr="0028514E" w:rsidRDefault="00E62982" w:rsidP="006E5F9A">
      <w:pPr>
        <w:pStyle w:val="a4"/>
        <w:tabs>
          <w:tab w:val="left" w:pos="540"/>
        </w:tabs>
        <w:ind w:left="0"/>
      </w:pPr>
    </w:p>
    <w:p w14:paraId="38A457C2"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5.</w:t>
      </w:r>
      <w:r w:rsidRPr="00CA43F5">
        <w:rPr>
          <w:b/>
          <w:lang w:val="fi-FI"/>
        </w:rPr>
        <w:tab/>
        <w:t>ANTOTAPA JA TARVITTAESSA ANTOREITTI (ANTOREITIT)</w:t>
      </w:r>
    </w:p>
    <w:p w14:paraId="13C7726A" w14:textId="77777777" w:rsidR="003B7027" w:rsidRPr="0028514E" w:rsidRDefault="003B7027" w:rsidP="006E5F9A">
      <w:pPr>
        <w:pStyle w:val="a4"/>
        <w:tabs>
          <w:tab w:val="left" w:pos="540"/>
        </w:tabs>
        <w:ind w:left="0"/>
      </w:pPr>
    </w:p>
    <w:p w14:paraId="657D042D" w14:textId="77777777" w:rsidR="00E62982" w:rsidRPr="0028514E" w:rsidRDefault="00296A74" w:rsidP="006E5F9A">
      <w:pPr>
        <w:pStyle w:val="a4"/>
        <w:tabs>
          <w:tab w:val="left" w:pos="540"/>
        </w:tabs>
        <w:ind w:left="0"/>
      </w:pPr>
      <w:r w:rsidRPr="0028514E">
        <w:t>Laskimonsisäiseen infuusioon laimentamisen jälkeen</w:t>
      </w:r>
    </w:p>
    <w:p w14:paraId="081630FB" w14:textId="77777777" w:rsidR="003B7027" w:rsidRPr="0028514E" w:rsidRDefault="00296A74" w:rsidP="006E5F9A">
      <w:pPr>
        <w:pStyle w:val="a4"/>
        <w:tabs>
          <w:tab w:val="left" w:pos="540"/>
        </w:tabs>
        <w:ind w:left="0"/>
      </w:pPr>
      <w:r w:rsidRPr="0028514E">
        <w:t>Laimennettu valmiste tulisi käyttää välittömästi</w:t>
      </w:r>
    </w:p>
    <w:p w14:paraId="5661BF9C" w14:textId="77777777" w:rsidR="003B7027" w:rsidRPr="0028514E" w:rsidRDefault="00296A74" w:rsidP="006E5F9A">
      <w:pPr>
        <w:pStyle w:val="a4"/>
        <w:tabs>
          <w:tab w:val="left" w:pos="540"/>
        </w:tabs>
        <w:ind w:left="0"/>
      </w:pPr>
      <w:r w:rsidRPr="0028514E">
        <w:t>Lue pakkausseloste ennen käyttöä</w:t>
      </w:r>
    </w:p>
    <w:p w14:paraId="7F00A6E0" w14:textId="77777777" w:rsidR="003B7027" w:rsidRPr="0028514E" w:rsidRDefault="003B7027" w:rsidP="006E5F9A">
      <w:pPr>
        <w:pStyle w:val="a4"/>
        <w:tabs>
          <w:tab w:val="left" w:pos="540"/>
        </w:tabs>
        <w:ind w:left="0"/>
      </w:pPr>
    </w:p>
    <w:p w14:paraId="570ECC18" w14:textId="77777777" w:rsidR="00E62982" w:rsidRPr="0028514E" w:rsidRDefault="00E62982" w:rsidP="006E5F9A">
      <w:pPr>
        <w:pStyle w:val="a4"/>
        <w:tabs>
          <w:tab w:val="left" w:pos="540"/>
        </w:tabs>
        <w:ind w:left="0"/>
      </w:pPr>
    </w:p>
    <w:p w14:paraId="6DB8A422"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bCs/>
          <w:lang w:val="fi-FI"/>
        </w:rPr>
        <w:t>6.</w:t>
      </w:r>
      <w:r w:rsidRPr="00CA43F5">
        <w:rPr>
          <w:b/>
          <w:bCs/>
          <w:lang w:val="fi-FI"/>
        </w:rPr>
        <w:tab/>
      </w:r>
      <w:r w:rsidRPr="00CA43F5">
        <w:rPr>
          <w:b/>
          <w:lang w:val="fi-FI"/>
        </w:rPr>
        <w:t>ERITYISVAROITUS VALMISTEEN SÄILYTTÄMISESTÄ POISSA LASTEN ULOTTUVILTA JA NÄKYVILTÄ</w:t>
      </w:r>
    </w:p>
    <w:p w14:paraId="5F7DB060" w14:textId="77777777" w:rsidR="003B7027" w:rsidRPr="0028514E" w:rsidRDefault="003B7027" w:rsidP="006E5F9A">
      <w:pPr>
        <w:pStyle w:val="a4"/>
        <w:tabs>
          <w:tab w:val="left" w:pos="540"/>
        </w:tabs>
        <w:ind w:left="0"/>
      </w:pPr>
    </w:p>
    <w:p w14:paraId="73E42ECF" w14:textId="77777777" w:rsidR="003B7027" w:rsidRPr="0028514E" w:rsidRDefault="00296A74" w:rsidP="006E5F9A">
      <w:pPr>
        <w:pStyle w:val="a4"/>
        <w:tabs>
          <w:tab w:val="left" w:pos="540"/>
        </w:tabs>
        <w:ind w:left="0"/>
      </w:pPr>
      <w:r w:rsidRPr="0028514E">
        <w:t>Ei lasten ulottuville eikä näkyville</w:t>
      </w:r>
    </w:p>
    <w:p w14:paraId="13E4B689" w14:textId="77777777" w:rsidR="003B7027" w:rsidRPr="0028514E" w:rsidRDefault="003B7027" w:rsidP="006E5F9A">
      <w:pPr>
        <w:pStyle w:val="a4"/>
        <w:tabs>
          <w:tab w:val="left" w:pos="540"/>
        </w:tabs>
        <w:ind w:left="0"/>
      </w:pPr>
    </w:p>
    <w:p w14:paraId="483B58A5" w14:textId="77777777" w:rsidR="00E62982" w:rsidRPr="0028514E" w:rsidRDefault="00E62982" w:rsidP="006E5F9A">
      <w:pPr>
        <w:pStyle w:val="a4"/>
        <w:tabs>
          <w:tab w:val="left" w:pos="540"/>
        </w:tabs>
        <w:ind w:left="0"/>
      </w:pPr>
    </w:p>
    <w:p w14:paraId="27C49898"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7.</w:t>
      </w:r>
      <w:r w:rsidRPr="00CA43F5">
        <w:rPr>
          <w:b/>
          <w:lang w:val="fi-FI"/>
        </w:rPr>
        <w:tab/>
        <w:t>MUU ERITYISVAROITUS (MUUT ERITYISVAROITUKSET), JOS TARPEEN</w:t>
      </w:r>
    </w:p>
    <w:p w14:paraId="3C1ED337" w14:textId="77777777" w:rsidR="003B7027" w:rsidRPr="0028514E" w:rsidRDefault="003B7027" w:rsidP="006E5F9A">
      <w:pPr>
        <w:pStyle w:val="a4"/>
        <w:tabs>
          <w:tab w:val="left" w:pos="540"/>
        </w:tabs>
        <w:ind w:left="0"/>
      </w:pPr>
    </w:p>
    <w:p w14:paraId="0599B036" w14:textId="77777777" w:rsidR="003B7027" w:rsidRPr="0028514E" w:rsidRDefault="003B7027" w:rsidP="006E5F9A">
      <w:pPr>
        <w:pStyle w:val="a4"/>
        <w:tabs>
          <w:tab w:val="left" w:pos="540"/>
        </w:tabs>
        <w:ind w:left="0"/>
      </w:pPr>
    </w:p>
    <w:p w14:paraId="7409C92D"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8.</w:t>
      </w:r>
      <w:r w:rsidRPr="00CA43F5">
        <w:rPr>
          <w:b/>
          <w:lang w:val="fi-FI"/>
        </w:rPr>
        <w:tab/>
        <w:t>VIIMEINEN KÄYTTÖPÄIVÄMÄÄRÄ</w:t>
      </w:r>
    </w:p>
    <w:p w14:paraId="3677C114" w14:textId="77777777" w:rsidR="003B7027" w:rsidRPr="0028514E" w:rsidRDefault="003B7027" w:rsidP="006E5F9A">
      <w:pPr>
        <w:pStyle w:val="a4"/>
        <w:tabs>
          <w:tab w:val="left" w:pos="540"/>
        </w:tabs>
        <w:ind w:left="0"/>
      </w:pPr>
    </w:p>
    <w:p w14:paraId="2B36EE50" w14:textId="77777777" w:rsidR="003B7027" w:rsidRPr="0028514E" w:rsidRDefault="00296A74" w:rsidP="006E5F9A">
      <w:pPr>
        <w:pStyle w:val="a4"/>
        <w:tabs>
          <w:tab w:val="left" w:pos="540"/>
        </w:tabs>
        <w:ind w:left="0"/>
      </w:pPr>
      <w:r w:rsidRPr="0028514E">
        <w:t>Käyt. viim.</w:t>
      </w:r>
    </w:p>
    <w:p w14:paraId="756148ED" w14:textId="77777777" w:rsidR="003B7027" w:rsidRPr="00CA43F5" w:rsidRDefault="003B7027" w:rsidP="006E5F9A">
      <w:pPr>
        <w:pStyle w:val="a4"/>
        <w:tabs>
          <w:tab w:val="left" w:pos="540"/>
        </w:tabs>
        <w:ind w:left="0"/>
        <w:rPr>
          <w:rFonts w:eastAsia="SimSun"/>
          <w:b/>
          <w:lang w:eastAsia="zh-CN"/>
        </w:rPr>
      </w:pPr>
    </w:p>
    <w:p w14:paraId="3037B272" w14:textId="77777777" w:rsidR="00E62982" w:rsidRPr="00CA43F5" w:rsidRDefault="00E62982" w:rsidP="006E5F9A">
      <w:pPr>
        <w:pStyle w:val="a4"/>
        <w:tabs>
          <w:tab w:val="left" w:pos="540"/>
        </w:tabs>
        <w:ind w:left="0"/>
        <w:rPr>
          <w:rFonts w:eastAsia="SimSun"/>
          <w:b/>
          <w:lang w:eastAsia="zh-CN"/>
        </w:rPr>
      </w:pPr>
    </w:p>
    <w:p w14:paraId="63C58D1D"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9.</w:t>
      </w:r>
      <w:r w:rsidRPr="00CA43F5">
        <w:rPr>
          <w:b/>
          <w:lang w:val="fi-FI"/>
        </w:rPr>
        <w:tab/>
        <w:t>ERITYISET SÄILYTYSOLOSUHTEET</w:t>
      </w:r>
    </w:p>
    <w:p w14:paraId="2CC3793D" w14:textId="77777777" w:rsidR="00C119F3" w:rsidRPr="0028514E" w:rsidRDefault="00C119F3" w:rsidP="006E5F9A">
      <w:pPr>
        <w:pStyle w:val="a4"/>
        <w:tabs>
          <w:tab w:val="left" w:pos="540"/>
        </w:tabs>
        <w:ind w:left="0"/>
      </w:pPr>
    </w:p>
    <w:p w14:paraId="620EDB9F" w14:textId="77777777" w:rsidR="00E62982" w:rsidRPr="0028514E" w:rsidRDefault="00296A74" w:rsidP="006E5F9A">
      <w:pPr>
        <w:pStyle w:val="a4"/>
        <w:tabs>
          <w:tab w:val="left" w:pos="540"/>
        </w:tabs>
        <w:ind w:left="0"/>
      </w:pPr>
      <w:r w:rsidRPr="0028514E">
        <w:t>Säilytä jääkaapissa</w:t>
      </w:r>
    </w:p>
    <w:p w14:paraId="6F0C4105" w14:textId="77777777" w:rsidR="003B7027" w:rsidRPr="0028514E" w:rsidRDefault="00296A74" w:rsidP="006E5F9A">
      <w:pPr>
        <w:pStyle w:val="a4"/>
        <w:tabs>
          <w:tab w:val="left" w:pos="540"/>
        </w:tabs>
        <w:ind w:left="0"/>
      </w:pPr>
      <w:r w:rsidRPr="0028514E">
        <w:t>Ei saa jäätyä</w:t>
      </w:r>
    </w:p>
    <w:p w14:paraId="442749FD" w14:textId="77777777" w:rsidR="003B7027" w:rsidRPr="0028514E" w:rsidRDefault="00296A74" w:rsidP="006E5F9A">
      <w:pPr>
        <w:pStyle w:val="a4"/>
        <w:tabs>
          <w:tab w:val="left" w:pos="540"/>
        </w:tabs>
        <w:ind w:left="0"/>
      </w:pPr>
      <w:r w:rsidRPr="0028514E">
        <w:lastRenderedPageBreak/>
        <w:t>Pidä injektiopullo ulkopakkauksessa. Herkkä valolle</w:t>
      </w:r>
    </w:p>
    <w:p w14:paraId="324E3B6A" w14:textId="77777777" w:rsidR="003B7027" w:rsidRPr="0028514E" w:rsidRDefault="003B7027" w:rsidP="006E5F9A">
      <w:pPr>
        <w:pStyle w:val="a4"/>
        <w:tabs>
          <w:tab w:val="left" w:pos="540"/>
        </w:tabs>
        <w:ind w:left="0"/>
      </w:pPr>
    </w:p>
    <w:p w14:paraId="7E4A1670" w14:textId="77777777" w:rsidR="00E62982" w:rsidRPr="0028514E" w:rsidRDefault="00E62982" w:rsidP="006E5F9A">
      <w:pPr>
        <w:pStyle w:val="a4"/>
        <w:tabs>
          <w:tab w:val="left" w:pos="540"/>
        </w:tabs>
        <w:ind w:left="0"/>
      </w:pPr>
    </w:p>
    <w:p w14:paraId="7B4BCB15"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10.</w:t>
      </w:r>
      <w:r w:rsidRPr="00CA43F5">
        <w:rPr>
          <w:b/>
          <w:lang w:val="fi-FI"/>
        </w:rPr>
        <w:tab/>
        <w:t>ERITYISET VAROTOIMET KÄYTTÄMÄTTÖMIEN LÄÄKEVALMISTEIDEN TAI NIISTÄ PERÄISIN OLEVAN JÄTEMATERIAALIN HÄVITTÄMISEKSI, JOS TARPEEN</w:t>
      </w:r>
    </w:p>
    <w:p w14:paraId="25BAE356" w14:textId="77777777" w:rsidR="003B7027" w:rsidRPr="0028514E" w:rsidRDefault="003B7027" w:rsidP="006E5F9A">
      <w:pPr>
        <w:pStyle w:val="a4"/>
        <w:tabs>
          <w:tab w:val="left" w:pos="540"/>
        </w:tabs>
        <w:ind w:left="0"/>
      </w:pPr>
    </w:p>
    <w:p w14:paraId="0DB013B7" w14:textId="77777777" w:rsidR="00E62982" w:rsidRPr="0028514E" w:rsidRDefault="00E62982" w:rsidP="006E5F9A">
      <w:pPr>
        <w:pStyle w:val="a4"/>
        <w:tabs>
          <w:tab w:val="left" w:pos="540"/>
        </w:tabs>
        <w:ind w:left="0"/>
      </w:pPr>
    </w:p>
    <w:p w14:paraId="36F1132C"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11.</w:t>
      </w:r>
      <w:r w:rsidRPr="00CA43F5">
        <w:rPr>
          <w:b/>
          <w:lang w:val="fi-FI"/>
        </w:rPr>
        <w:tab/>
        <w:t>MYYNTILUVAN HALTIJAN NIMI JA OSOITE</w:t>
      </w:r>
    </w:p>
    <w:p w14:paraId="59794198" w14:textId="77777777" w:rsidR="003B7027" w:rsidRPr="0028514E" w:rsidRDefault="003B7027" w:rsidP="006E5F9A">
      <w:pPr>
        <w:pStyle w:val="a4"/>
        <w:tabs>
          <w:tab w:val="left" w:pos="540"/>
        </w:tabs>
        <w:ind w:left="0"/>
      </w:pPr>
    </w:p>
    <w:p w14:paraId="12454FE2" w14:textId="77777777" w:rsidR="00223EE6" w:rsidRPr="00CA43F5" w:rsidRDefault="00223EE6" w:rsidP="00223EE6">
      <w:pPr>
        <w:keepNext/>
        <w:rPr>
          <w:lang w:val="fi-FI"/>
        </w:rPr>
      </w:pPr>
      <w:r w:rsidRPr="00CA43F5">
        <w:rPr>
          <w:lang w:val="fi-FI"/>
        </w:rPr>
        <w:t xml:space="preserve">Celltrion Healthcare Hungary Kft. </w:t>
      </w:r>
    </w:p>
    <w:p w14:paraId="08163A17" w14:textId="77777777" w:rsidR="00223EE6" w:rsidRPr="00020C6B" w:rsidRDefault="00223EE6" w:rsidP="00223EE6">
      <w:pPr>
        <w:keepNext/>
      </w:pPr>
      <w:r w:rsidRPr="00020C6B">
        <w:t>1062 Budapest</w:t>
      </w:r>
    </w:p>
    <w:p w14:paraId="57BF458B" w14:textId="77777777" w:rsidR="00223EE6" w:rsidRPr="00020C6B" w:rsidRDefault="00223EE6" w:rsidP="00223EE6">
      <w:pPr>
        <w:keepNext/>
      </w:pPr>
      <w:r w:rsidRPr="00020C6B">
        <w:t xml:space="preserve">Váci </w:t>
      </w:r>
      <w:proofErr w:type="spellStart"/>
      <w:r w:rsidRPr="00020C6B">
        <w:t>út</w:t>
      </w:r>
      <w:proofErr w:type="spellEnd"/>
      <w:r w:rsidRPr="00020C6B">
        <w:t xml:space="preserve"> 1-3. </w:t>
      </w:r>
      <w:proofErr w:type="spellStart"/>
      <w:r w:rsidRPr="00020C6B">
        <w:t>WestEnd</w:t>
      </w:r>
      <w:proofErr w:type="spellEnd"/>
      <w:r w:rsidRPr="00020C6B">
        <w:t xml:space="preserve"> Office Building B </w:t>
      </w:r>
      <w:proofErr w:type="spellStart"/>
      <w:r w:rsidRPr="00020C6B">
        <w:t>torony</w:t>
      </w:r>
      <w:proofErr w:type="spellEnd"/>
    </w:p>
    <w:p w14:paraId="16831F6D" w14:textId="72BE528A" w:rsidR="003B7027" w:rsidRPr="0028514E" w:rsidRDefault="00223EE6" w:rsidP="006E5F9A">
      <w:pPr>
        <w:pStyle w:val="a4"/>
        <w:tabs>
          <w:tab w:val="left" w:pos="540"/>
        </w:tabs>
        <w:ind w:left="0"/>
      </w:pPr>
      <w:r>
        <w:t>Unkari</w:t>
      </w:r>
    </w:p>
    <w:p w14:paraId="3F5954D7" w14:textId="77777777" w:rsidR="003B7027" w:rsidRPr="0028514E" w:rsidRDefault="003B7027" w:rsidP="006E5F9A">
      <w:pPr>
        <w:pStyle w:val="a4"/>
        <w:tabs>
          <w:tab w:val="left" w:pos="540"/>
        </w:tabs>
        <w:ind w:left="0"/>
      </w:pPr>
    </w:p>
    <w:p w14:paraId="61189771" w14:textId="77777777" w:rsidR="00E62982" w:rsidRPr="0028514E" w:rsidRDefault="00E62982" w:rsidP="006E5F9A">
      <w:pPr>
        <w:pStyle w:val="a4"/>
        <w:tabs>
          <w:tab w:val="left" w:pos="540"/>
        </w:tabs>
        <w:ind w:left="0"/>
      </w:pPr>
    </w:p>
    <w:p w14:paraId="0776B401"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12.</w:t>
      </w:r>
      <w:r w:rsidRPr="00CA43F5">
        <w:rPr>
          <w:b/>
          <w:lang w:val="fi-FI"/>
        </w:rPr>
        <w:tab/>
        <w:t>MYYNTILUVAN NUMERO(T)</w:t>
      </w:r>
    </w:p>
    <w:p w14:paraId="6FE437B1" w14:textId="77777777" w:rsidR="003B7027" w:rsidRPr="0028514E" w:rsidRDefault="003B7027" w:rsidP="006E5F9A">
      <w:pPr>
        <w:pStyle w:val="a4"/>
        <w:tabs>
          <w:tab w:val="left" w:pos="540"/>
        </w:tabs>
        <w:ind w:left="0"/>
      </w:pPr>
    </w:p>
    <w:p w14:paraId="5770E52D" w14:textId="4A43DF6A" w:rsidR="00223EE6" w:rsidRPr="00CA43F5" w:rsidRDefault="00223EE6" w:rsidP="00223EE6">
      <w:pPr>
        <w:keepNext/>
        <w:rPr>
          <w:lang w:val="fi-FI"/>
        </w:rPr>
      </w:pPr>
      <w:r w:rsidRPr="00CA43F5">
        <w:rPr>
          <w:lang w:val="fi-FI"/>
        </w:rPr>
        <w:t>EU/</w:t>
      </w:r>
      <w:r w:rsidR="00867C17" w:rsidRPr="003672E9">
        <w:rPr>
          <w:spacing w:val="-1"/>
          <w:lang w:val="pt-BR"/>
        </w:rPr>
        <w:t>1/24/1896/00</w:t>
      </w:r>
      <w:r w:rsidR="00867C17">
        <w:rPr>
          <w:rFonts w:eastAsia="맑은 고딕"/>
          <w:spacing w:val="-1"/>
          <w:lang w:val="pt-BR" w:eastAsia="ko-KR"/>
        </w:rPr>
        <w:t>5</w:t>
      </w:r>
      <w:r w:rsidR="00867C17">
        <w:rPr>
          <w:lang w:val="fi-FI"/>
        </w:rPr>
        <w:t xml:space="preserve"> 1 injektiopullo</w:t>
      </w:r>
    </w:p>
    <w:p w14:paraId="358BEAA6" w14:textId="28DECD83" w:rsidR="003B7027" w:rsidRPr="00E919A5" w:rsidRDefault="00223EE6" w:rsidP="006E5F9A">
      <w:pPr>
        <w:pStyle w:val="a4"/>
        <w:tabs>
          <w:tab w:val="left" w:pos="540"/>
        </w:tabs>
        <w:ind w:left="0"/>
      </w:pPr>
      <w:r w:rsidRPr="00E919A5">
        <w:t>EU/</w:t>
      </w:r>
      <w:r w:rsidR="00867C17" w:rsidRPr="003672E9">
        <w:rPr>
          <w:spacing w:val="-1"/>
          <w:lang w:val="pt-BR"/>
        </w:rPr>
        <w:t>1/24/1896/00</w:t>
      </w:r>
      <w:r w:rsidR="00867C17">
        <w:rPr>
          <w:rFonts w:eastAsia="맑은 고딕"/>
          <w:spacing w:val="-1"/>
          <w:lang w:val="pt-BR" w:eastAsia="ko-KR"/>
        </w:rPr>
        <w:t>6</w:t>
      </w:r>
      <w:r w:rsidR="00867C17" w:rsidRPr="00E919A5">
        <w:t xml:space="preserve"> 4 injektiopulloa</w:t>
      </w:r>
    </w:p>
    <w:p w14:paraId="53B5B82C" w14:textId="77777777" w:rsidR="003B7027" w:rsidRPr="00E919A5" w:rsidRDefault="003B7027" w:rsidP="006E5F9A">
      <w:pPr>
        <w:pStyle w:val="a4"/>
        <w:tabs>
          <w:tab w:val="left" w:pos="540"/>
        </w:tabs>
        <w:ind w:left="0"/>
      </w:pPr>
    </w:p>
    <w:p w14:paraId="7D674FF7" w14:textId="77777777" w:rsidR="00E62982" w:rsidRPr="00E919A5" w:rsidRDefault="00E62982" w:rsidP="006E5F9A">
      <w:pPr>
        <w:pStyle w:val="a4"/>
        <w:tabs>
          <w:tab w:val="left" w:pos="540"/>
        </w:tabs>
        <w:ind w:left="0"/>
      </w:pPr>
    </w:p>
    <w:p w14:paraId="7F73AAB7"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 w:val="left" w:pos="724"/>
        </w:tabs>
        <w:spacing w:before="1"/>
        <w:rPr>
          <w:b/>
          <w:lang w:val="fi-FI"/>
        </w:rPr>
      </w:pPr>
      <w:r w:rsidRPr="00CA43F5">
        <w:rPr>
          <w:b/>
          <w:lang w:val="fi-FI"/>
        </w:rPr>
        <w:t>13.</w:t>
      </w:r>
      <w:r w:rsidRPr="00CA43F5">
        <w:rPr>
          <w:b/>
          <w:lang w:val="fi-FI"/>
        </w:rPr>
        <w:tab/>
        <w:t>ERÄNUMERO</w:t>
      </w:r>
    </w:p>
    <w:p w14:paraId="13693594" w14:textId="77777777" w:rsidR="003B7027" w:rsidRPr="0028514E" w:rsidRDefault="003B7027" w:rsidP="006E5F9A">
      <w:pPr>
        <w:pStyle w:val="a4"/>
        <w:tabs>
          <w:tab w:val="left" w:pos="540"/>
        </w:tabs>
        <w:ind w:left="0"/>
      </w:pPr>
    </w:p>
    <w:p w14:paraId="4639356C" w14:textId="067ED291" w:rsidR="003B7027" w:rsidRPr="0028514E" w:rsidRDefault="00AB74EF" w:rsidP="006E5F9A">
      <w:pPr>
        <w:pStyle w:val="a4"/>
        <w:tabs>
          <w:tab w:val="left" w:pos="540"/>
        </w:tabs>
        <w:ind w:left="0"/>
      </w:pPr>
      <w:r>
        <w:t>Erä</w:t>
      </w:r>
    </w:p>
    <w:p w14:paraId="1BC35517" w14:textId="77777777" w:rsidR="003B7027" w:rsidRPr="0028514E" w:rsidRDefault="003B7027" w:rsidP="006E5F9A">
      <w:pPr>
        <w:pStyle w:val="a4"/>
        <w:tabs>
          <w:tab w:val="left" w:pos="540"/>
        </w:tabs>
        <w:ind w:left="0"/>
      </w:pPr>
    </w:p>
    <w:p w14:paraId="2FA41991" w14:textId="77777777" w:rsidR="00E62982" w:rsidRPr="0028514E" w:rsidRDefault="00E62982" w:rsidP="006E5F9A">
      <w:pPr>
        <w:pStyle w:val="a4"/>
        <w:tabs>
          <w:tab w:val="left" w:pos="540"/>
        </w:tabs>
        <w:ind w:left="0"/>
      </w:pPr>
    </w:p>
    <w:p w14:paraId="45758AB8"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14.</w:t>
      </w:r>
      <w:r w:rsidRPr="00CA43F5">
        <w:rPr>
          <w:b/>
          <w:lang w:val="fi-FI"/>
        </w:rPr>
        <w:tab/>
        <w:t>YLEINEN TOIMITTAMISLUOKITTELU</w:t>
      </w:r>
    </w:p>
    <w:p w14:paraId="495793C7" w14:textId="77777777" w:rsidR="003B7027" w:rsidRPr="0028514E" w:rsidRDefault="003B7027" w:rsidP="006E5F9A">
      <w:pPr>
        <w:pStyle w:val="a4"/>
        <w:tabs>
          <w:tab w:val="left" w:pos="540"/>
        </w:tabs>
        <w:ind w:left="0"/>
      </w:pPr>
    </w:p>
    <w:p w14:paraId="3FCD1874" w14:textId="77777777" w:rsidR="003B7027" w:rsidRPr="00237A3E" w:rsidRDefault="00296A74" w:rsidP="00CA43F5">
      <w:pPr>
        <w:rPr>
          <w:rFonts w:eastAsia="DengXian"/>
          <w:highlight w:val="lightGray"/>
          <w:lang w:val="fi-FI"/>
        </w:rPr>
      </w:pPr>
      <w:r w:rsidRPr="00237A3E">
        <w:rPr>
          <w:rFonts w:eastAsia="DengXian"/>
          <w:highlight w:val="lightGray"/>
          <w:lang w:val="fi-FI"/>
        </w:rPr>
        <w:t>Reseptilääke</w:t>
      </w:r>
    </w:p>
    <w:p w14:paraId="3A2FE7D8" w14:textId="77777777" w:rsidR="003B7027" w:rsidRPr="0028514E" w:rsidRDefault="003B7027" w:rsidP="006E5F9A">
      <w:pPr>
        <w:pStyle w:val="a4"/>
        <w:tabs>
          <w:tab w:val="left" w:pos="540"/>
        </w:tabs>
        <w:ind w:left="0"/>
      </w:pPr>
    </w:p>
    <w:p w14:paraId="5ADE0ACE" w14:textId="77777777" w:rsidR="00E62982" w:rsidRPr="0028514E" w:rsidRDefault="00E62982" w:rsidP="006E5F9A">
      <w:pPr>
        <w:pStyle w:val="a4"/>
        <w:tabs>
          <w:tab w:val="left" w:pos="540"/>
        </w:tabs>
        <w:ind w:left="0"/>
      </w:pPr>
    </w:p>
    <w:p w14:paraId="135169AA"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15.</w:t>
      </w:r>
      <w:r w:rsidRPr="00CA43F5">
        <w:rPr>
          <w:b/>
          <w:lang w:val="fi-FI"/>
        </w:rPr>
        <w:tab/>
        <w:t>KÄYTTÖOHJEET</w:t>
      </w:r>
    </w:p>
    <w:p w14:paraId="354F56A8" w14:textId="77777777" w:rsidR="003B7027" w:rsidRPr="0028514E" w:rsidRDefault="003B7027" w:rsidP="006E5F9A">
      <w:pPr>
        <w:pStyle w:val="a4"/>
        <w:tabs>
          <w:tab w:val="left" w:pos="540"/>
        </w:tabs>
        <w:ind w:left="0"/>
      </w:pPr>
    </w:p>
    <w:p w14:paraId="3FBC31D7" w14:textId="77777777" w:rsidR="003B7027" w:rsidRPr="0028514E" w:rsidRDefault="003B7027" w:rsidP="006E5F9A">
      <w:pPr>
        <w:pStyle w:val="a4"/>
        <w:tabs>
          <w:tab w:val="left" w:pos="540"/>
        </w:tabs>
        <w:ind w:left="0"/>
      </w:pPr>
    </w:p>
    <w:p w14:paraId="31D0D189"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16.</w:t>
      </w:r>
      <w:r w:rsidRPr="00CA43F5">
        <w:rPr>
          <w:b/>
          <w:lang w:val="fi-FI"/>
        </w:rPr>
        <w:tab/>
        <w:t>TIEDOT PISTEKIRJOITUKSELLA</w:t>
      </w:r>
    </w:p>
    <w:p w14:paraId="330332BD" w14:textId="77777777" w:rsidR="003B7027" w:rsidRPr="0028514E" w:rsidRDefault="003B7027" w:rsidP="006E5F9A">
      <w:pPr>
        <w:pStyle w:val="a4"/>
        <w:tabs>
          <w:tab w:val="left" w:pos="540"/>
        </w:tabs>
        <w:ind w:left="0"/>
      </w:pPr>
    </w:p>
    <w:p w14:paraId="58AB4F69" w14:textId="77777777" w:rsidR="00EA0C47" w:rsidRPr="00EA0C47" w:rsidRDefault="00EA0C47" w:rsidP="00EA0C47">
      <w:pPr>
        <w:rPr>
          <w:rFonts w:eastAsia="DengXian"/>
          <w:highlight w:val="lightGray"/>
          <w:lang w:val="fi-FI"/>
        </w:rPr>
      </w:pPr>
      <w:r w:rsidRPr="00EA0C47">
        <w:rPr>
          <w:rFonts w:eastAsia="DengXian"/>
          <w:highlight w:val="lightGray"/>
          <w:lang w:val="fi-FI"/>
        </w:rPr>
        <w:t>Vapautettu pistekirjoituksesta</w:t>
      </w:r>
    </w:p>
    <w:p w14:paraId="48889208" w14:textId="77777777" w:rsidR="003B7027" w:rsidRPr="0028514E" w:rsidRDefault="003B7027" w:rsidP="006E5F9A">
      <w:pPr>
        <w:pStyle w:val="a4"/>
        <w:tabs>
          <w:tab w:val="left" w:pos="540"/>
        </w:tabs>
        <w:ind w:left="0"/>
      </w:pPr>
    </w:p>
    <w:p w14:paraId="3A571938" w14:textId="77777777" w:rsidR="00E62982" w:rsidRPr="0028514E" w:rsidRDefault="00E62982" w:rsidP="006E5F9A">
      <w:pPr>
        <w:pStyle w:val="a4"/>
        <w:tabs>
          <w:tab w:val="left" w:pos="540"/>
        </w:tabs>
        <w:ind w:left="0"/>
      </w:pPr>
    </w:p>
    <w:p w14:paraId="3A6F4ACB"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17.</w:t>
      </w:r>
      <w:r w:rsidRPr="00CA43F5">
        <w:rPr>
          <w:b/>
          <w:lang w:val="fi-FI"/>
        </w:rPr>
        <w:tab/>
        <w:t>YKSILÖLLINEN TUNNISTE – 2D-VIIVAKOODI</w:t>
      </w:r>
    </w:p>
    <w:p w14:paraId="5A95123B" w14:textId="77777777" w:rsidR="003B7027" w:rsidRPr="0028514E" w:rsidRDefault="003B7027" w:rsidP="006E5F9A">
      <w:pPr>
        <w:pStyle w:val="a4"/>
        <w:tabs>
          <w:tab w:val="left" w:pos="540"/>
        </w:tabs>
        <w:ind w:left="0"/>
      </w:pPr>
    </w:p>
    <w:p w14:paraId="23E93C06" w14:textId="77777777" w:rsidR="003B7027" w:rsidRPr="00237A3E" w:rsidRDefault="00296A74" w:rsidP="00CA43F5">
      <w:pPr>
        <w:rPr>
          <w:rFonts w:eastAsia="DengXian"/>
          <w:highlight w:val="lightGray"/>
          <w:lang w:val="fi-FI"/>
        </w:rPr>
      </w:pPr>
      <w:r w:rsidRPr="00237A3E">
        <w:rPr>
          <w:rFonts w:eastAsia="DengXian"/>
          <w:highlight w:val="lightGray"/>
          <w:lang w:val="fi-FI"/>
        </w:rPr>
        <w:t>&lt;2D-viivakoodi, joka sisältää yksilöllisen tunnisteen.&gt;</w:t>
      </w:r>
    </w:p>
    <w:p w14:paraId="45B07CCF" w14:textId="77777777" w:rsidR="003B7027" w:rsidRPr="0028514E" w:rsidRDefault="003B7027" w:rsidP="006E5F9A">
      <w:pPr>
        <w:pStyle w:val="a4"/>
        <w:tabs>
          <w:tab w:val="left" w:pos="540"/>
        </w:tabs>
        <w:ind w:left="0"/>
      </w:pPr>
    </w:p>
    <w:p w14:paraId="1EB0E7BE" w14:textId="77777777" w:rsidR="00E62982" w:rsidRPr="0028514E" w:rsidRDefault="00E62982" w:rsidP="006E5F9A">
      <w:pPr>
        <w:pStyle w:val="a4"/>
        <w:tabs>
          <w:tab w:val="left" w:pos="540"/>
        </w:tabs>
        <w:ind w:left="0"/>
      </w:pPr>
    </w:p>
    <w:p w14:paraId="03B73600"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18.</w:t>
      </w:r>
      <w:r w:rsidRPr="00CA43F5">
        <w:rPr>
          <w:b/>
          <w:lang w:val="fi-FI"/>
        </w:rPr>
        <w:tab/>
        <w:t>YKSILÖLLINEN TUNNISTE – LUETTAVISSA OLEVAT TIEDOT</w:t>
      </w:r>
    </w:p>
    <w:p w14:paraId="269F468A" w14:textId="77777777" w:rsidR="003B7027" w:rsidRPr="0028514E" w:rsidRDefault="003B7027" w:rsidP="006E5F9A">
      <w:pPr>
        <w:pStyle w:val="a4"/>
        <w:tabs>
          <w:tab w:val="left" w:pos="540"/>
        </w:tabs>
        <w:ind w:left="0"/>
      </w:pPr>
    </w:p>
    <w:p w14:paraId="4761D9E0" w14:textId="77777777" w:rsidR="00E62982" w:rsidRPr="0028514E" w:rsidRDefault="00296A74" w:rsidP="006E5F9A">
      <w:pPr>
        <w:pStyle w:val="a4"/>
        <w:tabs>
          <w:tab w:val="left" w:pos="540"/>
        </w:tabs>
        <w:ind w:left="0"/>
      </w:pPr>
      <w:r w:rsidRPr="0028514E">
        <w:t>PC</w:t>
      </w:r>
    </w:p>
    <w:p w14:paraId="0FF033A1" w14:textId="77777777" w:rsidR="00E62982" w:rsidRPr="0028514E" w:rsidRDefault="00296A74" w:rsidP="006E5F9A">
      <w:pPr>
        <w:pStyle w:val="a4"/>
        <w:tabs>
          <w:tab w:val="left" w:pos="540"/>
        </w:tabs>
        <w:ind w:left="0"/>
      </w:pPr>
      <w:r w:rsidRPr="0028514E">
        <w:t>SN</w:t>
      </w:r>
    </w:p>
    <w:p w14:paraId="0CF96562" w14:textId="77777777" w:rsidR="003B7027" w:rsidRPr="0028514E" w:rsidRDefault="00296A74" w:rsidP="006E5F9A">
      <w:pPr>
        <w:pStyle w:val="a4"/>
        <w:tabs>
          <w:tab w:val="left" w:pos="540"/>
        </w:tabs>
        <w:ind w:left="0"/>
      </w:pPr>
      <w:r w:rsidRPr="003F07A8">
        <w:rPr>
          <w:highlight w:val="lightGray"/>
        </w:rPr>
        <w:t>NN</w:t>
      </w:r>
    </w:p>
    <w:p w14:paraId="2F49D29C" w14:textId="087FF78B" w:rsidR="00C119F3" w:rsidRPr="00CA43F5" w:rsidRDefault="00E62982" w:rsidP="00EA2A65">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CA43F5">
        <w:rPr>
          <w:lang w:val="fi-FI"/>
        </w:rPr>
        <w:br w:type="page"/>
      </w:r>
      <w:r w:rsidR="00C119F3" w:rsidRPr="00CA43F5">
        <w:rPr>
          <w:b/>
          <w:lang w:val="fi-FI"/>
        </w:rPr>
        <w:lastRenderedPageBreak/>
        <w:t>ULKOPAKKAUKSESSA ON OLTAVA SEURAAVAT MERKINNÄT</w:t>
      </w:r>
    </w:p>
    <w:p w14:paraId="3E21869C" w14:textId="77777777" w:rsidR="00C119F3" w:rsidRPr="00CA43F5" w:rsidRDefault="00C119F3" w:rsidP="00EA2A65">
      <w:pPr>
        <w:pBdr>
          <w:top w:val="single" w:sz="4" w:space="1" w:color="000000"/>
          <w:left w:val="single" w:sz="4" w:space="4" w:color="000000"/>
          <w:bottom w:val="single" w:sz="4" w:space="1" w:color="000000"/>
          <w:right w:val="single" w:sz="4" w:space="4" w:color="000000"/>
        </w:pBdr>
        <w:tabs>
          <w:tab w:val="left" w:pos="540"/>
        </w:tabs>
        <w:rPr>
          <w:b/>
          <w:lang w:val="fi-FI"/>
        </w:rPr>
      </w:pPr>
      <w:r w:rsidRPr="00CA43F5">
        <w:rPr>
          <w:b/>
          <w:lang w:val="fi-FI"/>
        </w:rPr>
        <w:t>ESITÄYTETYN RUISKUN KOTELO</w:t>
      </w:r>
    </w:p>
    <w:p w14:paraId="2735E3A4" w14:textId="77777777" w:rsidR="003B7027" w:rsidRPr="00CA43F5" w:rsidRDefault="003B7027" w:rsidP="006E5F9A">
      <w:pPr>
        <w:pStyle w:val="a4"/>
        <w:tabs>
          <w:tab w:val="left" w:pos="540"/>
        </w:tabs>
        <w:ind w:left="0"/>
        <w:rPr>
          <w:rFonts w:eastAsia="SimSun"/>
          <w:b/>
          <w:lang w:eastAsia="zh-CN"/>
        </w:rPr>
      </w:pPr>
    </w:p>
    <w:p w14:paraId="596AE3AB" w14:textId="77777777" w:rsidR="00C119F3" w:rsidRPr="0028514E" w:rsidRDefault="00C119F3" w:rsidP="006E5F9A">
      <w:pPr>
        <w:pStyle w:val="a4"/>
        <w:tabs>
          <w:tab w:val="left" w:pos="540"/>
        </w:tabs>
        <w:ind w:left="0"/>
      </w:pPr>
    </w:p>
    <w:p w14:paraId="74ACEFD5"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w:t>
      </w:r>
      <w:r w:rsidRPr="00CA43F5">
        <w:rPr>
          <w:b/>
          <w:lang w:val="fi-FI"/>
        </w:rPr>
        <w:tab/>
        <w:t>LÄÄKEVALMISTEEN NIMI</w:t>
      </w:r>
    </w:p>
    <w:p w14:paraId="2979C0FB" w14:textId="77777777" w:rsidR="003B7027" w:rsidRPr="0028514E" w:rsidRDefault="003B7027" w:rsidP="006E5F9A">
      <w:pPr>
        <w:pStyle w:val="a4"/>
        <w:tabs>
          <w:tab w:val="left" w:pos="540"/>
        </w:tabs>
        <w:ind w:left="0"/>
      </w:pPr>
    </w:p>
    <w:p w14:paraId="3EED27BD" w14:textId="609413CC" w:rsidR="006E5F9A" w:rsidRDefault="00DC663F" w:rsidP="006E5F9A">
      <w:pPr>
        <w:pStyle w:val="a4"/>
        <w:tabs>
          <w:tab w:val="left" w:pos="540"/>
        </w:tabs>
        <w:ind w:left="0"/>
      </w:pPr>
      <w:r>
        <w:t>Avtozma</w:t>
      </w:r>
      <w:r w:rsidRPr="0028514E">
        <w:t xml:space="preserve"> </w:t>
      </w:r>
      <w:r w:rsidR="00296A74" w:rsidRPr="0028514E">
        <w:t xml:space="preserve">162 mg injektioneste, liuos esitäytetyssä ruiskussa </w:t>
      </w:r>
    </w:p>
    <w:p w14:paraId="2B1A4D3C" w14:textId="77777777" w:rsidR="003B7027" w:rsidRPr="0028514E" w:rsidRDefault="00296A74" w:rsidP="006E5F9A">
      <w:pPr>
        <w:pStyle w:val="a4"/>
        <w:tabs>
          <w:tab w:val="left" w:pos="540"/>
        </w:tabs>
        <w:ind w:left="0"/>
      </w:pPr>
      <w:r w:rsidRPr="0028514E">
        <w:t>tosilitsumabi</w:t>
      </w:r>
    </w:p>
    <w:p w14:paraId="2B11CCE4" w14:textId="77777777" w:rsidR="00EB5DDD" w:rsidRPr="0028514E" w:rsidRDefault="00EB5DDD" w:rsidP="006E5F9A">
      <w:pPr>
        <w:pStyle w:val="a4"/>
        <w:tabs>
          <w:tab w:val="left" w:pos="540"/>
        </w:tabs>
        <w:ind w:left="0"/>
      </w:pPr>
    </w:p>
    <w:p w14:paraId="64EE155A" w14:textId="77777777" w:rsidR="00EB5DDD" w:rsidRPr="0028514E" w:rsidRDefault="00EB5DDD" w:rsidP="006E5F9A">
      <w:pPr>
        <w:pStyle w:val="a4"/>
        <w:tabs>
          <w:tab w:val="left" w:pos="540"/>
        </w:tabs>
        <w:ind w:left="0"/>
      </w:pPr>
    </w:p>
    <w:p w14:paraId="1CB60553"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2.</w:t>
      </w:r>
      <w:r w:rsidRPr="00CA43F5">
        <w:rPr>
          <w:b/>
          <w:lang w:val="fi-FI"/>
        </w:rPr>
        <w:tab/>
        <w:t>VAIKUTTAVA(T) AINE(ET)</w:t>
      </w:r>
    </w:p>
    <w:p w14:paraId="0DF6FCA6" w14:textId="77777777" w:rsidR="003B7027" w:rsidRPr="0028514E" w:rsidRDefault="003B7027" w:rsidP="006E5F9A">
      <w:pPr>
        <w:pStyle w:val="a4"/>
        <w:tabs>
          <w:tab w:val="left" w:pos="540"/>
        </w:tabs>
        <w:ind w:left="0"/>
      </w:pPr>
    </w:p>
    <w:p w14:paraId="57472852" w14:textId="77777777" w:rsidR="003B7027" w:rsidRPr="0028514E" w:rsidRDefault="00296A74" w:rsidP="006E5F9A">
      <w:pPr>
        <w:pStyle w:val="a4"/>
        <w:tabs>
          <w:tab w:val="left" w:pos="540"/>
        </w:tabs>
        <w:ind w:left="0"/>
      </w:pPr>
      <w:r w:rsidRPr="0028514E">
        <w:t>1 esitäytetty ruisku sisältää 162 mg tosilitsumabia</w:t>
      </w:r>
    </w:p>
    <w:p w14:paraId="5FE2BE95" w14:textId="77777777" w:rsidR="003B7027" w:rsidRPr="0028514E" w:rsidRDefault="003B7027" w:rsidP="006E5F9A">
      <w:pPr>
        <w:pStyle w:val="a4"/>
        <w:tabs>
          <w:tab w:val="left" w:pos="540"/>
        </w:tabs>
        <w:ind w:left="0"/>
      </w:pPr>
    </w:p>
    <w:p w14:paraId="18B65072" w14:textId="77777777" w:rsidR="00E62982" w:rsidRPr="0028514E" w:rsidRDefault="00E62982" w:rsidP="006E5F9A">
      <w:pPr>
        <w:pStyle w:val="a4"/>
        <w:tabs>
          <w:tab w:val="left" w:pos="540"/>
        </w:tabs>
        <w:ind w:left="0"/>
      </w:pPr>
    </w:p>
    <w:p w14:paraId="2538D1A0"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3.</w:t>
      </w:r>
      <w:r w:rsidRPr="00CA43F5">
        <w:rPr>
          <w:b/>
          <w:lang w:val="fi-FI"/>
        </w:rPr>
        <w:tab/>
        <w:t>LUETTELO APUAINEISTA</w:t>
      </w:r>
    </w:p>
    <w:p w14:paraId="0FCEA10C" w14:textId="77777777" w:rsidR="003B7027" w:rsidRPr="0028514E" w:rsidRDefault="003B7027" w:rsidP="006E5F9A">
      <w:pPr>
        <w:pStyle w:val="a4"/>
        <w:tabs>
          <w:tab w:val="left" w:pos="540"/>
        </w:tabs>
        <w:ind w:left="0"/>
      </w:pPr>
    </w:p>
    <w:p w14:paraId="080317FD" w14:textId="18FA9B11" w:rsidR="00DC663F" w:rsidRDefault="00DC663F" w:rsidP="006E5F9A">
      <w:pPr>
        <w:pStyle w:val="a4"/>
        <w:tabs>
          <w:tab w:val="left" w:pos="540"/>
        </w:tabs>
        <w:ind w:left="0"/>
      </w:pPr>
      <w:r>
        <w:t xml:space="preserve">Apuaineet: L‑histidiini, </w:t>
      </w:r>
      <w:r w:rsidR="00C26E34" w:rsidRPr="00C26E34">
        <w:rPr>
          <w:rFonts w:eastAsia="맑은 고딕" w:hint="eastAsia"/>
          <w:lang w:eastAsia="ko-KR"/>
        </w:rPr>
        <w:t>L-histidiinimonohydrokloridimonohydraatti</w:t>
      </w:r>
      <w:r w:rsidR="00A5656C">
        <w:rPr>
          <w:rFonts w:eastAsia="맑은 고딕" w:hint="eastAsia"/>
          <w:lang w:eastAsia="ko-KR"/>
        </w:rPr>
        <w:t xml:space="preserve">, </w:t>
      </w:r>
      <w:r>
        <w:t>L‑treoniini, L‑metioniini, polysorbaatti 80</w:t>
      </w:r>
      <w:r w:rsidR="00503985">
        <w:t>,</w:t>
      </w:r>
      <w:r>
        <w:t xml:space="preserve"> injektionesteisiin käytettävä vesi.</w:t>
      </w:r>
    </w:p>
    <w:p w14:paraId="05050C80" w14:textId="5F153FB7" w:rsidR="003B7027" w:rsidRPr="0028514E" w:rsidRDefault="00DC663F" w:rsidP="006E5F9A">
      <w:pPr>
        <w:pStyle w:val="a4"/>
        <w:tabs>
          <w:tab w:val="left" w:pos="540"/>
        </w:tabs>
        <w:ind w:left="0"/>
      </w:pPr>
      <w:r w:rsidRPr="0028514E">
        <w:t>Katso lisätiedot pakkausselosteesta.</w:t>
      </w:r>
    </w:p>
    <w:p w14:paraId="2DBD3463" w14:textId="77777777" w:rsidR="003B7027" w:rsidRPr="0028514E" w:rsidRDefault="003B7027" w:rsidP="006E5F9A">
      <w:pPr>
        <w:pStyle w:val="a4"/>
        <w:tabs>
          <w:tab w:val="left" w:pos="540"/>
        </w:tabs>
        <w:ind w:left="0"/>
      </w:pPr>
    </w:p>
    <w:p w14:paraId="4E8F820C" w14:textId="77777777" w:rsidR="00E62982" w:rsidRPr="0028514E" w:rsidRDefault="00E62982" w:rsidP="006E5F9A">
      <w:pPr>
        <w:pStyle w:val="a4"/>
        <w:tabs>
          <w:tab w:val="left" w:pos="540"/>
        </w:tabs>
        <w:ind w:left="0"/>
      </w:pPr>
    </w:p>
    <w:p w14:paraId="727CD628" w14:textId="77777777" w:rsidR="00C119F3" w:rsidRPr="00CA43F5" w:rsidRDefault="00C119F3"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4.</w:t>
      </w:r>
      <w:r w:rsidRPr="00CA43F5">
        <w:rPr>
          <w:b/>
          <w:lang w:val="fi-FI"/>
        </w:rPr>
        <w:tab/>
        <w:t>LÄÄKEMUOTO JA SISÄLLÖN MÄÄRÄ</w:t>
      </w:r>
    </w:p>
    <w:p w14:paraId="3A30A788" w14:textId="77777777" w:rsidR="003B7027" w:rsidRPr="0028514E" w:rsidRDefault="003B7027" w:rsidP="006E5F9A">
      <w:pPr>
        <w:pStyle w:val="a4"/>
        <w:tabs>
          <w:tab w:val="left" w:pos="540"/>
        </w:tabs>
        <w:ind w:left="0"/>
      </w:pPr>
    </w:p>
    <w:p w14:paraId="7797CE91" w14:textId="77777777" w:rsidR="006E5F9A" w:rsidRDefault="00296A74" w:rsidP="006E5F9A">
      <w:pPr>
        <w:pStyle w:val="a4"/>
        <w:tabs>
          <w:tab w:val="left" w:pos="540"/>
          <w:tab w:val="left" w:pos="3828"/>
        </w:tabs>
        <w:ind w:left="0"/>
      </w:pPr>
      <w:r w:rsidRPr="0028514E">
        <w:t xml:space="preserve">Injektioneste, liuos esitäytetyssä ruiskussa </w:t>
      </w:r>
    </w:p>
    <w:p w14:paraId="3D47765A" w14:textId="01BF2A85" w:rsidR="00DC663F" w:rsidRDefault="00DC663F" w:rsidP="006E5F9A">
      <w:pPr>
        <w:pStyle w:val="a4"/>
        <w:tabs>
          <w:tab w:val="left" w:pos="540"/>
          <w:tab w:val="left" w:pos="3828"/>
        </w:tabs>
        <w:ind w:left="0"/>
      </w:pPr>
      <w:r>
        <w:t>1 esitäytetty ruisku</w:t>
      </w:r>
    </w:p>
    <w:p w14:paraId="56EC9328" w14:textId="7A98183E" w:rsidR="003B2CC6" w:rsidRPr="0028514E" w:rsidRDefault="003B2CC6" w:rsidP="003B2CC6">
      <w:pPr>
        <w:pStyle w:val="a4"/>
        <w:tabs>
          <w:tab w:val="left" w:pos="540"/>
          <w:tab w:val="left" w:pos="3828"/>
        </w:tabs>
        <w:ind w:left="0"/>
        <w:rPr>
          <w:ins w:id="29" w:author="만든 이"/>
        </w:rPr>
      </w:pPr>
      <w:ins w:id="30" w:author="만든 이">
        <w:r>
          <w:rPr>
            <w:rFonts w:eastAsia="맑은 고딕" w:hint="eastAsia"/>
            <w:lang w:eastAsia="ko-KR"/>
          </w:rPr>
          <w:t>2</w:t>
        </w:r>
        <w:r w:rsidRPr="0028514E">
          <w:t xml:space="preserve"> esitäytettyä ruiskua</w:t>
        </w:r>
      </w:ins>
    </w:p>
    <w:p w14:paraId="15DC796E" w14:textId="77777777" w:rsidR="003B7027" w:rsidRPr="0028514E" w:rsidRDefault="00296A74" w:rsidP="006E5F9A">
      <w:pPr>
        <w:pStyle w:val="a4"/>
        <w:tabs>
          <w:tab w:val="left" w:pos="540"/>
          <w:tab w:val="left" w:pos="3828"/>
        </w:tabs>
        <w:ind w:left="0"/>
      </w:pPr>
      <w:r w:rsidRPr="0028514E">
        <w:t>4 esitäytettyä ruiskua</w:t>
      </w:r>
    </w:p>
    <w:p w14:paraId="462B220A" w14:textId="77777777" w:rsidR="003B7027" w:rsidRPr="0028514E" w:rsidRDefault="00296A74" w:rsidP="006E5F9A">
      <w:pPr>
        <w:pStyle w:val="a4"/>
        <w:tabs>
          <w:tab w:val="left" w:pos="540"/>
        </w:tabs>
        <w:ind w:left="0"/>
      </w:pPr>
      <w:r w:rsidRPr="0028514E">
        <w:t>162 mg/0,9 ml</w:t>
      </w:r>
    </w:p>
    <w:p w14:paraId="7FC5B27F" w14:textId="77777777" w:rsidR="003B7027" w:rsidRPr="0028514E" w:rsidRDefault="003B7027" w:rsidP="006E5F9A">
      <w:pPr>
        <w:pStyle w:val="a4"/>
        <w:tabs>
          <w:tab w:val="left" w:pos="540"/>
        </w:tabs>
        <w:ind w:left="0"/>
      </w:pPr>
    </w:p>
    <w:p w14:paraId="5E5D9C4F" w14:textId="77777777" w:rsidR="00E62982" w:rsidRPr="0028514E" w:rsidRDefault="00E62982" w:rsidP="006E5F9A">
      <w:pPr>
        <w:pStyle w:val="a4"/>
        <w:tabs>
          <w:tab w:val="left" w:pos="540"/>
        </w:tabs>
        <w:ind w:left="0"/>
      </w:pPr>
    </w:p>
    <w:p w14:paraId="48426B60"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5.</w:t>
      </w:r>
      <w:r w:rsidRPr="00CA43F5">
        <w:rPr>
          <w:b/>
          <w:lang w:val="fi-FI"/>
        </w:rPr>
        <w:tab/>
        <w:t>ANTOTAPA JA TARVITTAESSA ANTOREITTI (ANTOREITIT)</w:t>
      </w:r>
    </w:p>
    <w:p w14:paraId="371E1233" w14:textId="77777777" w:rsidR="003B7027" w:rsidRPr="0028514E" w:rsidRDefault="003B7027" w:rsidP="006E5F9A">
      <w:pPr>
        <w:pStyle w:val="a4"/>
        <w:tabs>
          <w:tab w:val="left" w:pos="540"/>
        </w:tabs>
        <w:ind w:left="0"/>
      </w:pPr>
    </w:p>
    <w:p w14:paraId="17ACFD94" w14:textId="77777777" w:rsidR="003B7027" w:rsidRPr="0028514E" w:rsidRDefault="00296A74" w:rsidP="006E5F9A">
      <w:pPr>
        <w:pStyle w:val="a4"/>
        <w:tabs>
          <w:tab w:val="left" w:pos="540"/>
        </w:tabs>
        <w:ind w:left="0"/>
      </w:pPr>
      <w:r w:rsidRPr="0028514E">
        <w:t>Ihon alle</w:t>
      </w:r>
    </w:p>
    <w:p w14:paraId="6288E271" w14:textId="77777777" w:rsidR="003B7027" w:rsidRPr="0028514E" w:rsidRDefault="00296A74" w:rsidP="006E5F9A">
      <w:pPr>
        <w:pStyle w:val="a4"/>
        <w:tabs>
          <w:tab w:val="left" w:pos="540"/>
        </w:tabs>
        <w:ind w:left="0"/>
      </w:pPr>
      <w:r w:rsidRPr="0028514E">
        <w:t>Lue pakkausseloste ennen käyttöä</w:t>
      </w:r>
    </w:p>
    <w:p w14:paraId="3863F46C" w14:textId="77777777" w:rsidR="003B7027" w:rsidRPr="0028514E" w:rsidRDefault="003B7027" w:rsidP="006E5F9A">
      <w:pPr>
        <w:pStyle w:val="a4"/>
        <w:tabs>
          <w:tab w:val="left" w:pos="540"/>
        </w:tabs>
        <w:ind w:left="0"/>
      </w:pPr>
    </w:p>
    <w:p w14:paraId="6DA4B83C" w14:textId="77777777" w:rsidR="00E62982" w:rsidRPr="0028514E" w:rsidRDefault="00E62982" w:rsidP="006E5F9A">
      <w:pPr>
        <w:pStyle w:val="a4"/>
        <w:tabs>
          <w:tab w:val="left" w:pos="540"/>
        </w:tabs>
        <w:ind w:left="0"/>
      </w:pPr>
    </w:p>
    <w:p w14:paraId="633CD04E"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bCs/>
          <w:lang w:val="fi-FI"/>
        </w:rPr>
        <w:t>6.</w:t>
      </w:r>
      <w:r w:rsidRPr="00CA43F5">
        <w:rPr>
          <w:b/>
          <w:bCs/>
          <w:lang w:val="fi-FI"/>
        </w:rPr>
        <w:tab/>
      </w:r>
      <w:r w:rsidRPr="00CA43F5">
        <w:rPr>
          <w:b/>
          <w:lang w:val="fi-FI"/>
        </w:rPr>
        <w:t>ERITYISVAROITUS VALMISTEEN SÄILYTTÄMISESTÄ POISSA LASTEN ULOTTUVILTA JA NÄKYVILTÄ</w:t>
      </w:r>
    </w:p>
    <w:p w14:paraId="2F101994" w14:textId="77777777" w:rsidR="003B7027" w:rsidRPr="0028514E" w:rsidRDefault="003B7027" w:rsidP="006E5F9A">
      <w:pPr>
        <w:pStyle w:val="a4"/>
        <w:tabs>
          <w:tab w:val="left" w:pos="540"/>
        </w:tabs>
        <w:ind w:left="0"/>
      </w:pPr>
    </w:p>
    <w:p w14:paraId="17B2030F" w14:textId="77777777" w:rsidR="003B7027" w:rsidRPr="0028514E" w:rsidRDefault="00296A74" w:rsidP="006E5F9A">
      <w:pPr>
        <w:pStyle w:val="a4"/>
        <w:tabs>
          <w:tab w:val="left" w:pos="540"/>
        </w:tabs>
        <w:ind w:left="0"/>
      </w:pPr>
      <w:r w:rsidRPr="0028514E">
        <w:t>Ei lasten ulottuville eikä näkyville</w:t>
      </w:r>
    </w:p>
    <w:p w14:paraId="232C0415" w14:textId="77777777" w:rsidR="003B7027" w:rsidRPr="0028514E" w:rsidRDefault="003B7027" w:rsidP="006E5F9A">
      <w:pPr>
        <w:pStyle w:val="a4"/>
        <w:tabs>
          <w:tab w:val="left" w:pos="540"/>
        </w:tabs>
        <w:ind w:left="0"/>
      </w:pPr>
    </w:p>
    <w:p w14:paraId="6AA564DB" w14:textId="77777777" w:rsidR="00E62982" w:rsidRPr="0028514E" w:rsidRDefault="00E62982" w:rsidP="006E5F9A">
      <w:pPr>
        <w:pStyle w:val="a4"/>
        <w:tabs>
          <w:tab w:val="left" w:pos="540"/>
        </w:tabs>
        <w:ind w:left="0"/>
      </w:pPr>
    </w:p>
    <w:p w14:paraId="661B0D7B"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7.</w:t>
      </w:r>
      <w:r w:rsidRPr="00CA43F5">
        <w:rPr>
          <w:b/>
          <w:lang w:val="fi-FI"/>
        </w:rPr>
        <w:tab/>
        <w:t>MUU ERITYISVAROITUS (MUUT ERITYISVAROITUKSET), JOS TARPEEN</w:t>
      </w:r>
    </w:p>
    <w:p w14:paraId="36E1256A" w14:textId="77777777" w:rsidR="003B7027" w:rsidRPr="0028514E" w:rsidRDefault="003B7027" w:rsidP="006E5F9A">
      <w:pPr>
        <w:pStyle w:val="a4"/>
        <w:tabs>
          <w:tab w:val="left" w:pos="540"/>
        </w:tabs>
        <w:ind w:left="0"/>
      </w:pPr>
    </w:p>
    <w:p w14:paraId="76652567" w14:textId="4D3A27D2" w:rsidR="003B7027" w:rsidRPr="0028514E" w:rsidRDefault="00296A74" w:rsidP="006E5F9A">
      <w:pPr>
        <w:pStyle w:val="a4"/>
        <w:tabs>
          <w:tab w:val="left" w:pos="540"/>
        </w:tabs>
        <w:ind w:left="0"/>
      </w:pPr>
      <w:r w:rsidRPr="0028514E">
        <w:t>Poista ruisku ulkopakkauksesta ja anna ruiskun lämmetä huoneenlämmössä 30 minuutin ajan ennen käyttöä</w:t>
      </w:r>
    </w:p>
    <w:p w14:paraId="2158CEB7" w14:textId="77777777" w:rsidR="003B7027" w:rsidRPr="0028514E" w:rsidRDefault="003B7027" w:rsidP="006E5F9A">
      <w:pPr>
        <w:pStyle w:val="a4"/>
        <w:tabs>
          <w:tab w:val="left" w:pos="540"/>
        </w:tabs>
        <w:ind w:left="0"/>
      </w:pPr>
    </w:p>
    <w:p w14:paraId="66FF0457" w14:textId="77777777" w:rsidR="00E62982" w:rsidRPr="0028514E" w:rsidRDefault="00E62982" w:rsidP="006E5F9A">
      <w:pPr>
        <w:pStyle w:val="a4"/>
        <w:tabs>
          <w:tab w:val="left" w:pos="540"/>
        </w:tabs>
        <w:ind w:left="0"/>
      </w:pPr>
    </w:p>
    <w:p w14:paraId="605670D8"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8.</w:t>
      </w:r>
      <w:r w:rsidRPr="00CA43F5">
        <w:rPr>
          <w:b/>
          <w:lang w:val="fi-FI"/>
        </w:rPr>
        <w:tab/>
        <w:t>VIIMEINEN KÄYTTÖPÄIVÄMÄÄRÄ</w:t>
      </w:r>
    </w:p>
    <w:p w14:paraId="6F33F63E" w14:textId="77777777" w:rsidR="003B7027" w:rsidRPr="0028514E" w:rsidRDefault="003B7027" w:rsidP="006E5F9A">
      <w:pPr>
        <w:pStyle w:val="a4"/>
        <w:tabs>
          <w:tab w:val="left" w:pos="540"/>
        </w:tabs>
        <w:ind w:left="0"/>
      </w:pPr>
    </w:p>
    <w:p w14:paraId="377A9851" w14:textId="77777777" w:rsidR="003B7027" w:rsidRPr="0028514E" w:rsidRDefault="00296A74" w:rsidP="006E5F9A">
      <w:pPr>
        <w:pStyle w:val="a4"/>
        <w:tabs>
          <w:tab w:val="left" w:pos="540"/>
        </w:tabs>
        <w:ind w:left="0"/>
      </w:pPr>
      <w:r w:rsidRPr="0028514E">
        <w:t>Käyt. viim.</w:t>
      </w:r>
    </w:p>
    <w:p w14:paraId="75323590" w14:textId="77777777" w:rsidR="00E62982" w:rsidRPr="0028514E" w:rsidRDefault="00E62982" w:rsidP="006E5F9A">
      <w:pPr>
        <w:pStyle w:val="a4"/>
        <w:tabs>
          <w:tab w:val="left" w:pos="540"/>
        </w:tabs>
        <w:ind w:left="0"/>
      </w:pPr>
    </w:p>
    <w:p w14:paraId="223DC2DC" w14:textId="77777777" w:rsidR="00E62982" w:rsidRPr="0028514E" w:rsidRDefault="00E62982" w:rsidP="006E5F9A">
      <w:pPr>
        <w:pStyle w:val="a4"/>
        <w:tabs>
          <w:tab w:val="left" w:pos="540"/>
        </w:tabs>
        <w:ind w:left="0"/>
      </w:pPr>
    </w:p>
    <w:p w14:paraId="36693AFA"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9.</w:t>
      </w:r>
      <w:r w:rsidRPr="00CA43F5">
        <w:rPr>
          <w:b/>
          <w:lang w:val="fi-FI"/>
        </w:rPr>
        <w:tab/>
        <w:t>ERITYISET SÄILYTYSOLOSUHTEET</w:t>
      </w:r>
    </w:p>
    <w:p w14:paraId="7E08667A" w14:textId="77777777" w:rsidR="003B7027" w:rsidRPr="0028514E" w:rsidRDefault="003B7027" w:rsidP="006E5F9A">
      <w:pPr>
        <w:pStyle w:val="a4"/>
        <w:tabs>
          <w:tab w:val="left" w:pos="540"/>
        </w:tabs>
        <w:ind w:left="0"/>
      </w:pPr>
    </w:p>
    <w:p w14:paraId="23505879" w14:textId="77777777" w:rsidR="00E62982" w:rsidRPr="0028514E" w:rsidRDefault="00296A74" w:rsidP="006E5F9A">
      <w:pPr>
        <w:pStyle w:val="a4"/>
        <w:tabs>
          <w:tab w:val="left" w:pos="540"/>
        </w:tabs>
        <w:ind w:left="0"/>
      </w:pPr>
      <w:r w:rsidRPr="0028514E">
        <w:t>Säilytä jääkaapissa</w:t>
      </w:r>
    </w:p>
    <w:p w14:paraId="5C5EE110" w14:textId="77777777" w:rsidR="003B7027" w:rsidRPr="0028514E" w:rsidRDefault="00296A74" w:rsidP="006E5F9A">
      <w:pPr>
        <w:pStyle w:val="a4"/>
        <w:tabs>
          <w:tab w:val="left" w:pos="540"/>
        </w:tabs>
        <w:ind w:left="0"/>
      </w:pPr>
      <w:r w:rsidRPr="0028514E">
        <w:t>Ei saa jäätyä</w:t>
      </w:r>
    </w:p>
    <w:p w14:paraId="3EED0B1D" w14:textId="4B16830C" w:rsidR="003B7027" w:rsidRPr="0028514E" w:rsidRDefault="00296A74" w:rsidP="006E5F9A">
      <w:pPr>
        <w:pStyle w:val="a4"/>
        <w:tabs>
          <w:tab w:val="left" w:pos="540"/>
        </w:tabs>
        <w:ind w:left="0"/>
      </w:pPr>
      <w:r w:rsidRPr="0028514E">
        <w:t xml:space="preserve">Kun esitäytetty ruisku on otettu jääkaapista, se voidaan säilyttää enintään 30 °C:n lämpötilassa korkeintaan </w:t>
      </w:r>
      <w:r w:rsidR="00DC663F">
        <w:t>3</w:t>
      </w:r>
      <w:r w:rsidRPr="0028514E">
        <w:t xml:space="preserve"> viikkoa</w:t>
      </w:r>
    </w:p>
    <w:p w14:paraId="26D02B62" w14:textId="77777777" w:rsidR="003B7027" w:rsidRPr="0028514E" w:rsidRDefault="00296A74" w:rsidP="006E5F9A">
      <w:pPr>
        <w:pStyle w:val="a4"/>
        <w:tabs>
          <w:tab w:val="left" w:pos="540"/>
        </w:tabs>
        <w:ind w:left="0"/>
      </w:pPr>
      <w:r w:rsidRPr="0028514E">
        <w:t>Pidä esitäytetty ruisku ulkopakkauksessa. Herkkä valolle. Herkkä kosteudelle</w:t>
      </w:r>
    </w:p>
    <w:p w14:paraId="1B1D0BE5" w14:textId="77777777" w:rsidR="00E62982" w:rsidRPr="0028514E" w:rsidRDefault="00E62982" w:rsidP="006E5F9A">
      <w:pPr>
        <w:pStyle w:val="a4"/>
        <w:tabs>
          <w:tab w:val="left" w:pos="540"/>
        </w:tabs>
        <w:ind w:left="0"/>
      </w:pPr>
    </w:p>
    <w:p w14:paraId="445E19FF" w14:textId="77777777" w:rsidR="003B7027" w:rsidRPr="0028514E" w:rsidRDefault="003B7027" w:rsidP="006E5F9A">
      <w:pPr>
        <w:pStyle w:val="a4"/>
        <w:tabs>
          <w:tab w:val="left" w:pos="540"/>
        </w:tabs>
        <w:ind w:left="0"/>
      </w:pPr>
    </w:p>
    <w:p w14:paraId="69182240"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10.</w:t>
      </w:r>
      <w:r w:rsidRPr="00CA43F5">
        <w:rPr>
          <w:b/>
          <w:lang w:val="fi-FI"/>
        </w:rPr>
        <w:tab/>
        <w:t>ERITYISET VAROTOIMET KÄYTTÄMÄTTÖMIEN LÄÄKEVALMISTEIDEN TAI NIISTÄ PERÄISIN OLEVAN JÄTEMATERIAALIN HÄVITTÄMISEKSI, JOS TARPEEN</w:t>
      </w:r>
    </w:p>
    <w:p w14:paraId="5DE6F08D" w14:textId="77777777" w:rsidR="003B7027" w:rsidRPr="0028514E" w:rsidRDefault="003B7027" w:rsidP="006E5F9A">
      <w:pPr>
        <w:pStyle w:val="a4"/>
        <w:tabs>
          <w:tab w:val="left" w:pos="540"/>
        </w:tabs>
        <w:ind w:left="0"/>
      </w:pPr>
    </w:p>
    <w:p w14:paraId="7FA7425C" w14:textId="77777777" w:rsidR="003B7027" w:rsidRPr="0028514E" w:rsidRDefault="003B7027" w:rsidP="006E5F9A">
      <w:pPr>
        <w:pStyle w:val="a4"/>
        <w:tabs>
          <w:tab w:val="left" w:pos="540"/>
        </w:tabs>
        <w:ind w:left="0"/>
      </w:pPr>
    </w:p>
    <w:p w14:paraId="4EA9CE43"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11.</w:t>
      </w:r>
      <w:r w:rsidRPr="00CA43F5">
        <w:rPr>
          <w:b/>
          <w:lang w:val="fi-FI"/>
        </w:rPr>
        <w:tab/>
        <w:t>MYYNTILUVAN HALTIJAN NIMI JA OSOITE</w:t>
      </w:r>
    </w:p>
    <w:p w14:paraId="635AD081" w14:textId="77777777" w:rsidR="003B7027" w:rsidRPr="0028514E" w:rsidRDefault="003B7027" w:rsidP="006E5F9A">
      <w:pPr>
        <w:pStyle w:val="a4"/>
        <w:tabs>
          <w:tab w:val="left" w:pos="540"/>
        </w:tabs>
        <w:ind w:left="0"/>
      </w:pPr>
    </w:p>
    <w:p w14:paraId="76CA0C16" w14:textId="77777777" w:rsidR="00DC663F" w:rsidRPr="00CA43F5" w:rsidRDefault="00DC663F" w:rsidP="00DC663F">
      <w:pPr>
        <w:keepNext/>
        <w:rPr>
          <w:lang w:val="fi-FI"/>
        </w:rPr>
      </w:pPr>
      <w:r w:rsidRPr="00CA43F5">
        <w:rPr>
          <w:lang w:val="fi-FI"/>
        </w:rPr>
        <w:t xml:space="preserve">Celltrion Healthcare Hungary Kft. </w:t>
      </w:r>
    </w:p>
    <w:p w14:paraId="403E9B88" w14:textId="77777777" w:rsidR="00DC663F" w:rsidRPr="00020C6B" w:rsidRDefault="00DC663F" w:rsidP="00DC663F">
      <w:pPr>
        <w:keepNext/>
      </w:pPr>
      <w:r w:rsidRPr="00020C6B">
        <w:t>1062 Budapest</w:t>
      </w:r>
    </w:p>
    <w:p w14:paraId="3CE18DD8" w14:textId="77777777" w:rsidR="00DC663F" w:rsidRPr="00020C6B" w:rsidRDefault="00DC663F" w:rsidP="00DC663F">
      <w:pPr>
        <w:keepNext/>
      </w:pPr>
      <w:r w:rsidRPr="00020C6B">
        <w:t xml:space="preserve">Váci </w:t>
      </w:r>
      <w:proofErr w:type="spellStart"/>
      <w:r w:rsidRPr="00020C6B">
        <w:t>út</w:t>
      </w:r>
      <w:proofErr w:type="spellEnd"/>
      <w:r w:rsidRPr="00020C6B">
        <w:t xml:space="preserve"> 1-3. </w:t>
      </w:r>
      <w:proofErr w:type="spellStart"/>
      <w:r w:rsidRPr="00020C6B">
        <w:t>WestEnd</w:t>
      </w:r>
      <w:proofErr w:type="spellEnd"/>
      <w:r w:rsidRPr="00020C6B">
        <w:t xml:space="preserve"> Office Building B </w:t>
      </w:r>
      <w:proofErr w:type="spellStart"/>
      <w:r w:rsidRPr="00020C6B">
        <w:t>torony</w:t>
      </w:r>
      <w:proofErr w:type="spellEnd"/>
    </w:p>
    <w:p w14:paraId="2249845D" w14:textId="2B880F94" w:rsidR="003B7027" w:rsidRPr="0028514E" w:rsidRDefault="00DC663F" w:rsidP="006E5F9A">
      <w:pPr>
        <w:pStyle w:val="a4"/>
        <w:tabs>
          <w:tab w:val="left" w:pos="540"/>
        </w:tabs>
        <w:ind w:left="0"/>
      </w:pPr>
      <w:r>
        <w:t>Unkari</w:t>
      </w:r>
    </w:p>
    <w:p w14:paraId="7967BB73" w14:textId="77777777" w:rsidR="003B7027" w:rsidRPr="0028514E" w:rsidRDefault="003B7027" w:rsidP="006E5F9A">
      <w:pPr>
        <w:pStyle w:val="a4"/>
        <w:tabs>
          <w:tab w:val="left" w:pos="540"/>
        </w:tabs>
        <w:ind w:left="0"/>
      </w:pPr>
    </w:p>
    <w:p w14:paraId="1B8F188D" w14:textId="77777777" w:rsidR="00E62982" w:rsidRPr="0028514E" w:rsidRDefault="00E62982" w:rsidP="006E5F9A">
      <w:pPr>
        <w:pStyle w:val="a4"/>
        <w:tabs>
          <w:tab w:val="left" w:pos="540"/>
        </w:tabs>
        <w:ind w:left="0"/>
      </w:pPr>
    </w:p>
    <w:p w14:paraId="5BAD90BE"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12.</w:t>
      </w:r>
      <w:r w:rsidRPr="00CA43F5">
        <w:rPr>
          <w:b/>
          <w:lang w:val="fi-FI"/>
        </w:rPr>
        <w:tab/>
        <w:t>MYYNTILUVAN NUMERO(T)</w:t>
      </w:r>
    </w:p>
    <w:p w14:paraId="2C96B9B8" w14:textId="77777777" w:rsidR="003B7027" w:rsidRPr="0028514E" w:rsidRDefault="003B7027" w:rsidP="006E5F9A">
      <w:pPr>
        <w:pStyle w:val="a4"/>
        <w:tabs>
          <w:tab w:val="left" w:pos="540"/>
        </w:tabs>
        <w:ind w:left="0"/>
      </w:pPr>
    </w:p>
    <w:p w14:paraId="1EF46084" w14:textId="4A60AC16" w:rsidR="00DC663F" w:rsidRPr="00CA43F5" w:rsidRDefault="00DC663F" w:rsidP="00DC663F">
      <w:pPr>
        <w:keepNext/>
        <w:rPr>
          <w:lang w:val="fi-FI"/>
        </w:rPr>
      </w:pPr>
      <w:r w:rsidRPr="00CA43F5">
        <w:rPr>
          <w:lang w:val="fi-FI"/>
        </w:rPr>
        <w:t>EU/</w:t>
      </w:r>
      <w:r w:rsidR="00AB74EF" w:rsidRPr="003672E9">
        <w:rPr>
          <w:spacing w:val="-1"/>
          <w:lang w:val="pt-BR"/>
        </w:rPr>
        <w:t>1/24/1896/00</w:t>
      </w:r>
      <w:r w:rsidR="00AB74EF">
        <w:rPr>
          <w:rFonts w:eastAsia="맑은 고딕"/>
          <w:spacing w:val="-1"/>
          <w:lang w:val="pt-BR" w:eastAsia="ko-KR"/>
        </w:rPr>
        <w:t>7</w:t>
      </w:r>
      <w:r w:rsidR="00AB74EF">
        <w:rPr>
          <w:lang w:val="fi-FI"/>
        </w:rPr>
        <w:t xml:space="preserve"> 1 esitäytetty ruisku</w:t>
      </w:r>
    </w:p>
    <w:p w14:paraId="2D5F8284" w14:textId="79B6B6A8" w:rsidR="003B7027" w:rsidRPr="00E919A5" w:rsidRDefault="00DC663F" w:rsidP="00DC663F">
      <w:pPr>
        <w:pStyle w:val="a4"/>
        <w:tabs>
          <w:tab w:val="left" w:pos="540"/>
        </w:tabs>
        <w:ind w:left="0"/>
      </w:pPr>
      <w:r w:rsidRPr="00E919A5">
        <w:t>EU/</w:t>
      </w:r>
      <w:r w:rsidR="00AB74EF" w:rsidRPr="003672E9">
        <w:rPr>
          <w:spacing w:val="-1"/>
          <w:lang w:val="pt-BR"/>
        </w:rPr>
        <w:t>1/24/1896/00</w:t>
      </w:r>
      <w:r w:rsidR="00AB74EF">
        <w:rPr>
          <w:rFonts w:eastAsia="맑은 고딕"/>
          <w:spacing w:val="-1"/>
          <w:lang w:val="pt-BR" w:eastAsia="ko-KR"/>
        </w:rPr>
        <w:t>8</w:t>
      </w:r>
      <w:r w:rsidR="00AB74EF" w:rsidRPr="00E919A5">
        <w:t xml:space="preserve"> 4 esitäytettyä ruiskua</w:t>
      </w:r>
    </w:p>
    <w:p w14:paraId="2AD27839" w14:textId="58128074" w:rsidR="003B2CC6" w:rsidRPr="00E919A5" w:rsidRDefault="003B2CC6" w:rsidP="003B2CC6">
      <w:pPr>
        <w:pStyle w:val="a4"/>
        <w:tabs>
          <w:tab w:val="left" w:pos="540"/>
        </w:tabs>
        <w:ind w:left="0"/>
        <w:rPr>
          <w:ins w:id="31" w:author="만든 이"/>
        </w:rPr>
      </w:pPr>
      <w:ins w:id="32" w:author="만든 이">
        <w:r w:rsidRPr="00E919A5">
          <w:t>EU/</w:t>
        </w:r>
        <w:r w:rsidRPr="003672E9">
          <w:rPr>
            <w:spacing w:val="-1"/>
            <w:lang w:val="pt-BR"/>
          </w:rPr>
          <w:t>1/24/1896/</w:t>
        </w:r>
        <w:r w:rsidR="00144CBD">
          <w:rPr>
            <w:rFonts w:eastAsia="맑은 고딕" w:hint="eastAsia"/>
            <w:spacing w:val="-1"/>
            <w:lang w:val="pt-BR" w:eastAsia="ko-KR"/>
          </w:rPr>
          <w:t>013</w:t>
        </w:r>
        <w:r w:rsidRPr="00E919A5">
          <w:t xml:space="preserve"> </w:t>
        </w:r>
        <w:r>
          <w:rPr>
            <w:rFonts w:eastAsia="맑은 고딕" w:hint="eastAsia"/>
            <w:lang w:eastAsia="ko-KR"/>
          </w:rPr>
          <w:t>2</w:t>
        </w:r>
        <w:r w:rsidRPr="00E919A5">
          <w:t> esitäytettyä ruiskua</w:t>
        </w:r>
      </w:ins>
    </w:p>
    <w:p w14:paraId="441EBE0C" w14:textId="77777777" w:rsidR="003B7027" w:rsidRPr="00E919A5" w:rsidRDefault="003B7027" w:rsidP="006E5F9A">
      <w:pPr>
        <w:pStyle w:val="a4"/>
        <w:tabs>
          <w:tab w:val="left" w:pos="540"/>
        </w:tabs>
        <w:ind w:left="0"/>
      </w:pPr>
    </w:p>
    <w:p w14:paraId="6A6D9FC2" w14:textId="77777777" w:rsidR="00E62982" w:rsidRPr="00E919A5" w:rsidRDefault="00E62982" w:rsidP="006E5F9A">
      <w:pPr>
        <w:pStyle w:val="a4"/>
        <w:tabs>
          <w:tab w:val="left" w:pos="540"/>
        </w:tabs>
        <w:ind w:left="0"/>
      </w:pPr>
    </w:p>
    <w:p w14:paraId="0A96C7AC"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 w:val="left" w:pos="724"/>
        </w:tabs>
        <w:spacing w:line="252" w:lineRule="exact"/>
        <w:rPr>
          <w:b/>
          <w:lang w:val="fi-FI"/>
        </w:rPr>
      </w:pPr>
      <w:r w:rsidRPr="00CA43F5">
        <w:rPr>
          <w:b/>
          <w:lang w:val="fi-FI"/>
        </w:rPr>
        <w:t>13.</w:t>
      </w:r>
      <w:r w:rsidRPr="00CA43F5">
        <w:rPr>
          <w:b/>
          <w:lang w:val="fi-FI"/>
        </w:rPr>
        <w:tab/>
        <w:t>ERÄNUMERO</w:t>
      </w:r>
    </w:p>
    <w:p w14:paraId="5576BE11" w14:textId="77777777" w:rsidR="003B7027" w:rsidRPr="0028514E" w:rsidRDefault="003B7027" w:rsidP="006E5F9A">
      <w:pPr>
        <w:pStyle w:val="a4"/>
        <w:tabs>
          <w:tab w:val="left" w:pos="540"/>
        </w:tabs>
        <w:ind w:left="0"/>
      </w:pPr>
    </w:p>
    <w:p w14:paraId="47666EF0" w14:textId="718A5618" w:rsidR="003B7027" w:rsidRPr="0028514E" w:rsidRDefault="00D03B4D" w:rsidP="006E5F9A">
      <w:pPr>
        <w:pStyle w:val="a4"/>
        <w:tabs>
          <w:tab w:val="left" w:pos="540"/>
        </w:tabs>
        <w:ind w:left="0"/>
      </w:pPr>
      <w:r>
        <w:t>Erä</w:t>
      </w:r>
    </w:p>
    <w:p w14:paraId="3FBAC215" w14:textId="77777777" w:rsidR="003B7027" w:rsidRPr="0028514E" w:rsidRDefault="003B7027" w:rsidP="006E5F9A">
      <w:pPr>
        <w:pStyle w:val="a4"/>
        <w:tabs>
          <w:tab w:val="left" w:pos="540"/>
        </w:tabs>
        <w:ind w:left="0"/>
      </w:pPr>
    </w:p>
    <w:p w14:paraId="7AB471BF" w14:textId="77777777" w:rsidR="00E62982" w:rsidRPr="0028514E" w:rsidRDefault="00E62982" w:rsidP="006E5F9A">
      <w:pPr>
        <w:pStyle w:val="a4"/>
        <w:tabs>
          <w:tab w:val="left" w:pos="540"/>
        </w:tabs>
        <w:ind w:left="0"/>
      </w:pPr>
    </w:p>
    <w:p w14:paraId="777CAF95"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14.</w:t>
      </w:r>
      <w:r w:rsidRPr="00CA43F5">
        <w:rPr>
          <w:b/>
          <w:lang w:val="fi-FI"/>
        </w:rPr>
        <w:tab/>
        <w:t>YLEINEN TOIMITTAMISLUOKITTELU</w:t>
      </w:r>
    </w:p>
    <w:p w14:paraId="0568E96F" w14:textId="77777777" w:rsidR="003B7027" w:rsidRPr="0028514E" w:rsidRDefault="003B7027" w:rsidP="006E5F9A">
      <w:pPr>
        <w:pStyle w:val="a4"/>
        <w:tabs>
          <w:tab w:val="left" w:pos="540"/>
        </w:tabs>
        <w:ind w:left="0"/>
      </w:pPr>
    </w:p>
    <w:p w14:paraId="24CFF602" w14:textId="77777777" w:rsidR="003B7027" w:rsidRPr="0028514E" w:rsidRDefault="003B7027" w:rsidP="006E5F9A">
      <w:pPr>
        <w:pStyle w:val="a4"/>
        <w:tabs>
          <w:tab w:val="left" w:pos="540"/>
        </w:tabs>
        <w:ind w:left="0"/>
      </w:pPr>
    </w:p>
    <w:p w14:paraId="591D646C"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15.</w:t>
      </w:r>
      <w:r w:rsidRPr="00CA43F5">
        <w:rPr>
          <w:b/>
          <w:lang w:val="fi-FI"/>
        </w:rPr>
        <w:tab/>
        <w:t>KÄYTTÖOHJEET</w:t>
      </w:r>
    </w:p>
    <w:p w14:paraId="57A257D4" w14:textId="77777777" w:rsidR="003B7027" w:rsidRPr="0028514E" w:rsidRDefault="003B7027" w:rsidP="006E5F9A">
      <w:pPr>
        <w:pStyle w:val="a4"/>
        <w:tabs>
          <w:tab w:val="left" w:pos="540"/>
        </w:tabs>
        <w:ind w:left="0"/>
      </w:pPr>
    </w:p>
    <w:p w14:paraId="0A103CA1" w14:textId="77777777" w:rsidR="003B7027" w:rsidRPr="0028514E" w:rsidRDefault="003B7027" w:rsidP="006E5F9A">
      <w:pPr>
        <w:pStyle w:val="a4"/>
        <w:tabs>
          <w:tab w:val="left" w:pos="540"/>
        </w:tabs>
        <w:ind w:left="0"/>
      </w:pPr>
    </w:p>
    <w:p w14:paraId="2BF2B372"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16.</w:t>
      </w:r>
      <w:r w:rsidRPr="00CA43F5">
        <w:rPr>
          <w:b/>
          <w:lang w:val="fi-FI"/>
        </w:rPr>
        <w:tab/>
        <w:t>TIEDOT PISTEKIRJOITUKSELLA</w:t>
      </w:r>
    </w:p>
    <w:p w14:paraId="18DAF6C8" w14:textId="77777777" w:rsidR="003B7027" w:rsidRPr="0028514E" w:rsidRDefault="003B7027" w:rsidP="006E5F9A">
      <w:pPr>
        <w:pStyle w:val="a4"/>
        <w:tabs>
          <w:tab w:val="left" w:pos="540"/>
        </w:tabs>
        <w:ind w:left="0"/>
      </w:pPr>
    </w:p>
    <w:p w14:paraId="3C11B914" w14:textId="77777777" w:rsidR="00E845AE" w:rsidRPr="003F07A8" w:rsidRDefault="00E845AE" w:rsidP="00E845AE">
      <w:pPr>
        <w:rPr>
          <w:lang w:val="fi-FI"/>
        </w:rPr>
      </w:pPr>
      <w:r w:rsidRPr="003F07A8">
        <w:rPr>
          <w:lang w:val="fi-FI"/>
        </w:rPr>
        <w:t>avtozma 162 mg</w:t>
      </w:r>
    </w:p>
    <w:p w14:paraId="04F9C826" w14:textId="77777777" w:rsidR="003B7027" w:rsidRPr="0028514E" w:rsidRDefault="003B7027" w:rsidP="006E5F9A">
      <w:pPr>
        <w:pStyle w:val="a4"/>
        <w:tabs>
          <w:tab w:val="left" w:pos="540"/>
        </w:tabs>
        <w:ind w:left="0"/>
      </w:pPr>
    </w:p>
    <w:p w14:paraId="7D800449" w14:textId="77777777" w:rsidR="00E62982" w:rsidRPr="0028514E" w:rsidRDefault="00E62982" w:rsidP="006E5F9A">
      <w:pPr>
        <w:pStyle w:val="a4"/>
        <w:tabs>
          <w:tab w:val="left" w:pos="540"/>
        </w:tabs>
        <w:ind w:left="0"/>
      </w:pPr>
    </w:p>
    <w:p w14:paraId="33316459"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17.</w:t>
      </w:r>
      <w:r w:rsidRPr="00CA43F5">
        <w:rPr>
          <w:b/>
          <w:lang w:val="fi-FI"/>
        </w:rPr>
        <w:tab/>
        <w:t>YKSILÖLLINEN TUNNISTE – 2D-VIIVAKOODI</w:t>
      </w:r>
    </w:p>
    <w:p w14:paraId="08E37FAE" w14:textId="77777777" w:rsidR="003B7027" w:rsidRPr="0028514E" w:rsidRDefault="003B7027" w:rsidP="006E5F9A">
      <w:pPr>
        <w:pStyle w:val="a4"/>
        <w:tabs>
          <w:tab w:val="left" w:pos="540"/>
        </w:tabs>
        <w:ind w:left="0"/>
      </w:pPr>
    </w:p>
    <w:p w14:paraId="1AA5E56B" w14:textId="77777777" w:rsidR="003B7027" w:rsidRPr="0028514E" w:rsidRDefault="00296A74" w:rsidP="006E5F9A">
      <w:pPr>
        <w:pStyle w:val="a4"/>
        <w:tabs>
          <w:tab w:val="left" w:pos="540"/>
        </w:tabs>
        <w:ind w:left="0"/>
      </w:pPr>
      <w:r w:rsidRPr="003F07A8">
        <w:rPr>
          <w:color w:val="000000"/>
          <w:highlight w:val="lightGray"/>
          <w:shd w:val="clear" w:color="auto" w:fill="C1C1C1"/>
        </w:rPr>
        <w:t>&lt;2D-viivakoodi, joka sisältää yksilöllisen tunnisteen.&gt;</w:t>
      </w:r>
    </w:p>
    <w:p w14:paraId="695EFDFB" w14:textId="77777777" w:rsidR="003B7027" w:rsidRPr="0028514E" w:rsidRDefault="003B7027" w:rsidP="006E5F9A">
      <w:pPr>
        <w:pStyle w:val="a4"/>
        <w:tabs>
          <w:tab w:val="left" w:pos="540"/>
        </w:tabs>
        <w:ind w:left="0"/>
      </w:pPr>
    </w:p>
    <w:p w14:paraId="7C42644A" w14:textId="77777777" w:rsidR="00E62982" w:rsidRPr="0028514E" w:rsidRDefault="00E62982" w:rsidP="006E5F9A">
      <w:pPr>
        <w:pStyle w:val="a4"/>
        <w:tabs>
          <w:tab w:val="left" w:pos="540"/>
        </w:tabs>
        <w:ind w:left="0"/>
      </w:pPr>
    </w:p>
    <w:p w14:paraId="1A0E707C"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18.</w:t>
      </w:r>
      <w:r w:rsidRPr="00CA43F5">
        <w:rPr>
          <w:b/>
          <w:lang w:val="fi-FI"/>
        </w:rPr>
        <w:tab/>
        <w:t>YKSILÖLLINEN TUNNISTE – LUETTAVISSA OLEVAT TIEDOT</w:t>
      </w:r>
    </w:p>
    <w:p w14:paraId="36FDF36E" w14:textId="77777777" w:rsidR="003B7027" w:rsidRPr="0028514E" w:rsidRDefault="003B7027" w:rsidP="006E5F9A">
      <w:pPr>
        <w:pStyle w:val="a4"/>
        <w:tabs>
          <w:tab w:val="left" w:pos="540"/>
        </w:tabs>
        <w:ind w:left="0"/>
      </w:pPr>
    </w:p>
    <w:p w14:paraId="47708725" w14:textId="77777777" w:rsidR="00E62982" w:rsidRPr="0028514E" w:rsidRDefault="00296A74" w:rsidP="006E5F9A">
      <w:pPr>
        <w:pStyle w:val="a4"/>
        <w:tabs>
          <w:tab w:val="left" w:pos="540"/>
        </w:tabs>
        <w:ind w:left="0"/>
      </w:pPr>
      <w:r w:rsidRPr="0028514E">
        <w:t>PC</w:t>
      </w:r>
    </w:p>
    <w:p w14:paraId="42FD7B85" w14:textId="77777777" w:rsidR="00E62982" w:rsidRPr="0028514E" w:rsidRDefault="00296A74" w:rsidP="006E5F9A">
      <w:pPr>
        <w:pStyle w:val="a4"/>
        <w:tabs>
          <w:tab w:val="left" w:pos="540"/>
        </w:tabs>
        <w:ind w:left="0"/>
      </w:pPr>
      <w:r w:rsidRPr="0028514E">
        <w:t>SN</w:t>
      </w:r>
    </w:p>
    <w:p w14:paraId="1178786F" w14:textId="77777777" w:rsidR="003B7027" w:rsidRPr="0028514E" w:rsidRDefault="00296A74" w:rsidP="006E5F9A">
      <w:pPr>
        <w:pStyle w:val="a4"/>
        <w:tabs>
          <w:tab w:val="left" w:pos="540"/>
        </w:tabs>
        <w:ind w:left="0"/>
      </w:pPr>
      <w:r w:rsidRPr="003F07A8">
        <w:rPr>
          <w:highlight w:val="lightGray"/>
        </w:rPr>
        <w:t>NN</w:t>
      </w:r>
    </w:p>
    <w:p w14:paraId="55B0E901" w14:textId="77777777" w:rsidR="00E62982" w:rsidRPr="0028514E" w:rsidRDefault="00E62982" w:rsidP="006E5F9A">
      <w:pPr>
        <w:pStyle w:val="a4"/>
        <w:tabs>
          <w:tab w:val="left" w:pos="540"/>
        </w:tabs>
        <w:ind w:left="0"/>
      </w:pPr>
    </w:p>
    <w:p w14:paraId="18A822D5" w14:textId="30484598" w:rsidR="0069756A" w:rsidRPr="00CA43F5" w:rsidRDefault="00E62982" w:rsidP="008D40DB">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CA43F5">
        <w:rPr>
          <w:lang w:val="fi-FI"/>
        </w:rPr>
        <w:br w:type="page"/>
      </w:r>
      <w:r w:rsidR="0069756A" w:rsidRPr="00CA43F5">
        <w:rPr>
          <w:b/>
          <w:lang w:val="fi-FI"/>
        </w:rPr>
        <w:lastRenderedPageBreak/>
        <w:t>ULKOPAKKAUKSESSA ON OLTAVA SEURAAVAT MERKINNÄT</w:t>
      </w:r>
    </w:p>
    <w:p w14:paraId="054CFBB5" w14:textId="77777777" w:rsidR="00E62982" w:rsidRPr="00CA43F5" w:rsidRDefault="00E62982" w:rsidP="008D40DB">
      <w:pPr>
        <w:pBdr>
          <w:top w:val="single" w:sz="4" w:space="1" w:color="000000"/>
          <w:left w:val="single" w:sz="4" w:space="4" w:color="000000"/>
          <w:bottom w:val="single" w:sz="4" w:space="1" w:color="000000"/>
          <w:right w:val="single" w:sz="4" w:space="4" w:color="000000"/>
        </w:pBdr>
        <w:tabs>
          <w:tab w:val="left" w:pos="540"/>
        </w:tabs>
        <w:rPr>
          <w:b/>
          <w:lang w:val="fi-FI"/>
        </w:rPr>
      </w:pPr>
    </w:p>
    <w:p w14:paraId="7560F650" w14:textId="77777777" w:rsidR="0069756A" w:rsidRPr="00CA43F5" w:rsidRDefault="0069756A" w:rsidP="008D40DB">
      <w:pPr>
        <w:pBdr>
          <w:top w:val="single" w:sz="4" w:space="1" w:color="000000"/>
          <w:left w:val="single" w:sz="4" w:space="4" w:color="000000"/>
          <w:bottom w:val="single" w:sz="4" w:space="1" w:color="000000"/>
          <w:right w:val="single" w:sz="4" w:space="4" w:color="000000"/>
        </w:pBdr>
        <w:tabs>
          <w:tab w:val="left" w:pos="540"/>
        </w:tabs>
        <w:rPr>
          <w:b/>
          <w:lang w:val="fi-FI"/>
        </w:rPr>
      </w:pPr>
      <w:r w:rsidRPr="00CA43F5">
        <w:rPr>
          <w:b/>
          <w:lang w:val="fi-FI"/>
        </w:rPr>
        <w:t>ESITÄYTETYN RUISKUN KOTELO (BLUE BOX) – Monipakkaus</w:t>
      </w:r>
    </w:p>
    <w:p w14:paraId="23D657AC" w14:textId="77777777" w:rsidR="003B7027" w:rsidRPr="00BD3C40" w:rsidRDefault="003B7027" w:rsidP="006E5F9A">
      <w:pPr>
        <w:pStyle w:val="a4"/>
        <w:tabs>
          <w:tab w:val="left" w:pos="540"/>
        </w:tabs>
        <w:ind w:left="0"/>
      </w:pPr>
    </w:p>
    <w:p w14:paraId="70EE17A8" w14:textId="77777777" w:rsidR="00E5285E" w:rsidRPr="00BD3C40" w:rsidRDefault="00E5285E" w:rsidP="006E5F9A">
      <w:pPr>
        <w:pStyle w:val="a4"/>
        <w:tabs>
          <w:tab w:val="left" w:pos="540"/>
        </w:tabs>
        <w:ind w:left="0"/>
      </w:pPr>
    </w:p>
    <w:p w14:paraId="790E6E61"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w:t>
      </w:r>
      <w:r w:rsidRPr="00CA43F5">
        <w:rPr>
          <w:b/>
          <w:lang w:val="fi-FI"/>
        </w:rPr>
        <w:tab/>
        <w:t>LÄÄKEVALMISTEEN NIMI</w:t>
      </w:r>
    </w:p>
    <w:p w14:paraId="39AD843D" w14:textId="77777777" w:rsidR="003B7027" w:rsidRPr="00BD3C40" w:rsidRDefault="003B7027" w:rsidP="006E5F9A">
      <w:pPr>
        <w:pStyle w:val="a4"/>
        <w:tabs>
          <w:tab w:val="left" w:pos="540"/>
        </w:tabs>
        <w:ind w:left="0"/>
      </w:pPr>
    </w:p>
    <w:p w14:paraId="59C52A99" w14:textId="0BC70F8B" w:rsidR="006B40F8" w:rsidRDefault="00DC663F" w:rsidP="006E5F9A">
      <w:pPr>
        <w:pStyle w:val="a4"/>
        <w:tabs>
          <w:tab w:val="left" w:pos="540"/>
        </w:tabs>
        <w:ind w:left="0"/>
        <w:rPr>
          <w:rFonts w:eastAsia="맑은 고딕"/>
          <w:lang w:eastAsia="ko-KR"/>
        </w:rPr>
      </w:pPr>
      <w:r>
        <w:t>Avtozma</w:t>
      </w:r>
      <w:r w:rsidRPr="00BD3C40">
        <w:t xml:space="preserve"> </w:t>
      </w:r>
      <w:r w:rsidR="00296A74" w:rsidRPr="00BD3C40">
        <w:t xml:space="preserve">162 mg injektioneste, liuos esitäytetyssä ruiskussa </w:t>
      </w:r>
    </w:p>
    <w:p w14:paraId="50B6DB85" w14:textId="197FE01B" w:rsidR="003B7027" w:rsidRPr="00BD3C40" w:rsidRDefault="00296A74" w:rsidP="006E5F9A">
      <w:pPr>
        <w:pStyle w:val="a4"/>
        <w:tabs>
          <w:tab w:val="left" w:pos="540"/>
        </w:tabs>
        <w:ind w:left="0"/>
      </w:pPr>
      <w:r w:rsidRPr="00BD3C40">
        <w:t>tosilitsumabi</w:t>
      </w:r>
    </w:p>
    <w:p w14:paraId="12106279" w14:textId="77777777" w:rsidR="00E5285E" w:rsidRPr="00BD3C40" w:rsidRDefault="00E5285E" w:rsidP="006E5F9A">
      <w:pPr>
        <w:pStyle w:val="a4"/>
        <w:tabs>
          <w:tab w:val="left" w:pos="540"/>
        </w:tabs>
        <w:ind w:left="0"/>
      </w:pPr>
    </w:p>
    <w:p w14:paraId="199E77AD" w14:textId="77777777" w:rsidR="00E5285E" w:rsidRPr="00BD3C40" w:rsidRDefault="00E5285E" w:rsidP="006E5F9A">
      <w:pPr>
        <w:pStyle w:val="a4"/>
        <w:tabs>
          <w:tab w:val="left" w:pos="540"/>
        </w:tabs>
        <w:ind w:left="0"/>
      </w:pPr>
    </w:p>
    <w:p w14:paraId="6F61F8C5"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2.</w:t>
      </w:r>
      <w:r w:rsidRPr="00CA43F5">
        <w:rPr>
          <w:b/>
          <w:lang w:val="fi-FI"/>
        </w:rPr>
        <w:tab/>
        <w:t>VAIKUTTAVA(T) AINE(ET)</w:t>
      </w:r>
    </w:p>
    <w:p w14:paraId="1C917E00" w14:textId="77777777" w:rsidR="003B7027" w:rsidRPr="00BD3C40" w:rsidRDefault="003B7027" w:rsidP="006E5F9A">
      <w:pPr>
        <w:pStyle w:val="a4"/>
        <w:tabs>
          <w:tab w:val="left" w:pos="540"/>
        </w:tabs>
        <w:ind w:left="0"/>
      </w:pPr>
    </w:p>
    <w:p w14:paraId="149B9726" w14:textId="77777777" w:rsidR="003B7027" w:rsidRPr="00BD3C40" w:rsidRDefault="00296A74" w:rsidP="006E5F9A">
      <w:pPr>
        <w:pStyle w:val="a4"/>
        <w:tabs>
          <w:tab w:val="left" w:pos="540"/>
        </w:tabs>
        <w:ind w:left="0"/>
      </w:pPr>
      <w:r w:rsidRPr="00BD3C40">
        <w:t>1 esitäytetty ruisku sisältää 162 mg tosilitsumabia</w:t>
      </w:r>
    </w:p>
    <w:p w14:paraId="30025BC8" w14:textId="77777777" w:rsidR="003B7027" w:rsidRPr="00BD3C40" w:rsidRDefault="003B7027" w:rsidP="006E5F9A">
      <w:pPr>
        <w:pStyle w:val="a4"/>
        <w:tabs>
          <w:tab w:val="left" w:pos="540"/>
        </w:tabs>
        <w:ind w:left="0"/>
      </w:pPr>
    </w:p>
    <w:p w14:paraId="6587CC5D" w14:textId="77777777" w:rsidR="00E5285E" w:rsidRPr="00BD3C40" w:rsidRDefault="00E5285E" w:rsidP="006E5F9A">
      <w:pPr>
        <w:pStyle w:val="a4"/>
        <w:tabs>
          <w:tab w:val="left" w:pos="540"/>
        </w:tabs>
        <w:ind w:left="0"/>
      </w:pPr>
    </w:p>
    <w:p w14:paraId="25B7FB48"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3.</w:t>
      </w:r>
      <w:r w:rsidRPr="00CA43F5">
        <w:rPr>
          <w:b/>
          <w:lang w:val="fi-FI"/>
        </w:rPr>
        <w:tab/>
        <w:t>LUETTELO APUAINEISTA</w:t>
      </w:r>
    </w:p>
    <w:p w14:paraId="1E2FB76D" w14:textId="77777777" w:rsidR="003B7027" w:rsidRPr="00BD3C40" w:rsidRDefault="003B7027" w:rsidP="006E5F9A">
      <w:pPr>
        <w:pStyle w:val="a4"/>
        <w:tabs>
          <w:tab w:val="left" w:pos="540"/>
        </w:tabs>
        <w:ind w:left="0"/>
      </w:pPr>
    </w:p>
    <w:p w14:paraId="06C0C703" w14:textId="611B8AC1" w:rsidR="00DC663F" w:rsidRDefault="00DC663F" w:rsidP="00DC663F">
      <w:pPr>
        <w:pStyle w:val="a4"/>
        <w:tabs>
          <w:tab w:val="left" w:pos="540"/>
        </w:tabs>
        <w:ind w:left="0"/>
      </w:pPr>
      <w:r>
        <w:t>Apuaineet: L‑histidiini,</w:t>
      </w:r>
      <w:r w:rsidR="00A5656C">
        <w:rPr>
          <w:rFonts w:eastAsia="맑은 고딕" w:hint="eastAsia"/>
          <w:lang w:eastAsia="ko-KR"/>
        </w:rPr>
        <w:t xml:space="preserve"> </w:t>
      </w:r>
      <w:r w:rsidR="00C26E34" w:rsidRPr="00C26E34">
        <w:rPr>
          <w:rFonts w:eastAsia="맑은 고딕" w:hint="eastAsia"/>
          <w:lang w:eastAsia="ko-KR"/>
        </w:rPr>
        <w:t>L-histidiinimonohydrokloridimonohydraatti</w:t>
      </w:r>
      <w:r w:rsidR="00A5656C">
        <w:rPr>
          <w:rFonts w:eastAsia="맑은 고딕" w:hint="eastAsia"/>
          <w:lang w:eastAsia="ko-KR"/>
        </w:rPr>
        <w:t>,</w:t>
      </w:r>
      <w:r>
        <w:t xml:space="preserve"> L‑treoniini, L‑metioniini, polysorbaatti 80</w:t>
      </w:r>
      <w:r w:rsidR="00503985">
        <w:t>,</w:t>
      </w:r>
      <w:r>
        <w:t xml:space="preserve"> injektionesteisiin käytettävä vesi.</w:t>
      </w:r>
    </w:p>
    <w:p w14:paraId="279C81E7" w14:textId="4797307B" w:rsidR="003B7027" w:rsidRPr="00BD3C40" w:rsidRDefault="00DC663F" w:rsidP="00DC663F">
      <w:pPr>
        <w:pStyle w:val="a4"/>
        <w:tabs>
          <w:tab w:val="left" w:pos="540"/>
        </w:tabs>
        <w:ind w:left="0"/>
      </w:pPr>
      <w:r w:rsidRPr="0028514E">
        <w:t>Katso lisätiedot pakkausselosteesta.</w:t>
      </w:r>
    </w:p>
    <w:p w14:paraId="3A304253" w14:textId="77777777" w:rsidR="003B7027" w:rsidRPr="00BD3C40" w:rsidRDefault="003B7027" w:rsidP="006E5F9A">
      <w:pPr>
        <w:pStyle w:val="a4"/>
        <w:tabs>
          <w:tab w:val="left" w:pos="540"/>
        </w:tabs>
        <w:ind w:left="0"/>
      </w:pPr>
    </w:p>
    <w:p w14:paraId="686D47F6" w14:textId="77777777" w:rsidR="00E5285E" w:rsidRPr="00BD3C40" w:rsidRDefault="00E5285E" w:rsidP="006E5F9A">
      <w:pPr>
        <w:pStyle w:val="a4"/>
        <w:tabs>
          <w:tab w:val="left" w:pos="540"/>
        </w:tabs>
        <w:ind w:left="0"/>
      </w:pPr>
    </w:p>
    <w:p w14:paraId="436E9217"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4.</w:t>
      </w:r>
      <w:r w:rsidRPr="00CA43F5">
        <w:rPr>
          <w:b/>
          <w:lang w:val="fi-FI"/>
        </w:rPr>
        <w:tab/>
        <w:t>LÄÄKEMUOTO JA SISÄLLÖN MÄÄRÄ</w:t>
      </w:r>
    </w:p>
    <w:p w14:paraId="03E76183" w14:textId="77777777" w:rsidR="003B7027" w:rsidRPr="00BD3C40" w:rsidRDefault="003B7027" w:rsidP="006E5F9A">
      <w:pPr>
        <w:pStyle w:val="a4"/>
        <w:tabs>
          <w:tab w:val="left" w:pos="540"/>
        </w:tabs>
        <w:ind w:left="0"/>
      </w:pPr>
    </w:p>
    <w:p w14:paraId="5E949A4E" w14:textId="77777777" w:rsidR="003B7027" w:rsidRPr="00BD3C40" w:rsidRDefault="00296A74" w:rsidP="006E5F9A">
      <w:pPr>
        <w:pStyle w:val="a4"/>
        <w:tabs>
          <w:tab w:val="left" w:pos="540"/>
        </w:tabs>
        <w:ind w:left="0"/>
      </w:pPr>
      <w:r w:rsidRPr="00BD3C40">
        <w:t>Injektioneste, liuos esitäytetyssä ruiskussa</w:t>
      </w:r>
    </w:p>
    <w:p w14:paraId="05F099A0" w14:textId="6315DBB7" w:rsidR="006E5F9A" w:rsidRPr="00BD3C40" w:rsidRDefault="00296A74" w:rsidP="006E5F9A">
      <w:pPr>
        <w:pStyle w:val="a4"/>
        <w:tabs>
          <w:tab w:val="left" w:pos="540"/>
        </w:tabs>
        <w:ind w:left="0"/>
      </w:pPr>
      <w:r w:rsidRPr="00BD3C40">
        <w:t xml:space="preserve">Monipakkaus: 12 </w:t>
      </w:r>
      <w:r w:rsidR="0025268C">
        <w:t>(</w:t>
      </w:r>
      <w:r w:rsidR="0025268C" w:rsidRPr="00BD3C40">
        <w:t>3</w:t>
      </w:r>
      <w:r w:rsidR="00AB09E0">
        <w:t> </w:t>
      </w:r>
      <w:r w:rsidR="0025268C" w:rsidRPr="00BD3C40">
        <w:t>pakkausta, joissa kussakin 4</w:t>
      </w:r>
      <w:r w:rsidR="0025268C">
        <w:t xml:space="preserve">) </w:t>
      </w:r>
      <w:r w:rsidRPr="00BD3C40">
        <w:t>esitäytettyä ruiskua</w:t>
      </w:r>
    </w:p>
    <w:p w14:paraId="7A424931" w14:textId="77777777" w:rsidR="003B7027" w:rsidRPr="00BD3C40" w:rsidRDefault="00296A74" w:rsidP="006E5F9A">
      <w:pPr>
        <w:pStyle w:val="a4"/>
        <w:tabs>
          <w:tab w:val="left" w:pos="540"/>
        </w:tabs>
        <w:ind w:left="0"/>
      </w:pPr>
      <w:r w:rsidRPr="00BD3C40">
        <w:t>162 mg/0,9 ml</w:t>
      </w:r>
    </w:p>
    <w:p w14:paraId="5BFED43C" w14:textId="77777777" w:rsidR="003B7027" w:rsidRPr="00BD3C40" w:rsidRDefault="003B7027" w:rsidP="006E5F9A">
      <w:pPr>
        <w:pStyle w:val="a4"/>
        <w:tabs>
          <w:tab w:val="left" w:pos="540"/>
        </w:tabs>
        <w:ind w:left="0"/>
      </w:pPr>
    </w:p>
    <w:p w14:paraId="5A20F051" w14:textId="77777777" w:rsidR="00E5285E" w:rsidRPr="00BD3C40" w:rsidRDefault="00E5285E" w:rsidP="006E5F9A">
      <w:pPr>
        <w:pStyle w:val="a4"/>
        <w:tabs>
          <w:tab w:val="left" w:pos="540"/>
        </w:tabs>
        <w:ind w:left="0"/>
      </w:pPr>
    </w:p>
    <w:p w14:paraId="3CB02A31"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5.</w:t>
      </w:r>
      <w:r w:rsidRPr="00CA43F5">
        <w:rPr>
          <w:b/>
          <w:lang w:val="fi-FI"/>
        </w:rPr>
        <w:tab/>
        <w:t>ANTOTAPA JA TARVITTAESSA ANTOREITTI (ANTOREITIT)</w:t>
      </w:r>
    </w:p>
    <w:p w14:paraId="4D4F80AD" w14:textId="77777777" w:rsidR="003B7027" w:rsidRPr="00BD3C40" w:rsidRDefault="003B7027" w:rsidP="006E5F9A">
      <w:pPr>
        <w:pStyle w:val="a4"/>
        <w:tabs>
          <w:tab w:val="left" w:pos="540"/>
        </w:tabs>
        <w:ind w:left="0"/>
      </w:pPr>
    </w:p>
    <w:p w14:paraId="7E0855BE" w14:textId="77777777" w:rsidR="003B7027" w:rsidRPr="00BD3C40" w:rsidRDefault="00296A74" w:rsidP="006E5F9A">
      <w:pPr>
        <w:pStyle w:val="a4"/>
        <w:tabs>
          <w:tab w:val="left" w:pos="540"/>
        </w:tabs>
        <w:ind w:left="0"/>
      </w:pPr>
      <w:r w:rsidRPr="00BD3C40">
        <w:t>Ihon alle</w:t>
      </w:r>
    </w:p>
    <w:p w14:paraId="20CE659E" w14:textId="77777777" w:rsidR="003B7027" w:rsidRPr="00BD3C40" w:rsidRDefault="00296A74" w:rsidP="006E5F9A">
      <w:pPr>
        <w:pStyle w:val="a4"/>
        <w:tabs>
          <w:tab w:val="left" w:pos="540"/>
        </w:tabs>
        <w:ind w:left="0"/>
      </w:pPr>
      <w:r w:rsidRPr="00BD3C40">
        <w:t>Lue pakkausseloste ennen käyttöä</w:t>
      </w:r>
    </w:p>
    <w:p w14:paraId="291D2129" w14:textId="77777777" w:rsidR="003B7027" w:rsidRPr="00BD3C40" w:rsidRDefault="003B7027" w:rsidP="006E5F9A">
      <w:pPr>
        <w:pStyle w:val="a4"/>
        <w:tabs>
          <w:tab w:val="left" w:pos="540"/>
        </w:tabs>
        <w:ind w:left="0"/>
      </w:pPr>
    </w:p>
    <w:p w14:paraId="5D8DF5AA" w14:textId="77777777" w:rsidR="00E5285E" w:rsidRPr="00BD3C40" w:rsidRDefault="00E5285E" w:rsidP="006E5F9A">
      <w:pPr>
        <w:pStyle w:val="a4"/>
        <w:tabs>
          <w:tab w:val="left" w:pos="540"/>
        </w:tabs>
        <w:ind w:left="0"/>
      </w:pPr>
    </w:p>
    <w:p w14:paraId="2A165772"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6.</w:t>
      </w:r>
      <w:r w:rsidRPr="00CA43F5">
        <w:rPr>
          <w:b/>
          <w:lang w:val="fi-FI"/>
        </w:rPr>
        <w:tab/>
        <w:t>ERITYISVAROITUS VALMISTEEN SÄILYTTÄMISESTÄ POISSA LASTEN ULOTTUVILTA JA NÄKYVILTÄ</w:t>
      </w:r>
    </w:p>
    <w:p w14:paraId="36257E57" w14:textId="77777777" w:rsidR="003B7027" w:rsidRPr="00BD3C40" w:rsidRDefault="003B7027" w:rsidP="006E5F9A">
      <w:pPr>
        <w:pStyle w:val="a4"/>
        <w:tabs>
          <w:tab w:val="left" w:pos="540"/>
        </w:tabs>
        <w:ind w:left="0"/>
      </w:pPr>
    </w:p>
    <w:p w14:paraId="576CA5D9" w14:textId="77777777" w:rsidR="003B7027" w:rsidRPr="00BD3C40" w:rsidRDefault="00296A74" w:rsidP="006E5F9A">
      <w:pPr>
        <w:pStyle w:val="a4"/>
        <w:tabs>
          <w:tab w:val="left" w:pos="540"/>
        </w:tabs>
        <w:ind w:left="0"/>
      </w:pPr>
      <w:r w:rsidRPr="00BD3C40">
        <w:t>Ei lasten ulottuville eikä näkyville</w:t>
      </w:r>
    </w:p>
    <w:p w14:paraId="7E23524A" w14:textId="77777777" w:rsidR="003B7027" w:rsidRPr="00BD3C40" w:rsidRDefault="003B7027" w:rsidP="006E5F9A">
      <w:pPr>
        <w:pStyle w:val="a4"/>
        <w:tabs>
          <w:tab w:val="left" w:pos="540"/>
        </w:tabs>
        <w:ind w:left="0"/>
      </w:pPr>
    </w:p>
    <w:p w14:paraId="2C18E6A2" w14:textId="77777777" w:rsidR="00E5285E" w:rsidRPr="00BD3C40" w:rsidRDefault="00E5285E" w:rsidP="006E5F9A">
      <w:pPr>
        <w:pStyle w:val="a4"/>
        <w:tabs>
          <w:tab w:val="left" w:pos="540"/>
        </w:tabs>
        <w:ind w:left="0"/>
      </w:pPr>
    </w:p>
    <w:p w14:paraId="5254912B"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7.</w:t>
      </w:r>
      <w:r w:rsidRPr="00CA43F5">
        <w:rPr>
          <w:b/>
          <w:lang w:val="fi-FI"/>
        </w:rPr>
        <w:tab/>
        <w:t>MUU ERITYISVAROITUS (MUUT ERITYISVAROITUKSET), JOS TARPEEN</w:t>
      </w:r>
    </w:p>
    <w:p w14:paraId="115200EE" w14:textId="77777777" w:rsidR="003B7027" w:rsidRPr="00BD3C40" w:rsidRDefault="003B7027" w:rsidP="006E5F9A">
      <w:pPr>
        <w:pStyle w:val="a4"/>
        <w:tabs>
          <w:tab w:val="left" w:pos="540"/>
        </w:tabs>
        <w:ind w:left="0"/>
      </w:pPr>
    </w:p>
    <w:p w14:paraId="11FA69EE" w14:textId="0E2BBC59" w:rsidR="003B7027" w:rsidRPr="00BD3C40" w:rsidRDefault="00296A74" w:rsidP="006E5F9A">
      <w:pPr>
        <w:pStyle w:val="a4"/>
        <w:tabs>
          <w:tab w:val="left" w:pos="540"/>
        </w:tabs>
        <w:ind w:left="0"/>
      </w:pPr>
      <w:r w:rsidRPr="00BD3C40">
        <w:t>Poista ruisku ulkopakkauksesta ja anna ruiskun lämmetä huoneenlämmössä 30 minuutin ajan ennen käyttöä</w:t>
      </w:r>
    </w:p>
    <w:p w14:paraId="4EBE7D2B" w14:textId="77777777" w:rsidR="003B7027" w:rsidRPr="00BD3C40" w:rsidRDefault="003B7027" w:rsidP="006E5F9A">
      <w:pPr>
        <w:pStyle w:val="a4"/>
        <w:tabs>
          <w:tab w:val="left" w:pos="540"/>
        </w:tabs>
        <w:ind w:left="0"/>
      </w:pPr>
    </w:p>
    <w:p w14:paraId="7CD4ACD0" w14:textId="77777777" w:rsidR="00E5285E" w:rsidRPr="00BD3C40" w:rsidRDefault="00E5285E" w:rsidP="006E5F9A">
      <w:pPr>
        <w:pStyle w:val="a4"/>
        <w:tabs>
          <w:tab w:val="left" w:pos="540"/>
        </w:tabs>
        <w:ind w:left="0"/>
      </w:pPr>
    </w:p>
    <w:p w14:paraId="05F6B1BC"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8.</w:t>
      </w:r>
      <w:r w:rsidRPr="00CA43F5">
        <w:rPr>
          <w:b/>
          <w:lang w:val="fi-FI"/>
        </w:rPr>
        <w:tab/>
        <w:t>VIIMEINEN KÄYTTÖPÄIVÄMÄÄRÄ</w:t>
      </w:r>
    </w:p>
    <w:p w14:paraId="640D2AAC" w14:textId="77777777" w:rsidR="003B7027" w:rsidRPr="00BD3C40" w:rsidRDefault="003B7027" w:rsidP="006E5F9A">
      <w:pPr>
        <w:pStyle w:val="a4"/>
        <w:tabs>
          <w:tab w:val="left" w:pos="540"/>
        </w:tabs>
        <w:ind w:left="0"/>
      </w:pPr>
    </w:p>
    <w:p w14:paraId="682AFD38" w14:textId="77777777" w:rsidR="003B7027" w:rsidRPr="00BD3C40" w:rsidRDefault="00296A74" w:rsidP="006E5F9A">
      <w:pPr>
        <w:pStyle w:val="a4"/>
        <w:tabs>
          <w:tab w:val="left" w:pos="540"/>
        </w:tabs>
        <w:ind w:left="0"/>
      </w:pPr>
      <w:r w:rsidRPr="00BD3C40">
        <w:t>Käyt. viim.</w:t>
      </w:r>
    </w:p>
    <w:p w14:paraId="54414D65" w14:textId="77777777" w:rsidR="00E5285E" w:rsidRPr="00BD3C40" w:rsidRDefault="00E5285E" w:rsidP="006E5F9A">
      <w:pPr>
        <w:pStyle w:val="a4"/>
        <w:tabs>
          <w:tab w:val="left" w:pos="540"/>
        </w:tabs>
        <w:ind w:left="0"/>
      </w:pPr>
    </w:p>
    <w:p w14:paraId="684305CA" w14:textId="77777777" w:rsidR="00E5285E" w:rsidRPr="00BD3C40" w:rsidRDefault="00E5285E" w:rsidP="006E5F9A">
      <w:pPr>
        <w:pStyle w:val="a4"/>
        <w:tabs>
          <w:tab w:val="left" w:pos="540"/>
        </w:tabs>
        <w:ind w:left="0"/>
      </w:pPr>
    </w:p>
    <w:p w14:paraId="6E41F803"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9.</w:t>
      </w:r>
      <w:r w:rsidRPr="00CA43F5">
        <w:rPr>
          <w:b/>
          <w:lang w:val="fi-FI"/>
        </w:rPr>
        <w:tab/>
        <w:t>ERITYISET SÄILYTYSOLOSUHTEET</w:t>
      </w:r>
    </w:p>
    <w:p w14:paraId="73D47EED" w14:textId="77777777" w:rsidR="003B7027" w:rsidRPr="00BD3C40" w:rsidRDefault="003B7027" w:rsidP="006E5F9A">
      <w:pPr>
        <w:pStyle w:val="a4"/>
        <w:tabs>
          <w:tab w:val="left" w:pos="540"/>
        </w:tabs>
        <w:ind w:left="0"/>
      </w:pPr>
    </w:p>
    <w:p w14:paraId="3A164368" w14:textId="77777777" w:rsidR="00E5285E" w:rsidRPr="00BD3C40" w:rsidRDefault="00296A74" w:rsidP="006E5F9A">
      <w:pPr>
        <w:pStyle w:val="a4"/>
        <w:tabs>
          <w:tab w:val="left" w:pos="540"/>
        </w:tabs>
        <w:ind w:left="0"/>
      </w:pPr>
      <w:r w:rsidRPr="00BD3C40">
        <w:lastRenderedPageBreak/>
        <w:t>Säilytä jääkaapissa</w:t>
      </w:r>
    </w:p>
    <w:p w14:paraId="0324C99F" w14:textId="77777777" w:rsidR="003B7027" w:rsidRPr="00BD3C40" w:rsidRDefault="00296A74" w:rsidP="006E5F9A">
      <w:pPr>
        <w:pStyle w:val="a4"/>
        <w:tabs>
          <w:tab w:val="left" w:pos="540"/>
        </w:tabs>
        <w:ind w:left="0"/>
      </w:pPr>
      <w:r w:rsidRPr="00BD3C40">
        <w:t>Ei saa jäätyä</w:t>
      </w:r>
    </w:p>
    <w:p w14:paraId="35578E43" w14:textId="3EE557C2" w:rsidR="003B7027" w:rsidRPr="0028514E" w:rsidRDefault="00296A74" w:rsidP="006E5F9A">
      <w:pPr>
        <w:pStyle w:val="a4"/>
        <w:tabs>
          <w:tab w:val="left" w:pos="540"/>
        </w:tabs>
        <w:ind w:left="0"/>
      </w:pPr>
      <w:r w:rsidRPr="0028514E">
        <w:t xml:space="preserve">Kun esitäytetty ruisku on otettu jääkaapista, se voidaan säilyttää enintään 30 °C:n lämpötilassa korkeintaan </w:t>
      </w:r>
      <w:r w:rsidR="00DC663F">
        <w:t>3</w:t>
      </w:r>
      <w:r w:rsidRPr="0028514E">
        <w:t xml:space="preserve"> viikkoa</w:t>
      </w:r>
    </w:p>
    <w:p w14:paraId="7AF96E57" w14:textId="77777777" w:rsidR="003B7027" w:rsidRPr="0028514E" w:rsidRDefault="00296A74" w:rsidP="006E5F9A">
      <w:pPr>
        <w:pStyle w:val="a4"/>
        <w:tabs>
          <w:tab w:val="left" w:pos="540"/>
        </w:tabs>
        <w:ind w:left="0"/>
      </w:pPr>
      <w:r w:rsidRPr="0028514E">
        <w:t>Pidä esitäytetty ruisku ulkopakkauksessa. Herkkä valolle. Herkkä kosteudelle</w:t>
      </w:r>
    </w:p>
    <w:p w14:paraId="4E0AF3D2" w14:textId="77777777" w:rsidR="003B7027" w:rsidRPr="0028514E" w:rsidRDefault="003B7027" w:rsidP="006E5F9A">
      <w:pPr>
        <w:pStyle w:val="a4"/>
        <w:tabs>
          <w:tab w:val="left" w:pos="540"/>
        </w:tabs>
        <w:ind w:left="0"/>
      </w:pPr>
    </w:p>
    <w:p w14:paraId="15388EA4" w14:textId="77777777" w:rsidR="00E5285E" w:rsidRPr="0028514E" w:rsidRDefault="00E5285E" w:rsidP="006E5F9A">
      <w:pPr>
        <w:pStyle w:val="a4"/>
        <w:tabs>
          <w:tab w:val="left" w:pos="540"/>
        </w:tabs>
        <w:ind w:left="0"/>
      </w:pPr>
    </w:p>
    <w:p w14:paraId="35C4EAC4"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10.</w:t>
      </w:r>
      <w:r w:rsidRPr="00CA43F5">
        <w:rPr>
          <w:b/>
          <w:lang w:val="fi-FI"/>
        </w:rPr>
        <w:tab/>
        <w:t>ERITYISET VAROTOIMET KÄYTTÄMÄTTÖMIEN LÄÄKEVALMISTEIDEN TAI NIISTÄ PERÄISIN OLEVAN JÄTEMATERIAALIN HÄVITTÄMISEKSI, JOS TARPEEN</w:t>
      </w:r>
    </w:p>
    <w:p w14:paraId="5E6F3C17" w14:textId="77777777" w:rsidR="003B7027" w:rsidRPr="0028514E" w:rsidRDefault="003B7027" w:rsidP="006E5F9A">
      <w:pPr>
        <w:pStyle w:val="a4"/>
        <w:tabs>
          <w:tab w:val="left" w:pos="540"/>
        </w:tabs>
        <w:ind w:left="0"/>
      </w:pPr>
    </w:p>
    <w:p w14:paraId="6C6124DB" w14:textId="77777777" w:rsidR="003B7027" w:rsidRPr="0028514E" w:rsidRDefault="003B7027" w:rsidP="006E5F9A">
      <w:pPr>
        <w:pStyle w:val="a4"/>
        <w:tabs>
          <w:tab w:val="left" w:pos="540"/>
        </w:tabs>
        <w:ind w:left="0"/>
      </w:pPr>
    </w:p>
    <w:p w14:paraId="65CFD1FA"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11.</w:t>
      </w:r>
      <w:r w:rsidRPr="00CA43F5">
        <w:rPr>
          <w:b/>
          <w:lang w:val="fi-FI"/>
        </w:rPr>
        <w:tab/>
        <w:t>MYYNTILUVAN HALTIJAN NIMI JA OSOITE</w:t>
      </w:r>
    </w:p>
    <w:p w14:paraId="70B75DBA" w14:textId="77777777" w:rsidR="003B7027" w:rsidRPr="0028514E" w:rsidRDefault="003B7027" w:rsidP="006E5F9A">
      <w:pPr>
        <w:pStyle w:val="a4"/>
        <w:tabs>
          <w:tab w:val="left" w:pos="540"/>
        </w:tabs>
        <w:ind w:left="0"/>
      </w:pPr>
    </w:p>
    <w:p w14:paraId="1EECC703" w14:textId="77777777" w:rsidR="00DC663F" w:rsidRPr="00CA43F5" w:rsidRDefault="00DC663F" w:rsidP="00DC663F">
      <w:pPr>
        <w:keepNext/>
        <w:rPr>
          <w:lang w:val="fi-FI"/>
        </w:rPr>
      </w:pPr>
      <w:r w:rsidRPr="00CA43F5">
        <w:rPr>
          <w:lang w:val="fi-FI"/>
        </w:rPr>
        <w:t xml:space="preserve">Celltrion Healthcare Hungary Kft. </w:t>
      </w:r>
    </w:p>
    <w:p w14:paraId="7C9B906F" w14:textId="77777777" w:rsidR="00DC663F" w:rsidRPr="00020C6B" w:rsidRDefault="00DC663F" w:rsidP="00DC663F">
      <w:pPr>
        <w:keepNext/>
      </w:pPr>
      <w:r w:rsidRPr="00020C6B">
        <w:t>1062 Budapest</w:t>
      </w:r>
    </w:p>
    <w:p w14:paraId="7700E410" w14:textId="77777777" w:rsidR="00DC663F" w:rsidRPr="00020C6B" w:rsidRDefault="00DC663F" w:rsidP="00DC663F">
      <w:pPr>
        <w:keepNext/>
      </w:pPr>
      <w:r w:rsidRPr="00020C6B">
        <w:t xml:space="preserve">Váci </w:t>
      </w:r>
      <w:proofErr w:type="spellStart"/>
      <w:r w:rsidRPr="00020C6B">
        <w:t>út</w:t>
      </w:r>
      <w:proofErr w:type="spellEnd"/>
      <w:r w:rsidRPr="00020C6B">
        <w:t xml:space="preserve"> 1-3. </w:t>
      </w:r>
      <w:proofErr w:type="spellStart"/>
      <w:r w:rsidRPr="00020C6B">
        <w:t>WestEnd</w:t>
      </w:r>
      <w:proofErr w:type="spellEnd"/>
      <w:r w:rsidRPr="00020C6B">
        <w:t xml:space="preserve"> Office Building B </w:t>
      </w:r>
      <w:proofErr w:type="spellStart"/>
      <w:r w:rsidRPr="00020C6B">
        <w:t>torony</w:t>
      </w:r>
      <w:proofErr w:type="spellEnd"/>
    </w:p>
    <w:p w14:paraId="32D18A62" w14:textId="59833368" w:rsidR="003B7027" w:rsidRPr="0028514E" w:rsidRDefault="00DC663F" w:rsidP="006E5F9A">
      <w:pPr>
        <w:pStyle w:val="a4"/>
        <w:tabs>
          <w:tab w:val="left" w:pos="540"/>
        </w:tabs>
        <w:ind w:left="0"/>
      </w:pPr>
      <w:r>
        <w:t>Unkari</w:t>
      </w:r>
    </w:p>
    <w:p w14:paraId="2BB6A2E6" w14:textId="77777777" w:rsidR="003B7027" w:rsidRPr="0028514E" w:rsidRDefault="003B7027" w:rsidP="006E5F9A">
      <w:pPr>
        <w:pStyle w:val="a4"/>
        <w:tabs>
          <w:tab w:val="left" w:pos="540"/>
        </w:tabs>
        <w:ind w:left="0"/>
      </w:pPr>
    </w:p>
    <w:p w14:paraId="18942E78" w14:textId="77777777" w:rsidR="00E5285E" w:rsidRPr="0028514E" w:rsidRDefault="00E5285E" w:rsidP="006E5F9A">
      <w:pPr>
        <w:pStyle w:val="a4"/>
        <w:tabs>
          <w:tab w:val="left" w:pos="540"/>
        </w:tabs>
        <w:ind w:left="0"/>
      </w:pPr>
    </w:p>
    <w:p w14:paraId="07C76E11"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12.</w:t>
      </w:r>
      <w:r w:rsidRPr="00CA43F5">
        <w:rPr>
          <w:b/>
          <w:lang w:val="fi-FI"/>
        </w:rPr>
        <w:tab/>
        <w:t>MYYNTILUVAN NUMERO(T)</w:t>
      </w:r>
    </w:p>
    <w:p w14:paraId="08D625B2" w14:textId="77777777" w:rsidR="003B7027" w:rsidRPr="0028514E" w:rsidRDefault="003B7027" w:rsidP="006E5F9A">
      <w:pPr>
        <w:pStyle w:val="a4"/>
        <w:tabs>
          <w:tab w:val="left" w:pos="540"/>
        </w:tabs>
        <w:ind w:left="0"/>
      </w:pPr>
    </w:p>
    <w:p w14:paraId="1A70D4E4" w14:textId="589AE534" w:rsidR="003B7027" w:rsidRPr="0028514E" w:rsidRDefault="00DC663F" w:rsidP="006E5F9A">
      <w:pPr>
        <w:pStyle w:val="a4"/>
        <w:tabs>
          <w:tab w:val="left" w:pos="540"/>
        </w:tabs>
        <w:ind w:left="0"/>
      </w:pPr>
      <w:r w:rsidRPr="00020C6B">
        <w:t>EU/</w:t>
      </w:r>
      <w:r w:rsidR="001013A5" w:rsidRPr="003672E9">
        <w:rPr>
          <w:spacing w:val="-1"/>
          <w:lang w:val="pt-BR"/>
        </w:rPr>
        <w:t>1/24/1896/00</w:t>
      </w:r>
      <w:r w:rsidR="001013A5">
        <w:rPr>
          <w:rFonts w:eastAsia="맑은 고딕" w:hint="eastAsia"/>
          <w:spacing w:val="-1"/>
          <w:lang w:val="pt-BR" w:eastAsia="ko-KR"/>
        </w:rPr>
        <w:t>9</w:t>
      </w:r>
      <w:r w:rsidR="001013A5">
        <w:t xml:space="preserve"> 12 (3 x 4) esitäytettyä ruiskua (monipakkaus)</w:t>
      </w:r>
    </w:p>
    <w:p w14:paraId="75A3DD48" w14:textId="77777777" w:rsidR="003B7027" w:rsidRPr="0028514E" w:rsidRDefault="003B7027" w:rsidP="006E5F9A">
      <w:pPr>
        <w:pStyle w:val="a4"/>
        <w:tabs>
          <w:tab w:val="left" w:pos="540"/>
        </w:tabs>
        <w:ind w:left="0"/>
      </w:pPr>
    </w:p>
    <w:p w14:paraId="2A6D04AD" w14:textId="77777777" w:rsidR="00E5285E" w:rsidRPr="0028514E" w:rsidRDefault="00E5285E" w:rsidP="006E5F9A">
      <w:pPr>
        <w:pStyle w:val="a4"/>
        <w:tabs>
          <w:tab w:val="left" w:pos="540"/>
        </w:tabs>
        <w:ind w:left="0"/>
      </w:pPr>
    </w:p>
    <w:p w14:paraId="33591B85"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 w:val="left" w:pos="724"/>
        </w:tabs>
        <w:spacing w:line="252" w:lineRule="exact"/>
        <w:rPr>
          <w:b/>
          <w:lang w:val="fi-FI"/>
        </w:rPr>
      </w:pPr>
      <w:r w:rsidRPr="00CA43F5">
        <w:rPr>
          <w:b/>
          <w:lang w:val="fi-FI"/>
        </w:rPr>
        <w:t>13.</w:t>
      </w:r>
      <w:r w:rsidRPr="00CA43F5">
        <w:rPr>
          <w:b/>
          <w:lang w:val="fi-FI"/>
        </w:rPr>
        <w:tab/>
        <w:t>ERÄNUMERO</w:t>
      </w:r>
    </w:p>
    <w:p w14:paraId="7C817968" w14:textId="77777777" w:rsidR="003B7027" w:rsidRPr="0028514E" w:rsidRDefault="003B7027" w:rsidP="006E5F9A">
      <w:pPr>
        <w:pStyle w:val="a4"/>
        <w:tabs>
          <w:tab w:val="left" w:pos="540"/>
        </w:tabs>
        <w:ind w:left="0"/>
      </w:pPr>
    </w:p>
    <w:p w14:paraId="0E1B7E8D" w14:textId="4957E10B" w:rsidR="003B7027" w:rsidRPr="0028514E" w:rsidRDefault="004F767E" w:rsidP="006E5F9A">
      <w:pPr>
        <w:pStyle w:val="a4"/>
        <w:tabs>
          <w:tab w:val="left" w:pos="540"/>
        </w:tabs>
        <w:ind w:left="0"/>
      </w:pPr>
      <w:r>
        <w:t>Erä</w:t>
      </w:r>
    </w:p>
    <w:p w14:paraId="4FD28CC3" w14:textId="77777777" w:rsidR="003B7027" w:rsidRPr="0028514E" w:rsidRDefault="003B7027" w:rsidP="006E5F9A">
      <w:pPr>
        <w:pStyle w:val="a4"/>
        <w:tabs>
          <w:tab w:val="left" w:pos="540"/>
        </w:tabs>
        <w:ind w:left="0"/>
      </w:pPr>
    </w:p>
    <w:p w14:paraId="5B6EEEC1" w14:textId="77777777" w:rsidR="00E5285E" w:rsidRPr="0028514E" w:rsidRDefault="00E5285E" w:rsidP="006E5F9A">
      <w:pPr>
        <w:pStyle w:val="a4"/>
        <w:tabs>
          <w:tab w:val="left" w:pos="540"/>
        </w:tabs>
        <w:ind w:left="0"/>
      </w:pPr>
    </w:p>
    <w:p w14:paraId="49CA3AC1"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14.</w:t>
      </w:r>
      <w:r w:rsidRPr="00CA43F5">
        <w:rPr>
          <w:b/>
          <w:lang w:val="fi-FI"/>
        </w:rPr>
        <w:tab/>
        <w:t>YLEINEN TOIMITTAMISLUOKITTELU</w:t>
      </w:r>
    </w:p>
    <w:p w14:paraId="6E3CD361" w14:textId="77777777" w:rsidR="003B7027" w:rsidRPr="0028514E" w:rsidRDefault="003B7027" w:rsidP="006E5F9A">
      <w:pPr>
        <w:pStyle w:val="a4"/>
        <w:tabs>
          <w:tab w:val="left" w:pos="540"/>
        </w:tabs>
        <w:ind w:left="0"/>
      </w:pPr>
    </w:p>
    <w:p w14:paraId="2E862534" w14:textId="77777777" w:rsidR="003B7027" w:rsidRPr="0028514E" w:rsidRDefault="003B7027" w:rsidP="006E5F9A">
      <w:pPr>
        <w:pStyle w:val="a4"/>
        <w:tabs>
          <w:tab w:val="left" w:pos="540"/>
        </w:tabs>
        <w:ind w:left="0"/>
      </w:pPr>
    </w:p>
    <w:p w14:paraId="6B4E0432"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15.</w:t>
      </w:r>
      <w:r w:rsidRPr="00CA43F5">
        <w:rPr>
          <w:b/>
          <w:lang w:val="fi-FI"/>
        </w:rPr>
        <w:tab/>
        <w:t>KÄYTTÖOHJEET</w:t>
      </w:r>
    </w:p>
    <w:p w14:paraId="2B03D6DF" w14:textId="77777777" w:rsidR="003B7027" w:rsidRPr="0028514E" w:rsidRDefault="003B7027" w:rsidP="006E5F9A">
      <w:pPr>
        <w:pStyle w:val="a4"/>
        <w:tabs>
          <w:tab w:val="left" w:pos="540"/>
        </w:tabs>
        <w:ind w:left="0"/>
      </w:pPr>
    </w:p>
    <w:p w14:paraId="4D56E148" w14:textId="77777777" w:rsidR="003B7027" w:rsidRPr="0028514E" w:rsidRDefault="003B7027" w:rsidP="006E5F9A">
      <w:pPr>
        <w:pStyle w:val="a4"/>
        <w:tabs>
          <w:tab w:val="left" w:pos="540"/>
        </w:tabs>
        <w:ind w:left="0"/>
      </w:pPr>
    </w:p>
    <w:p w14:paraId="190D70CF"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16.</w:t>
      </w:r>
      <w:r w:rsidRPr="00CA43F5">
        <w:rPr>
          <w:b/>
          <w:lang w:val="fi-FI"/>
        </w:rPr>
        <w:tab/>
        <w:t>TIEDOT PISTEKIRJOITUKSELLA</w:t>
      </w:r>
    </w:p>
    <w:p w14:paraId="33AD6D06" w14:textId="77777777" w:rsidR="003B7027" w:rsidRPr="0028514E" w:rsidRDefault="003B7027" w:rsidP="006E5F9A">
      <w:pPr>
        <w:pStyle w:val="a4"/>
        <w:tabs>
          <w:tab w:val="left" w:pos="540"/>
        </w:tabs>
        <w:ind w:left="0"/>
      </w:pPr>
    </w:p>
    <w:p w14:paraId="01FE7E08" w14:textId="77777777" w:rsidR="00E845AE" w:rsidRPr="003F07A8" w:rsidRDefault="00E845AE" w:rsidP="00E845AE">
      <w:pPr>
        <w:rPr>
          <w:lang w:val="fi-FI"/>
        </w:rPr>
      </w:pPr>
      <w:r w:rsidRPr="003F07A8">
        <w:rPr>
          <w:lang w:val="fi-FI"/>
        </w:rPr>
        <w:t>avtozma 162 mg</w:t>
      </w:r>
    </w:p>
    <w:p w14:paraId="654A735D" w14:textId="77777777" w:rsidR="003B7027" w:rsidRPr="0028514E" w:rsidRDefault="003B7027" w:rsidP="006E5F9A">
      <w:pPr>
        <w:pStyle w:val="a4"/>
        <w:tabs>
          <w:tab w:val="left" w:pos="540"/>
        </w:tabs>
        <w:ind w:left="0"/>
      </w:pPr>
    </w:p>
    <w:p w14:paraId="74389ABD" w14:textId="77777777" w:rsidR="00E5285E" w:rsidRPr="0028514E" w:rsidRDefault="00E5285E" w:rsidP="006E5F9A">
      <w:pPr>
        <w:pStyle w:val="a4"/>
        <w:tabs>
          <w:tab w:val="left" w:pos="540"/>
        </w:tabs>
        <w:ind w:left="0"/>
      </w:pPr>
    </w:p>
    <w:p w14:paraId="3A952A57"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17.</w:t>
      </w:r>
      <w:r w:rsidRPr="00CA43F5">
        <w:rPr>
          <w:b/>
          <w:lang w:val="fi-FI"/>
        </w:rPr>
        <w:tab/>
        <w:t>YKSILÖLLINEN TUNNISTE – 2D-VIIVAKOODI</w:t>
      </w:r>
    </w:p>
    <w:p w14:paraId="078611D1" w14:textId="77777777" w:rsidR="003B7027" w:rsidRPr="0028514E" w:rsidRDefault="003B7027" w:rsidP="006E5F9A">
      <w:pPr>
        <w:pStyle w:val="a4"/>
        <w:tabs>
          <w:tab w:val="left" w:pos="540"/>
        </w:tabs>
        <w:ind w:left="0"/>
      </w:pPr>
    </w:p>
    <w:p w14:paraId="3D6639F8" w14:textId="77777777" w:rsidR="003B7027" w:rsidRPr="0028514E" w:rsidRDefault="00296A74" w:rsidP="006E5F9A">
      <w:pPr>
        <w:pStyle w:val="a4"/>
        <w:tabs>
          <w:tab w:val="left" w:pos="540"/>
        </w:tabs>
        <w:ind w:left="0"/>
      </w:pPr>
      <w:r w:rsidRPr="003F07A8">
        <w:rPr>
          <w:color w:val="000000"/>
          <w:highlight w:val="lightGray"/>
          <w:shd w:val="clear" w:color="auto" w:fill="C1C1C1"/>
        </w:rPr>
        <w:t>&lt;2D-viivakoodi, joka sisältää yksilöllisen tunnisteen.&gt;</w:t>
      </w:r>
    </w:p>
    <w:p w14:paraId="15CABE08" w14:textId="77777777" w:rsidR="003B7027" w:rsidRPr="0028514E" w:rsidRDefault="003B7027" w:rsidP="006E5F9A">
      <w:pPr>
        <w:pStyle w:val="a4"/>
        <w:tabs>
          <w:tab w:val="left" w:pos="540"/>
        </w:tabs>
        <w:ind w:left="0"/>
      </w:pPr>
    </w:p>
    <w:p w14:paraId="1DE8F1B4" w14:textId="77777777" w:rsidR="00E5285E" w:rsidRPr="0028514E" w:rsidRDefault="00E5285E" w:rsidP="006E5F9A">
      <w:pPr>
        <w:pStyle w:val="a4"/>
        <w:tabs>
          <w:tab w:val="left" w:pos="540"/>
        </w:tabs>
        <w:ind w:left="0"/>
      </w:pPr>
    </w:p>
    <w:p w14:paraId="0C8D5418"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18.</w:t>
      </w:r>
      <w:r w:rsidRPr="00CA43F5">
        <w:rPr>
          <w:b/>
          <w:lang w:val="fi-FI"/>
        </w:rPr>
        <w:tab/>
        <w:t>YKSILÖLLINEN TUNNISTE – LUETTAVISSA OLEVAT TIEDOT</w:t>
      </w:r>
    </w:p>
    <w:p w14:paraId="24DFDE0F" w14:textId="77777777" w:rsidR="003B7027" w:rsidRPr="0028514E" w:rsidRDefault="003B7027" w:rsidP="006E5F9A">
      <w:pPr>
        <w:pStyle w:val="a4"/>
        <w:tabs>
          <w:tab w:val="left" w:pos="540"/>
        </w:tabs>
        <w:ind w:left="0"/>
      </w:pPr>
    </w:p>
    <w:p w14:paraId="3B56A7E9" w14:textId="77777777" w:rsidR="00E5285E" w:rsidRPr="0028514E" w:rsidRDefault="00296A74" w:rsidP="006E5F9A">
      <w:pPr>
        <w:pStyle w:val="a4"/>
        <w:tabs>
          <w:tab w:val="left" w:pos="540"/>
        </w:tabs>
        <w:ind w:left="0"/>
      </w:pPr>
      <w:r w:rsidRPr="0028514E">
        <w:t>PC</w:t>
      </w:r>
    </w:p>
    <w:p w14:paraId="067473E8" w14:textId="77777777" w:rsidR="00E5285E" w:rsidRPr="0028514E" w:rsidRDefault="00296A74" w:rsidP="006E5F9A">
      <w:pPr>
        <w:pStyle w:val="a4"/>
        <w:tabs>
          <w:tab w:val="left" w:pos="540"/>
        </w:tabs>
        <w:ind w:left="0"/>
      </w:pPr>
      <w:r w:rsidRPr="0028514E">
        <w:t>SN</w:t>
      </w:r>
    </w:p>
    <w:p w14:paraId="3C8F5217" w14:textId="77777777" w:rsidR="003B7027" w:rsidRPr="0028514E" w:rsidRDefault="00296A74" w:rsidP="006E5F9A">
      <w:pPr>
        <w:pStyle w:val="a4"/>
        <w:tabs>
          <w:tab w:val="left" w:pos="540"/>
        </w:tabs>
        <w:ind w:left="0"/>
      </w:pPr>
      <w:r w:rsidRPr="003F07A8">
        <w:rPr>
          <w:highlight w:val="lightGray"/>
        </w:rPr>
        <w:t>NN</w:t>
      </w:r>
    </w:p>
    <w:p w14:paraId="6356C4FC" w14:textId="5FA2B79A" w:rsidR="0069756A" w:rsidRPr="00CA43F5" w:rsidRDefault="00E5285E" w:rsidP="008D40DB">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CA43F5">
        <w:rPr>
          <w:lang w:val="fi-FI"/>
        </w:rPr>
        <w:br w:type="page"/>
      </w:r>
      <w:r w:rsidR="0069756A" w:rsidRPr="00CA43F5">
        <w:rPr>
          <w:b/>
          <w:lang w:val="fi-FI"/>
        </w:rPr>
        <w:lastRenderedPageBreak/>
        <w:t>ULKOPAKKAUKSESSA ON OLTAVA SEURAAVAT MERKINNÄT</w:t>
      </w:r>
    </w:p>
    <w:p w14:paraId="12CFD9B5" w14:textId="77777777" w:rsidR="0069756A" w:rsidRPr="00BD3C40" w:rsidRDefault="0069756A" w:rsidP="008D40DB">
      <w:pPr>
        <w:pStyle w:val="a4"/>
        <w:pBdr>
          <w:top w:val="single" w:sz="4" w:space="1" w:color="000000"/>
          <w:left w:val="single" w:sz="4" w:space="4" w:color="000000"/>
          <w:bottom w:val="single" w:sz="4" w:space="1" w:color="000000"/>
          <w:right w:val="single" w:sz="4" w:space="4" w:color="000000"/>
        </w:pBdr>
        <w:tabs>
          <w:tab w:val="left" w:pos="540"/>
        </w:tabs>
        <w:ind w:left="0"/>
        <w:rPr>
          <w:b/>
        </w:rPr>
      </w:pPr>
    </w:p>
    <w:p w14:paraId="4ADFA648" w14:textId="77777777" w:rsidR="0069756A" w:rsidRPr="00CA43F5" w:rsidRDefault="0069756A" w:rsidP="008D40DB">
      <w:pPr>
        <w:pBdr>
          <w:top w:val="single" w:sz="4" w:space="1" w:color="000000"/>
          <w:left w:val="single" w:sz="4" w:space="4" w:color="000000"/>
          <w:bottom w:val="single" w:sz="4" w:space="1" w:color="000000"/>
          <w:right w:val="single" w:sz="4" w:space="4" w:color="000000"/>
        </w:pBdr>
        <w:tabs>
          <w:tab w:val="left" w:pos="540"/>
        </w:tabs>
        <w:rPr>
          <w:b/>
          <w:lang w:val="fi-FI"/>
        </w:rPr>
      </w:pPr>
      <w:r w:rsidRPr="00CA43F5">
        <w:rPr>
          <w:b/>
          <w:lang w:val="fi-FI"/>
        </w:rPr>
        <w:t>ESITÄYTETYN RUISKUN KOTELO (EI BLUE BOXIA) – Monipakkaus</w:t>
      </w:r>
    </w:p>
    <w:p w14:paraId="00FAF479" w14:textId="77777777" w:rsidR="003B7027" w:rsidRPr="00BD3C40" w:rsidRDefault="003B7027" w:rsidP="006E5F9A">
      <w:pPr>
        <w:pStyle w:val="a4"/>
        <w:tabs>
          <w:tab w:val="left" w:pos="540"/>
        </w:tabs>
        <w:ind w:left="0"/>
      </w:pPr>
    </w:p>
    <w:p w14:paraId="3681710B" w14:textId="77777777" w:rsidR="00E5285E" w:rsidRPr="00BD3C40" w:rsidRDefault="00E5285E" w:rsidP="006E5F9A">
      <w:pPr>
        <w:pStyle w:val="a4"/>
        <w:tabs>
          <w:tab w:val="left" w:pos="540"/>
        </w:tabs>
        <w:ind w:left="0"/>
      </w:pPr>
    </w:p>
    <w:p w14:paraId="1EDA777C"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w:t>
      </w:r>
      <w:r w:rsidRPr="00CA43F5">
        <w:rPr>
          <w:b/>
          <w:lang w:val="fi-FI"/>
        </w:rPr>
        <w:tab/>
        <w:t>LÄÄKEVALMISTEEN NIMI</w:t>
      </w:r>
    </w:p>
    <w:p w14:paraId="3E268FBD" w14:textId="77777777" w:rsidR="003B7027" w:rsidRPr="00BD3C40" w:rsidRDefault="003B7027" w:rsidP="006E5F9A">
      <w:pPr>
        <w:pStyle w:val="a4"/>
        <w:tabs>
          <w:tab w:val="left" w:pos="540"/>
        </w:tabs>
        <w:ind w:left="0"/>
      </w:pPr>
    </w:p>
    <w:p w14:paraId="53303294" w14:textId="1AB7F0AF" w:rsidR="00830621" w:rsidRDefault="00DC663F" w:rsidP="006E5F9A">
      <w:pPr>
        <w:pStyle w:val="a4"/>
        <w:tabs>
          <w:tab w:val="left" w:pos="540"/>
        </w:tabs>
        <w:ind w:left="0"/>
        <w:rPr>
          <w:rFonts w:eastAsia="맑은 고딕"/>
          <w:lang w:eastAsia="ko-KR"/>
        </w:rPr>
      </w:pPr>
      <w:r>
        <w:t>Avtozma</w:t>
      </w:r>
      <w:r w:rsidRPr="00BD3C40">
        <w:t xml:space="preserve"> </w:t>
      </w:r>
      <w:r w:rsidR="00296A74" w:rsidRPr="00BD3C40">
        <w:t xml:space="preserve">162 mg injektioneste, liuos esitäytetyssä ruiskussa </w:t>
      </w:r>
    </w:p>
    <w:p w14:paraId="68650845" w14:textId="4E63513B" w:rsidR="003B7027" w:rsidRPr="00BD3C40" w:rsidRDefault="00296A74" w:rsidP="006E5F9A">
      <w:pPr>
        <w:pStyle w:val="a4"/>
        <w:tabs>
          <w:tab w:val="left" w:pos="540"/>
        </w:tabs>
        <w:ind w:left="0"/>
      </w:pPr>
      <w:r w:rsidRPr="00BD3C40">
        <w:t>tosilitsumabi</w:t>
      </w:r>
    </w:p>
    <w:p w14:paraId="06FB2B44" w14:textId="77777777" w:rsidR="00E5285E" w:rsidRPr="00BD3C40" w:rsidRDefault="00E5285E" w:rsidP="006E5F9A">
      <w:pPr>
        <w:pStyle w:val="a4"/>
        <w:tabs>
          <w:tab w:val="left" w:pos="540"/>
        </w:tabs>
        <w:ind w:left="0"/>
      </w:pPr>
    </w:p>
    <w:p w14:paraId="6CB78E44" w14:textId="77777777" w:rsidR="00E5285E" w:rsidRPr="00BD3C40" w:rsidRDefault="00E5285E" w:rsidP="006E5F9A">
      <w:pPr>
        <w:pStyle w:val="a4"/>
        <w:tabs>
          <w:tab w:val="left" w:pos="540"/>
        </w:tabs>
        <w:ind w:left="0"/>
      </w:pPr>
    </w:p>
    <w:p w14:paraId="58D9BA3E"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2.</w:t>
      </w:r>
      <w:r w:rsidRPr="00CA43F5">
        <w:rPr>
          <w:b/>
          <w:lang w:val="fi-FI"/>
        </w:rPr>
        <w:tab/>
        <w:t>VAIKUTTAVA(T) AINE(ET)</w:t>
      </w:r>
    </w:p>
    <w:p w14:paraId="33CAB9F6" w14:textId="77777777" w:rsidR="003B7027" w:rsidRPr="00BD3C40" w:rsidRDefault="003B7027" w:rsidP="006E5F9A">
      <w:pPr>
        <w:pStyle w:val="a4"/>
        <w:tabs>
          <w:tab w:val="left" w:pos="540"/>
        </w:tabs>
        <w:ind w:left="0"/>
      </w:pPr>
    </w:p>
    <w:p w14:paraId="034CD941" w14:textId="77777777" w:rsidR="003B7027" w:rsidRPr="00BD3C40" w:rsidRDefault="00296A74" w:rsidP="006E5F9A">
      <w:pPr>
        <w:pStyle w:val="a4"/>
        <w:tabs>
          <w:tab w:val="left" w:pos="540"/>
        </w:tabs>
        <w:ind w:left="0"/>
      </w:pPr>
      <w:r w:rsidRPr="00BD3C40">
        <w:t>1 esitäytetty ruisku sisältää 162 mg tosilitsumabia</w:t>
      </w:r>
    </w:p>
    <w:p w14:paraId="36373FA5" w14:textId="77777777" w:rsidR="003B7027" w:rsidRPr="00BD3C40" w:rsidRDefault="003B7027" w:rsidP="006E5F9A">
      <w:pPr>
        <w:pStyle w:val="a4"/>
        <w:tabs>
          <w:tab w:val="left" w:pos="540"/>
        </w:tabs>
        <w:ind w:left="0"/>
      </w:pPr>
    </w:p>
    <w:p w14:paraId="00917D28" w14:textId="77777777" w:rsidR="00E5285E" w:rsidRPr="00BD3C40" w:rsidRDefault="00E5285E" w:rsidP="006E5F9A">
      <w:pPr>
        <w:pStyle w:val="a4"/>
        <w:tabs>
          <w:tab w:val="left" w:pos="540"/>
        </w:tabs>
        <w:ind w:left="0"/>
      </w:pPr>
    </w:p>
    <w:p w14:paraId="687B1456"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3.</w:t>
      </w:r>
      <w:r w:rsidRPr="00CA43F5">
        <w:rPr>
          <w:b/>
          <w:lang w:val="fi-FI"/>
        </w:rPr>
        <w:tab/>
        <w:t>LUETTELO APUAINEISTA</w:t>
      </w:r>
    </w:p>
    <w:p w14:paraId="54C818E9" w14:textId="77777777" w:rsidR="003B7027" w:rsidRPr="00BD3C40" w:rsidRDefault="003B7027" w:rsidP="006E5F9A">
      <w:pPr>
        <w:pStyle w:val="a4"/>
        <w:tabs>
          <w:tab w:val="left" w:pos="540"/>
        </w:tabs>
        <w:ind w:left="0"/>
      </w:pPr>
    </w:p>
    <w:p w14:paraId="7AB86393" w14:textId="78A6F510" w:rsidR="00DC663F" w:rsidRDefault="00DC663F" w:rsidP="00DC663F">
      <w:pPr>
        <w:pStyle w:val="a4"/>
        <w:tabs>
          <w:tab w:val="left" w:pos="540"/>
        </w:tabs>
        <w:ind w:left="0"/>
      </w:pPr>
      <w:r>
        <w:t xml:space="preserve">Apuaineet: L‑histidiini, </w:t>
      </w:r>
      <w:r w:rsidR="00C26E34" w:rsidRPr="00C26E34">
        <w:rPr>
          <w:rFonts w:eastAsia="맑은 고딕" w:hint="eastAsia"/>
          <w:lang w:eastAsia="ko-KR"/>
        </w:rPr>
        <w:t>L-histidiinimonohydrokloridimonohydraatti</w:t>
      </w:r>
      <w:r w:rsidR="00A5656C">
        <w:rPr>
          <w:rFonts w:eastAsia="맑은 고딕" w:hint="eastAsia"/>
          <w:lang w:eastAsia="ko-KR"/>
        </w:rPr>
        <w:t xml:space="preserve">, </w:t>
      </w:r>
      <w:r>
        <w:t>L‑treoniini, L‑metioniini, polysorbaatti 80</w:t>
      </w:r>
      <w:r w:rsidR="00503985">
        <w:t>,</w:t>
      </w:r>
      <w:r>
        <w:t xml:space="preserve"> injektionesteisiin käytettävä vesi.</w:t>
      </w:r>
    </w:p>
    <w:p w14:paraId="1B7076A4" w14:textId="679FABC1" w:rsidR="003B7027" w:rsidRPr="00BD3C40" w:rsidRDefault="00DC663F" w:rsidP="00DC663F">
      <w:pPr>
        <w:pStyle w:val="a4"/>
        <w:tabs>
          <w:tab w:val="left" w:pos="540"/>
        </w:tabs>
        <w:ind w:left="0"/>
      </w:pPr>
      <w:r w:rsidRPr="0028514E">
        <w:t>Katso lisätiedot pakkausselosteesta.</w:t>
      </w:r>
    </w:p>
    <w:p w14:paraId="44843CCE" w14:textId="77777777" w:rsidR="003B7027" w:rsidRPr="00BD3C40" w:rsidRDefault="003B7027" w:rsidP="006E5F9A">
      <w:pPr>
        <w:pStyle w:val="a4"/>
        <w:tabs>
          <w:tab w:val="left" w:pos="540"/>
        </w:tabs>
        <w:ind w:left="0"/>
      </w:pPr>
    </w:p>
    <w:p w14:paraId="201D92C4" w14:textId="77777777" w:rsidR="00E5285E" w:rsidRPr="00BD3C40" w:rsidRDefault="00E5285E" w:rsidP="006E5F9A">
      <w:pPr>
        <w:pStyle w:val="a4"/>
        <w:tabs>
          <w:tab w:val="left" w:pos="540"/>
        </w:tabs>
        <w:ind w:left="0"/>
      </w:pPr>
    </w:p>
    <w:p w14:paraId="29941A35"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4.</w:t>
      </w:r>
      <w:r w:rsidRPr="00CA43F5">
        <w:rPr>
          <w:b/>
          <w:lang w:val="fi-FI"/>
        </w:rPr>
        <w:tab/>
        <w:t>LÄÄKEMUOTO JA SISÄLLÖN MÄÄRÄ</w:t>
      </w:r>
    </w:p>
    <w:p w14:paraId="31BE3527" w14:textId="77777777" w:rsidR="003B7027" w:rsidRPr="00BD3C40" w:rsidRDefault="003B7027" w:rsidP="006E5F9A">
      <w:pPr>
        <w:pStyle w:val="a4"/>
        <w:tabs>
          <w:tab w:val="left" w:pos="540"/>
        </w:tabs>
        <w:ind w:left="0"/>
      </w:pPr>
    </w:p>
    <w:p w14:paraId="6909E119" w14:textId="77777777" w:rsidR="003B7027" w:rsidRPr="00BD3C40" w:rsidRDefault="00296A74" w:rsidP="006E5F9A">
      <w:pPr>
        <w:pStyle w:val="a4"/>
        <w:tabs>
          <w:tab w:val="left" w:pos="540"/>
        </w:tabs>
        <w:ind w:left="0"/>
      </w:pPr>
      <w:r w:rsidRPr="00BD3C40">
        <w:t>Injektioneste, liuos esitäytetyssä ruiskussa</w:t>
      </w:r>
    </w:p>
    <w:p w14:paraId="3B0D644F" w14:textId="77777777" w:rsidR="003B7027" w:rsidRPr="00CA43F5" w:rsidRDefault="00296A74" w:rsidP="006E5F9A">
      <w:pPr>
        <w:tabs>
          <w:tab w:val="left" w:pos="540"/>
        </w:tabs>
        <w:rPr>
          <w:lang w:val="fi-FI"/>
        </w:rPr>
      </w:pPr>
      <w:r w:rsidRPr="00CA43F5">
        <w:rPr>
          <w:lang w:val="fi-FI"/>
        </w:rPr>
        <w:t>4 esitäytettyä ruiskua. Monipakkauksen osa, jota ei myydä erikseen.</w:t>
      </w:r>
    </w:p>
    <w:p w14:paraId="0BCDF794" w14:textId="77777777" w:rsidR="003B7027" w:rsidRPr="00BD3C40" w:rsidRDefault="00296A74" w:rsidP="006E5F9A">
      <w:pPr>
        <w:pStyle w:val="a4"/>
        <w:tabs>
          <w:tab w:val="left" w:pos="540"/>
        </w:tabs>
        <w:ind w:left="0"/>
      </w:pPr>
      <w:r w:rsidRPr="00BD3C40">
        <w:t>162 mg/0,9 ml</w:t>
      </w:r>
    </w:p>
    <w:p w14:paraId="779FAA2D" w14:textId="77777777" w:rsidR="003B7027" w:rsidRPr="00BD3C40" w:rsidRDefault="003B7027" w:rsidP="006E5F9A">
      <w:pPr>
        <w:pStyle w:val="a4"/>
        <w:tabs>
          <w:tab w:val="left" w:pos="540"/>
        </w:tabs>
        <w:ind w:left="0"/>
      </w:pPr>
    </w:p>
    <w:p w14:paraId="43507024" w14:textId="77777777" w:rsidR="00E5285E" w:rsidRPr="00BD3C40" w:rsidRDefault="00E5285E" w:rsidP="006E5F9A">
      <w:pPr>
        <w:pStyle w:val="a4"/>
        <w:tabs>
          <w:tab w:val="left" w:pos="540"/>
        </w:tabs>
        <w:ind w:left="0"/>
      </w:pPr>
    </w:p>
    <w:p w14:paraId="7FEAEF37"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5.</w:t>
      </w:r>
      <w:r w:rsidRPr="00CA43F5">
        <w:rPr>
          <w:b/>
          <w:lang w:val="fi-FI"/>
        </w:rPr>
        <w:tab/>
        <w:t>ANTOTAPA JA TARVITTAESSA ANTOREITTI (ANTOREITIT)</w:t>
      </w:r>
    </w:p>
    <w:p w14:paraId="72E7FE86" w14:textId="77777777" w:rsidR="003B7027" w:rsidRPr="00BD3C40" w:rsidRDefault="003B7027" w:rsidP="006E5F9A">
      <w:pPr>
        <w:pStyle w:val="a4"/>
        <w:tabs>
          <w:tab w:val="left" w:pos="540"/>
        </w:tabs>
        <w:ind w:left="0"/>
      </w:pPr>
    </w:p>
    <w:p w14:paraId="491C4A19" w14:textId="77777777" w:rsidR="003B7027" w:rsidRPr="00BD3C40" w:rsidRDefault="00296A74" w:rsidP="006E5F9A">
      <w:pPr>
        <w:pStyle w:val="a4"/>
        <w:tabs>
          <w:tab w:val="left" w:pos="540"/>
        </w:tabs>
        <w:ind w:left="0"/>
      </w:pPr>
      <w:r w:rsidRPr="00BD3C40">
        <w:t>Ihon alle</w:t>
      </w:r>
    </w:p>
    <w:p w14:paraId="5D537ED1" w14:textId="77777777" w:rsidR="003B7027" w:rsidRPr="00BD3C40" w:rsidRDefault="00296A74" w:rsidP="006E5F9A">
      <w:pPr>
        <w:pStyle w:val="a4"/>
        <w:tabs>
          <w:tab w:val="left" w:pos="540"/>
        </w:tabs>
        <w:ind w:left="0"/>
      </w:pPr>
      <w:r w:rsidRPr="00BD3C40">
        <w:t>Lue pakkausseloste ennen käyttöä</w:t>
      </w:r>
    </w:p>
    <w:p w14:paraId="6734FAAE" w14:textId="77777777" w:rsidR="003B7027" w:rsidRPr="00BD3C40" w:rsidRDefault="003B7027" w:rsidP="006E5F9A">
      <w:pPr>
        <w:pStyle w:val="a4"/>
        <w:tabs>
          <w:tab w:val="left" w:pos="540"/>
        </w:tabs>
        <w:ind w:left="0"/>
      </w:pPr>
    </w:p>
    <w:p w14:paraId="7681CE7B" w14:textId="77777777" w:rsidR="00E5285E" w:rsidRPr="00BD3C40" w:rsidRDefault="00E5285E" w:rsidP="006E5F9A">
      <w:pPr>
        <w:pStyle w:val="a4"/>
        <w:tabs>
          <w:tab w:val="left" w:pos="540"/>
        </w:tabs>
        <w:ind w:left="0"/>
      </w:pPr>
    </w:p>
    <w:p w14:paraId="6CDB4CC0"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bCs/>
          <w:lang w:val="fi-FI"/>
        </w:rPr>
        <w:t>6.</w:t>
      </w:r>
      <w:r w:rsidRPr="00CA43F5">
        <w:rPr>
          <w:b/>
          <w:bCs/>
          <w:lang w:val="fi-FI"/>
        </w:rPr>
        <w:tab/>
      </w:r>
      <w:r w:rsidRPr="00CA43F5">
        <w:rPr>
          <w:b/>
          <w:lang w:val="fi-FI"/>
        </w:rPr>
        <w:t>ERITYISVAROITUS VALMISTEEN SÄILYTTÄMISESTÄ POISSA LASTEN ULOTTUVILTA JA NÄKYVILTÄ</w:t>
      </w:r>
    </w:p>
    <w:p w14:paraId="341C5C8F" w14:textId="77777777" w:rsidR="003B7027" w:rsidRPr="00BD3C40" w:rsidRDefault="003B7027" w:rsidP="006E5F9A">
      <w:pPr>
        <w:pStyle w:val="a4"/>
        <w:tabs>
          <w:tab w:val="left" w:pos="540"/>
        </w:tabs>
        <w:ind w:left="0"/>
      </w:pPr>
    </w:p>
    <w:p w14:paraId="3F17A8B3" w14:textId="77777777" w:rsidR="003B7027" w:rsidRPr="00BD3C40" w:rsidRDefault="00296A74" w:rsidP="006E5F9A">
      <w:pPr>
        <w:pStyle w:val="a4"/>
        <w:tabs>
          <w:tab w:val="left" w:pos="540"/>
        </w:tabs>
        <w:ind w:left="0"/>
      </w:pPr>
      <w:r w:rsidRPr="00BD3C40">
        <w:t>Ei lasten ulottuville eikä näkyville</w:t>
      </w:r>
    </w:p>
    <w:p w14:paraId="09AFB133" w14:textId="77777777" w:rsidR="003B7027" w:rsidRPr="00BD3C40" w:rsidRDefault="003B7027" w:rsidP="006E5F9A">
      <w:pPr>
        <w:pStyle w:val="a4"/>
        <w:tabs>
          <w:tab w:val="left" w:pos="540"/>
        </w:tabs>
        <w:ind w:left="0"/>
      </w:pPr>
    </w:p>
    <w:p w14:paraId="342DA0A9" w14:textId="77777777" w:rsidR="00E5285E" w:rsidRPr="00BD3C40" w:rsidRDefault="00E5285E" w:rsidP="006E5F9A">
      <w:pPr>
        <w:pStyle w:val="a4"/>
        <w:tabs>
          <w:tab w:val="left" w:pos="540"/>
        </w:tabs>
        <w:ind w:left="0"/>
      </w:pPr>
    </w:p>
    <w:p w14:paraId="55793089"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7.</w:t>
      </w:r>
      <w:r w:rsidRPr="00CA43F5">
        <w:rPr>
          <w:b/>
          <w:lang w:val="fi-FI"/>
        </w:rPr>
        <w:tab/>
        <w:t>MUU ERITYISVAROITUS (MUUT ERITYISVAROITUKSET), JOS TARPEEN</w:t>
      </w:r>
    </w:p>
    <w:p w14:paraId="2547DA01" w14:textId="77777777" w:rsidR="003B7027" w:rsidRPr="00BD3C40" w:rsidRDefault="003B7027" w:rsidP="006E5F9A">
      <w:pPr>
        <w:pStyle w:val="a4"/>
        <w:tabs>
          <w:tab w:val="left" w:pos="540"/>
        </w:tabs>
        <w:ind w:left="0"/>
      </w:pPr>
    </w:p>
    <w:p w14:paraId="508310DC" w14:textId="738CF270" w:rsidR="003B7027" w:rsidRPr="00BD3C40" w:rsidRDefault="00296A74" w:rsidP="006E5F9A">
      <w:pPr>
        <w:pStyle w:val="a4"/>
        <w:tabs>
          <w:tab w:val="left" w:pos="540"/>
        </w:tabs>
        <w:ind w:left="0"/>
      </w:pPr>
      <w:r w:rsidRPr="00BD3C40">
        <w:t>Poista ruisku ulkopakkauksesta ja anna ruiskun lämmetä huoneenlämmössä 30 minuutin ajan ennen käyttöä</w:t>
      </w:r>
    </w:p>
    <w:p w14:paraId="4F2AA01D" w14:textId="77777777" w:rsidR="003B7027" w:rsidRPr="00BD3C40" w:rsidRDefault="003B7027" w:rsidP="006E5F9A">
      <w:pPr>
        <w:pStyle w:val="a4"/>
        <w:tabs>
          <w:tab w:val="left" w:pos="540"/>
        </w:tabs>
        <w:ind w:left="0"/>
      </w:pPr>
    </w:p>
    <w:p w14:paraId="314D4A5C" w14:textId="77777777" w:rsidR="00E5285E" w:rsidRPr="00BD3C40" w:rsidRDefault="00E5285E" w:rsidP="006E5F9A">
      <w:pPr>
        <w:pStyle w:val="a4"/>
        <w:tabs>
          <w:tab w:val="left" w:pos="540"/>
        </w:tabs>
        <w:ind w:left="0"/>
      </w:pPr>
    </w:p>
    <w:p w14:paraId="7D2A6C62"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8.</w:t>
      </w:r>
      <w:r w:rsidRPr="00CA43F5">
        <w:rPr>
          <w:b/>
          <w:lang w:val="fi-FI"/>
        </w:rPr>
        <w:tab/>
        <w:t>VIIMEINEN KÄYTTÖPÄIVÄMÄÄRÄ</w:t>
      </w:r>
    </w:p>
    <w:p w14:paraId="5F8CD7F2" w14:textId="77777777" w:rsidR="003B7027" w:rsidRPr="00BD3C40" w:rsidRDefault="003B7027" w:rsidP="006E5F9A">
      <w:pPr>
        <w:pStyle w:val="a4"/>
        <w:tabs>
          <w:tab w:val="left" w:pos="540"/>
        </w:tabs>
        <w:ind w:left="0"/>
      </w:pPr>
    </w:p>
    <w:p w14:paraId="394551EE" w14:textId="77777777" w:rsidR="003B7027" w:rsidRPr="00BD3C40" w:rsidRDefault="00296A74" w:rsidP="006E5F9A">
      <w:pPr>
        <w:pStyle w:val="a4"/>
        <w:tabs>
          <w:tab w:val="left" w:pos="540"/>
        </w:tabs>
        <w:ind w:left="0"/>
      </w:pPr>
      <w:r w:rsidRPr="00BD3C40">
        <w:t>Käyt. viim.</w:t>
      </w:r>
    </w:p>
    <w:p w14:paraId="3364EA55" w14:textId="77777777" w:rsidR="00E5285E" w:rsidRPr="00BD3C40" w:rsidRDefault="00E5285E" w:rsidP="006E5F9A">
      <w:pPr>
        <w:pStyle w:val="a4"/>
        <w:tabs>
          <w:tab w:val="left" w:pos="540"/>
        </w:tabs>
        <w:ind w:left="0"/>
      </w:pPr>
    </w:p>
    <w:p w14:paraId="417E94AC" w14:textId="77777777" w:rsidR="00E5285E" w:rsidRPr="00BD3C40" w:rsidRDefault="00E5285E" w:rsidP="006E5F9A">
      <w:pPr>
        <w:pStyle w:val="a4"/>
        <w:tabs>
          <w:tab w:val="left" w:pos="540"/>
        </w:tabs>
        <w:ind w:left="0"/>
      </w:pPr>
    </w:p>
    <w:p w14:paraId="301A6380"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9.</w:t>
      </w:r>
      <w:r w:rsidRPr="00CA43F5">
        <w:rPr>
          <w:b/>
          <w:lang w:val="fi-FI"/>
        </w:rPr>
        <w:tab/>
        <w:t>ERITYISET SÄILYTYSOLOSUHTEET</w:t>
      </w:r>
    </w:p>
    <w:p w14:paraId="7F67F73E" w14:textId="77777777" w:rsidR="003B7027" w:rsidRPr="00BD3C40" w:rsidRDefault="003B7027" w:rsidP="006E5F9A">
      <w:pPr>
        <w:pStyle w:val="a4"/>
        <w:tabs>
          <w:tab w:val="left" w:pos="540"/>
        </w:tabs>
        <w:ind w:left="0"/>
      </w:pPr>
    </w:p>
    <w:p w14:paraId="52850C3E" w14:textId="77777777" w:rsidR="00E5285E" w:rsidRPr="00BD3C40" w:rsidRDefault="00296A74" w:rsidP="006E5F9A">
      <w:pPr>
        <w:pStyle w:val="a4"/>
        <w:tabs>
          <w:tab w:val="left" w:pos="540"/>
        </w:tabs>
        <w:ind w:left="0"/>
      </w:pPr>
      <w:r w:rsidRPr="00BD3C40">
        <w:lastRenderedPageBreak/>
        <w:t>Säilytä jääkaapissa</w:t>
      </w:r>
    </w:p>
    <w:p w14:paraId="55339724" w14:textId="77777777" w:rsidR="003B7027" w:rsidRPr="00BD3C40" w:rsidRDefault="00296A74" w:rsidP="006E5F9A">
      <w:pPr>
        <w:pStyle w:val="a4"/>
        <w:tabs>
          <w:tab w:val="left" w:pos="540"/>
        </w:tabs>
        <w:ind w:left="0"/>
      </w:pPr>
      <w:r w:rsidRPr="00BD3C40">
        <w:t>Ei saa jäätyä</w:t>
      </w:r>
    </w:p>
    <w:p w14:paraId="373A1A25" w14:textId="013D9F0A" w:rsidR="003B7027" w:rsidRPr="0028514E" w:rsidRDefault="00296A74" w:rsidP="006E5F9A">
      <w:pPr>
        <w:pStyle w:val="a4"/>
        <w:tabs>
          <w:tab w:val="left" w:pos="540"/>
        </w:tabs>
        <w:ind w:left="0"/>
      </w:pPr>
      <w:r w:rsidRPr="0028514E">
        <w:t xml:space="preserve">Kun esitäytetty ruisku on otettu jääkaapista, se voidaan säilyttää enintään 30 °C:n lämpötilassa korkeintaan </w:t>
      </w:r>
      <w:r w:rsidR="00DC663F">
        <w:t>3</w:t>
      </w:r>
      <w:r w:rsidRPr="0028514E">
        <w:t xml:space="preserve"> viikkoa</w:t>
      </w:r>
    </w:p>
    <w:p w14:paraId="4B09BDA8" w14:textId="77777777" w:rsidR="003B7027" w:rsidRPr="0028514E" w:rsidRDefault="00296A74" w:rsidP="006E5F9A">
      <w:pPr>
        <w:pStyle w:val="a4"/>
        <w:tabs>
          <w:tab w:val="left" w:pos="540"/>
        </w:tabs>
        <w:ind w:left="0"/>
      </w:pPr>
      <w:r w:rsidRPr="0028514E">
        <w:t>Pidä esitäytetty ruisku ulkopakkauksessa. Herkkä valolle. Herkkä kosteudelle</w:t>
      </w:r>
    </w:p>
    <w:p w14:paraId="4FBDA30F" w14:textId="77777777" w:rsidR="003B7027" w:rsidRPr="0028514E" w:rsidRDefault="003B7027" w:rsidP="006E5F9A">
      <w:pPr>
        <w:pStyle w:val="a4"/>
        <w:tabs>
          <w:tab w:val="left" w:pos="540"/>
        </w:tabs>
        <w:ind w:left="0"/>
      </w:pPr>
    </w:p>
    <w:p w14:paraId="392545CD" w14:textId="77777777" w:rsidR="00E5285E" w:rsidRPr="0028514E" w:rsidRDefault="00E5285E" w:rsidP="006E5F9A">
      <w:pPr>
        <w:pStyle w:val="a4"/>
        <w:tabs>
          <w:tab w:val="left" w:pos="540"/>
        </w:tabs>
        <w:ind w:left="0"/>
      </w:pPr>
    </w:p>
    <w:p w14:paraId="65F38AA9" w14:textId="77777777" w:rsidR="0069756A" w:rsidRPr="00CA43F5" w:rsidRDefault="0069756A" w:rsidP="00470998">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10.</w:t>
      </w:r>
      <w:r w:rsidRPr="00CA43F5">
        <w:rPr>
          <w:b/>
          <w:lang w:val="fi-FI"/>
        </w:rPr>
        <w:tab/>
        <w:t>ERITYISET VAROTOIMET KÄYTTÄMÄTTÖMIEN LÄÄKEVALMISTEIDEN TAI NIISTÄ PERÄISIN OLEVAN JÄTEMATERIAALIN HÄVITTÄMISEKSI, JOS TARPEEN</w:t>
      </w:r>
    </w:p>
    <w:p w14:paraId="4B1B5048" w14:textId="77777777" w:rsidR="003B7027" w:rsidRPr="0028514E" w:rsidRDefault="003B7027" w:rsidP="006E5F9A">
      <w:pPr>
        <w:pStyle w:val="a4"/>
        <w:tabs>
          <w:tab w:val="left" w:pos="540"/>
        </w:tabs>
        <w:ind w:left="0"/>
      </w:pPr>
    </w:p>
    <w:p w14:paraId="71E3C0A8" w14:textId="77777777" w:rsidR="003B7027" w:rsidRPr="0028514E" w:rsidRDefault="003B7027" w:rsidP="006E5F9A">
      <w:pPr>
        <w:pStyle w:val="a4"/>
        <w:tabs>
          <w:tab w:val="left" w:pos="540"/>
        </w:tabs>
        <w:ind w:left="0"/>
      </w:pPr>
    </w:p>
    <w:p w14:paraId="4962D974"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11.</w:t>
      </w:r>
      <w:r w:rsidRPr="00CA43F5">
        <w:rPr>
          <w:b/>
          <w:lang w:val="fi-FI"/>
        </w:rPr>
        <w:tab/>
        <w:t>MYYNTILUVAN HALTIJAN NIMI JA OSOITE</w:t>
      </w:r>
    </w:p>
    <w:p w14:paraId="703D0AAF" w14:textId="77777777" w:rsidR="003B7027" w:rsidRPr="0028514E" w:rsidRDefault="003B7027" w:rsidP="006E5F9A">
      <w:pPr>
        <w:pStyle w:val="a4"/>
        <w:tabs>
          <w:tab w:val="left" w:pos="540"/>
        </w:tabs>
        <w:ind w:left="0"/>
      </w:pPr>
    </w:p>
    <w:p w14:paraId="2188AF15" w14:textId="77777777" w:rsidR="00DC663F" w:rsidRPr="00CA43F5" w:rsidRDefault="00DC663F" w:rsidP="00DC663F">
      <w:pPr>
        <w:keepNext/>
        <w:rPr>
          <w:lang w:val="fi-FI"/>
        </w:rPr>
      </w:pPr>
      <w:r w:rsidRPr="00CA43F5">
        <w:rPr>
          <w:lang w:val="fi-FI"/>
        </w:rPr>
        <w:t xml:space="preserve">Celltrion Healthcare Hungary Kft. </w:t>
      </w:r>
    </w:p>
    <w:p w14:paraId="13B1837C" w14:textId="77777777" w:rsidR="00DC663F" w:rsidRPr="00840707" w:rsidRDefault="00DC663F" w:rsidP="00DC663F">
      <w:pPr>
        <w:keepNext/>
      </w:pPr>
      <w:r w:rsidRPr="00840707">
        <w:t>1062 Budapest</w:t>
      </w:r>
    </w:p>
    <w:p w14:paraId="1C0DF122" w14:textId="77777777" w:rsidR="00DC663F" w:rsidRPr="00840707" w:rsidRDefault="00DC663F" w:rsidP="00DC663F">
      <w:pPr>
        <w:keepNext/>
      </w:pPr>
      <w:r w:rsidRPr="00840707">
        <w:t xml:space="preserve">Váci </w:t>
      </w:r>
      <w:proofErr w:type="spellStart"/>
      <w:r w:rsidRPr="00840707">
        <w:t>út</w:t>
      </w:r>
      <w:proofErr w:type="spellEnd"/>
      <w:r w:rsidRPr="00840707">
        <w:t xml:space="preserve"> 1-3. </w:t>
      </w:r>
      <w:proofErr w:type="spellStart"/>
      <w:r w:rsidRPr="00840707">
        <w:t>WestEnd</w:t>
      </w:r>
      <w:proofErr w:type="spellEnd"/>
      <w:r w:rsidRPr="00840707">
        <w:t xml:space="preserve"> Office Building B </w:t>
      </w:r>
      <w:proofErr w:type="spellStart"/>
      <w:r w:rsidRPr="00840707">
        <w:t>torony</w:t>
      </w:r>
      <w:proofErr w:type="spellEnd"/>
    </w:p>
    <w:p w14:paraId="28AD3159" w14:textId="309648DF" w:rsidR="003B7027" w:rsidRPr="0028514E" w:rsidRDefault="00DC663F" w:rsidP="006E5F9A">
      <w:pPr>
        <w:pStyle w:val="a4"/>
        <w:tabs>
          <w:tab w:val="left" w:pos="540"/>
        </w:tabs>
        <w:ind w:left="0"/>
      </w:pPr>
      <w:r>
        <w:t>Unkari</w:t>
      </w:r>
    </w:p>
    <w:p w14:paraId="174AF768" w14:textId="77777777" w:rsidR="003B7027" w:rsidRPr="0028514E" w:rsidRDefault="003B7027" w:rsidP="006E5F9A">
      <w:pPr>
        <w:pStyle w:val="a4"/>
        <w:tabs>
          <w:tab w:val="left" w:pos="540"/>
        </w:tabs>
        <w:ind w:left="0"/>
      </w:pPr>
    </w:p>
    <w:p w14:paraId="3201FC9E" w14:textId="77777777" w:rsidR="00857615" w:rsidRPr="0028514E" w:rsidRDefault="00857615" w:rsidP="006E5F9A">
      <w:pPr>
        <w:pStyle w:val="a4"/>
        <w:tabs>
          <w:tab w:val="left" w:pos="540"/>
        </w:tabs>
        <w:ind w:left="0"/>
      </w:pPr>
    </w:p>
    <w:p w14:paraId="1144F6D8"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12.</w:t>
      </w:r>
      <w:r w:rsidRPr="00CA43F5">
        <w:rPr>
          <w:b/>
          <w:lang w:val="fi-FI"/>
        </w:rPr>
        <w:tab/>
        <w:t>MYYNTILUVAN NUMERO(T)</w:t>
      </w:r>
    </w:p>
    <w:p w14:paraId="1DBE6DD9" w14:textId="77777777" w:rsidR="003B7027" w:rsidRPr="0028514E" w:rsidRDefault="003B7027" w:rsidP="006E5F9A">
      <w:pPr>
        <w:pStyle w:val="a4"/>
        <w:tabs>
          <w:tab w:val="left" w:pos="540"/>
        </w:tabs>
        <w:ind w:left="0"/>
      </w:pPr>
    </w:p>
    <w:p w14:paraId="2D88EC35" w14:textId="4B614514" w:rsidR="003B7027" w:rsidRPr="0028514E" w:rsidRDefault="00DC663F" w:rsidP="006E5F9A">
      <w:pPr>
        <w:pStyle w:val="a4"/>
        <w:tabs>
          <w:tab w:val="left" w:pos="540"/>
        </w:tabs>
        <w:ind w:left="0"/>
      </w:pPr>
      <w:r w:rsidRPr="00840707">
        <w:t>EU/</w:t>
      </w:r>
      <w:r w:rsidR="00D9713C" w:rsidRPr="003672E9">
        <w:rPr>
          <w:spacing w:val="-1"/>
          <w:lang w:val="pt-BR"/>
        </w:rPr>
        <w:t>1/24/1896/00</w:t>
      </w:r>
      <w:r w:rsidR="00D9713C">
        <w:rPr>
          <w:rFonts w:eastAsia="맑은 고딕" w:hint="eastAsia"/>
          <w:spacing w:val="-1"/>
          <w:lang w:val="pt-BR" w:eastAsia="ko-KR"/>
        </w:rPr>
        <w:t>9</w:t>
      </w:r>
      <w:r w:rsidR="00D9713C">
        <w:t xml:space="preserve"> 12 (3 x 4) esitäytettyä ruiskua (monipakkaus)</w:t>
      </w:r>
    </w:p>
    <w:p w14:paraId="78DA86F1" w14:textId="77777777" w:rsidR="003B7027" w:rsidRPr="0028514E" w:rsidRDefault="003B7027" w:rsidP="006E5F9A">
      <w:pPr>
        <w:pStyle w:val="a4"/>
        <w:tabs>
          <w:tab w:val="left" w:pos="540"/>
        </w:tabs>
        <w:ind w:left="0"/>
      </w:pPr>
    </w:p>
    <w:p w14:paraId="7277B5A6" w14:textId="77777777" w:rsidR="00857615" w:rsidRPr="0028514E" w:rsidRDefault="00857615" w:rsidP="006E5F9A">
      <w:pPr>
        <w:pStyle w:val="a4"/>
        <w:tabs>
          <w:tab w:val="left" w:pos="540"/>
        </w:tabs>
        <w:ind w:left="0"/>
      </w:pPr>
    </w:p>
    <w:p w14:paraId="758082EF"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 w:val="left" w:pos="724"/>
        </w:tabs>
        <w:spacing w:line="252" w:lineRule="exact"/>
        <w:rPr>
          <w:b/>
          <w:lang w:val="fi-FI"/>
        </w:rPr>
      </w:pPr>
      <w:r w:rsidRPr="00CA43F5">
        <w:rPr>
          <w:b/>
          <w:lang w:val="fi-FI"/>
        </w:rPr>
        <w:t>13.</w:t>
      </w:r>
      <w:r w:rsidRPr="00CA43F5">
        <w:rPr>
          <w:b/>
          <w:lang w:val="fi-FI"/>
        </w:rPr>
        <w:tab/>
        <w:t>ERÄNUMERO</w:t>
      </w:r>
    </w:p>
    <w:p w14:paraId="5E2BFEBD" w14:textId="77777777" w:rsidR="00E5285E" w:rsidRPr="0028514E" w:rsidRDefault="00E5285E" w:rsidP="006E5F9A">
      <w:pPr>
        <w:pStyle w:val="a4"/>
        <w:tabs>
          <w:tab w:val="left" w:pos="540"/>
        </w:tabs>
        <w:ind w:left="0"/>
      </w:pPr>
    </w:p>
    <w:p w14:paraId="58D8727F" w14:textId="77777777" w:rsidR="003B7027" w:rsidRPr="0028514E" w:rsidRDefault="00296A74" w:rsidP="006E5F9A">
      <w:pPr>
        <w:pStyle w:val="a4"/>
        <w:tabs>
          <w:tab w:val="left" w:pos="540"/>
        </w:tabs>
        <w:ind w:left="0"/>
      </w:pPr>
      <w:r w:rsidRPr="0028514E">
        <w:t>Erä</w:t>
      </w:r>
    </w:p>
    <w:p w14:paraId="02AD6A2D" w14:textId="77777777" w:rsidR="003B7027" w:rsidRPr="0028514E" w:rsidRDefault="003B7027" w:rsidP="006E5F9A">
      <w:pPr>
        <w:pStyle w:val="a4"/>
        <w:tabs>
          <w:tab w:val="left" w:pos="540"/>
        </w:tabs>
        <w:ind w:left="0"/>
      </w:pPr>
    </w:p>
    <w:p w14:paraId="51CEF360" w14:textId="77777777" w:rsidR="00857615" w:rsidRPr="0028514E" w:rsidRDefault="00857615" w:rsidP="006E5F9A">
      <w:pPr>
        <w:pStyle w:val="a4"/>
        <w:tabs>
          <w:tab w:val="left" w:pos="540"/>
        </w:tabs>
        <w:ind w:left="0"/>
      </w:pPr>
    </w:p>
    <w:p w14:paraId="0B5B781B"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14.</w:t>
      </w:r>
      <w:r w:rsidRPr="00CA43F5">
        <w:rPr>
          <w:b/>
          <w:lang w:val="fi-FI"/>
        </w:rPr>
        <w:tab/>
        <w:t>YLEINEN TOIMITTAMISLUOKITTELU</w:t>
      </w:r>
    </w:p>
    <w:p w14:paraId="4F1B6033" w14:textId="77777777" w:rsidR="003B7027" w:rsidRPr="0028514E" w:rsidRDefault="003B7027" w:rsidP="006E5F9A">
      <w:pPr>
        <w:pStyle w:val="a4"/>
        <w:tabs>
          <w:tab w:val="left" w:pos="540"/>
        </w:tabs>
        <w:ind w:left="0"/>
      </w:pPr>
    </w:p>
    <w:p w14:paraId="68466DCD" w14:textId="77777777" w:rsidR="003B7027" w:rsidRPr="0028514E" w:rsidRDefault="003B7027" w:rsidP="006E5F9A">
      <w:pPr>
        <w:pStyle w:val="a4"/>
        <w:tabs>
          <w:tab w:val="left" w:pos="540"/>
        </w:tabs>
        <w:ind w:left="0"/>
      </w:pPr>
    </w:p>
    <w:p w14:paraId="70EF332D"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15.</w:t>
      </w:r>
      <w:r w:rsidRPr="00CA43F5">
        <w:rPr>
          <w:b/>
          <w:lang w:val="fi-FI"/>
        </w:rPr>
        <w:tab/>
        <w:t>KÄYTTÖOHJEET</w:t>
      </w:r>
    </w:p>
    <w:p w14:paraId="238B4028" w14:textId="77777777" w:rsidR="003B7027" w:rsidRPr="0028514E" w:rsidRDefault="003B7027" w:rsidP="006E5F9A">
      <w:pPr>
        <w:pStyle w:val="a4"/>
        <w:tabs>
          <w:tab w:val="left" w:pos="540"/>
        </w:tabs>
        <w:ind w:left="0"/>
      </w:pPr>
    </w:p>
    <w:p w14:paraId="30290D48" w14:textId="77777777" w:rsidR="003B7027" w:rsidRPr="0028514E" w:rsidRDefault="003B7027" w:rsidP="006E5F9A">
      <w:pPr>
        <w:pStyle w:val="a4"/>
        <w:tabs>
          <w:tab w:val="left" w:pos="540"/>
        </w:tabs>
        <w:ind w:left="0"/>
      </w:pPr>
    </w:p>
    <w:p w14:paraId="31EF5953"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16.</w:t>
      </w:r>
      <w:r w:rsidRPr="00CA43F5">
        <w:rPr>
          <w:b/>
          <w:lang w:val="fi-FI"/>
        </w:rPr>
        <w:tab/>
        <w:t>TIEDOT PISTEKIRJOITUKSELLA</w:t>
      </w:r>
    </w:p>
    <w:p w14:paraId="46429AA5" w14:textId="77777777" w:rsidR="003B7027" w:rsidRPr="0028514E" w:rsidRDefault="003B7027" w:rsidP="006E5F9A">
      <w:pPr>
        <w:pStyle w:val="a4"/>
        <w:tabs>
          <w:tab w:val="left" w:pos="540"/>
        </w:tabs>
        <w:ind w:left="0"/>
      </w:pPr>
    </w:p>
    <w:p w14:paraId="4912EAA5" w14:textId="0A4B6A14" w:rsidR="003B7027" w:rsidRPr="003F07A8" w:rsidRDefault="00F6440C" w:rsidP="00F6440C">
      <w:pPr>
        <w:rPr>
          <w:rFonts w:eastAsia="맑은 고딕"/>
          <w:lang w:val="fi-FI" w:eastAsia="ko-KR"/>
        </w:rPr>
      </w:pPr>
      <w:r w:rsidRPr="003F07A8">
        <w:rPr>
          <w:lang w:val="fi-FI"/>
        </w:rPr>
        <w:t>avtozma 162 mg</w:t>
      </w:r>
    </w:p>
    <w:p w14:paraId="75C09ACC" w14:textId="77777777" w:rsidR="00E5285E" w:rsidRPr="0028514E" w:rsidRDefault="00E5285E" w:rsidP="006E5F9A">
      <w:pPr>
        <w:pStyle w:val="a4"/>
        <w:tabs>
          <w:tab w:val="left" w:pos="540"/>
        </w:tabs>
        <w:ind w:left="0"/>
      </w:pPr>
    </w:p>
    <w:p w14:paraId="78FF82A9"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17.</w:t>
      </w:r>
      <w:r w:rsidRPr="00CA43F5">
        <w:rPr>
          <w:b/>
          <w:lang w:val="fi-FI"/>
        </w:rPr>
        <w:tab/>
        <w:t>YKSILÖLLINEN TUNNISTE – 2D-VIIVAKOODI</w:t>
      </w:r>
    </w:p>
    <w:p w14:paraId="7D4485A7" w14:textId="77777777" w:rsidR="003B7027" w:rsidRPr="0028514E" w:rsidRDefault="003B7027" w:rsidP="006E5F9A">
      <w:pPr>
        <w:pStyle w:val="a4"/>
        <w:tabs>
          <w:tab w:val="left" w:pos="540"/>
        </w:tabs>
        <w:ind w:left="0"/>
      </w:pPr>
    </w:p>
    <w:p w14:paraId="48C8460A" w14:textId="77777777" w:rsidR="003B7027" w:rsidRPr="0028514E" w:rsidRDefault="00296A74" w:rsidP="006E5F9A">
      <w:pPr>
        <w:pStyle w:val="a4"/>
        <w:tabs>
          <w:tab w:val="left" w:pos="540"/>
        </w:tabs>
        <w:ind w:left="0"/>
      </w:pPr>
      <w:r w:rsidRPr="003F07A8">
        <w:rPr>
          <w:color w:val="000000"/>
          <w:highlight w:val="lightGray"/>
          <w:shd w:val="clear" w:color="auto" w:fill="C1C1C1"/>
        </w:rPr>
        <w:t>&lt;2D-viivakoodi, joka sisältää yksilöllisen tunnisteen.&gt;</w:t>
      </w:r>
    </w:p>
    <w:p w14:paraId="4633B68A" w14:textId="77777777" w:rsidR="003B7027" w:rsidRPr="0028514E" w:rsidRDefault="003B7027" w:rsidP="006E5F9A">
      <w:pPr>
        <w:pStyle w:val="a4"/>
        <w:tabs>
          <w:tab w:val="left" w:pos="540"/>
        </w:tabs>
        <w:ind w:left="0"/>
      </w:pPr>
    </w:p>
    <w:p w14:paraId="48EE9BDB" w14:textId="77777777" w:rsidR="00E5285E" w:rsidRPr="0028514E" w:rsidRDefault="00E5285E" w:rsidP="006E5F9A">
      <w:pPr>
        <w:pStyle w:val="a4"/>
        <w:tabs>
          <w:tab w:val="left" w:pos="540"/>
        </w:tabs>
        <w:ind w:left="0"/>
      </w:pPr>
    </w:p>
    <w:p w14:paraId="04DE0498" w14:textId="77777777" w:rsidR="0069756A" w:rsidRPr="00CA43F5" w:rsidRDefault="0069756A"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18.</w:t>
      </w:r>
      <w:r w:rsidRPr="00CA43F5">
        <w:rPr>
          <w:b/>
          <w:lang w:val="fi-FI"/>
        </w:rPr>
        <w:tab/>
        <w:t>YKSILÖLLINEN TUNNISTE – LUETTAVISSA OLEVAT TIEDOT</w:t>
      </w:r>
    </w:p>
    <w:p w14:paraId="5462DB23" w14:textId="77777777" w:rsidR="003B7027" w:rsidRPr="0028514E" w:rsidRDefault="003B7027" w:rsidP="006E5F9A">
      <w:pPr>
        <w:pStyle w:val="a4"/>
        <w:tabs>
          <w:tab w:val="left" w:pos="540"/>
        </w:tabs>
        <w:ind w:left="0"/>
      </w:pPr>
    </w:p>
    <w:p w14:paraId="706738B5" w14:textId="77777777" w:rsidR="00E5285E" w:rsidRPr="0028514E" w:rsidRDefault="00E5285E" w:rsidP="006E5F9A">
      <w:pPr>
        <w:pStyle w:val="a4"/>
        <w:tabs>
          <w:tab w:val="left" w:pos="540"/>
        </w:tabs>
        <w:ind w:left="0"/>
      </w:pPr>
    </w:p>
    <w:p w14:paraId="29C4CF22" w14:textId="57C22023" w:rsidR="00A33950" w:rsidRPr="00CA43F5" w:rsidRDefault="00E5285E" w:rsidP="008D40DB">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CA43F5">
        <w:rPr>
          <w:lang w:val="fi-FI"/>
        </w:rPr>
        <w:br w:type="page"/>
      </w:r>
      <w:r w:rsidR="00A33950" w:rsidRPr="00CA43F5">
        <w:rPr>
          <w:b/>
          <w:lang w:val="fi-FI"/>
        </w:rPr>
        <w:lastRenderedPageBreak/>
        <w:t>ULKOPAKKAUKSESSA ON OLTAVA SEURAAVAT MERKINNÄT</w:t>
      </w:r>
    </w:p>
    <w:p w14:paraId="7E4B16BA" w14:textId="77777777" w:rsidR="00A33950" w:rsidRPr="00BD3C40" w:rsidRDefault="00A33950" w:rsidP="008D40DB">
      <w:pPr>
        <w:pStyle w:val="a4"/>
        <w:pBdr>
          <w:top w:val="single" w:sz="4" w:space="1" w:color="000000"/>
          <w:left w:val="single" w:sz="4" w:space="4" w:color="000000"/>
          <w:bottom w:val="single" w:sz="4" w:space="1" w:color="000000"/>
          <w:right w:val="single" w:sz="4" w:space="4" w:color="000000"/>
        </w:pBdr>
        <w:tabs>
          <w:tab w:val="left" w:pos="540"/>
        </w:tabs>
        <w:ind w:left="0"/>
        <w:rPr>
          <w:b/>
        </w:rPr>
      </w:pPr>
    </w:p>
    <w:p w14:paraId="0AC31887" w14:textId="4D57D314" w:rsidR="003B7027" w:rsidRPr="00CA43F5" w:rsidRDefault="00A33950" w:rsidP="008D40DB">
      <w:pPr>
        <w:pBdr>
          <w:top w:val="single" w:sz="4" w:space="1" w:color="000000"/>
          <w:left w:val="single" w:sz="4" w:space="4" w:color="000000"/>
          <w:bottom w:val="single" w:sz="4" w:space="1" w:color="000000"/>
          <w:right w:val="single" w:sz="4" w:space="4" w:color="000000"/>
        </w:pBdr>
        <w:tabs>
          <w:tab w:val="left" w:pos="540"/>
        </w:tabs>
        <w:rPr>
          <w:lang w:val="fi-FI"/>
        </w:rPr>
      </w:pPr>
      <w:r w:rsidRPr="00CA43F5">
        <w:rPr>
          <w:b/>
          <w:lang w:val="fi-FI"/>
        </w:rPr>
        <w:t>ESITÄYTETYN KYNÄN KOTELO</w:t>
      </w:r>
    </w:p>
    <w:p w14:paraId="7990A64A" w14:textId="77777777" w:rsidR="00E5285E" w:rsidRDefault="00E5285E" w:rsidP="006E5F9A">
      <w:pPr>
        <w:pStyle w:val="a4"/>
        <w:tabs>
          <w:tab w:val="left" w:pos="540"/>
        </w:tabs>
        <w:ind w:left="0"/>
      </w:pPr>
    </w:p>
    <w:p w14:paraId="4845B7A9" w14:textId="77777777" w:rsidR="006679A7" w:rsidRPr="00BD3C40" w:rsidRDefault="006679A7" w:rsidP="006E5F9A">
      <w:pPr>
        <w:pStyle w:val="a4"/>
        <w:tabs>
          <w:tab w:val="left" w:pos="540"/>
        </w:tabs>
        <w:ind w:left="0"/>
      </w:pPr>
    </w:p>
    <w:p w14:paraId="3D486E60"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w:t>
      </w:r>
      <w:r w:rsidRPr="00CA43F5">
        <w:rPr>
          <w:b/>
          <w:lang w:val="fi-FI"/>
        </w:rPr>
        <w:tab/>
        <w:t>LÄÄKEVALMISTEEN NIMI</w:t>
      </w:r>
    </w:p>
    <w:p w14:paraId="1EBF3EB4" w14:textId="77777777" w:rsidR="003B7027" w:rsidRPr="00BD3C40" w:rsidRDefault="003B7027" w:rsidP="006E5F9A">
      <w:pPr>
        <w:pStyle w:val="a4"/>
        <w:tabs>
          <w:tab w:val="left" w:pos="540"/>
        </w:tabs>
        <w:ind w:left="0"/>
      </w:pPr>
    </w:p>
    <w:p w14:paraId="29D55376" w14:textId="56AA29E7" w:rsidR="006E5F9A" w:rsidRPr="00BD3C40" w:rsidRDefault="00DC663F" w:rsidP="006E5F9A">
      <w:pPr>
        <w:pStyle w:val="a4"/>
        <w:tabs>
          <w:tab w:val="left" w:pos="540"/>
        </w:tabs>
        <w:ind w:left="0"/>
      </w:pPr>
      <w:r>
        <w:t>Avtozma</w:t>
      </w:r>
      <w:r w:rsidRPr="00BD3C40">
        <w:t xml:space="preserve"> </w:t>
      </w:r>
      <w:r w:rsidR="00296A74" w:rsidRPr="00BD3C40">
        <w:t xml:space="preserve">162 mg injektioneste, liuos esitäytetyssä kynässä </w:t>
      </w:r>
    </w:p>
    <w:p w14:paraId="77EFA80F" w14:textId="77777777" w:rsidR="003B7027" w:rsidRPr="00BD3C40" w:rsidRDefault="00296A74" w:rsidP="006E5F9A">
      <w:pPr>
        <w:pStyle w:val="a4"/>
        <w:tabs>
          <w:tab w:val="left" w:pos="540"/>
        </w:tabs>
        <w:ind w:left="0"/>
      </w:pPr>
      <w:r w:rsidRPr="00BD3C40">
        <w:t>tosilitsumabi</w:t>
      </w:r>
    </w:p>
    <w:p w14:paraId="400F519E" w14:textId="77777777" w:rsidR="00E5285E" w:rsidRPr="00BD3C40" w:rsidRDefault="00E5285E" w:rsidP="006E5F9A">
      <w:pPr>
        <w:pStyle w:val="a4"/>
        <w:tabs>
          <w:tab w:val="left" w:pos="540"/>
        </w:tabs>
        <w:ind w:left="0"/>
      </w:pPr>
    </w:p>
    <w:p w14:paraId="26BAF224" w14:textId="77777777" w:rsidR="00E5285E" w:rsidRPr="00BD3C40" w:rsidRDefault="00E5285E" w:rsidP="006E5F9A">
      <w:pPr>
        <w:pStyle w:val="a4"/>
        <w:tabs>
          <w:tab w:val="left" w:pos="540"/>
        </w:tabs>
        <w:ind w:left="0"/>
      </w:pPr>
    </w:p>
    <w:p w14:paraId="6CE81D73"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2.</w:t>
      </w:r>
      <w:r w:rsidRPr="00CA43F5">
        <w:rPr>
          <w:b/>
          <w:lang w:val="fi-FI"/>
        </w:rPr>
        <w:tab/>
        <w:t>VAIKUTTAVA(T) AINE(ET)</w:t>
      </w:r>
    </w:p>
    <w:p w14:paraId="1FBEC4D5" w14:textId="77777777" w:rsidR="003B7027" w:rsidRPr="00BD3C40" w:rsidRDefault="003B7027" w:rsidP="006E5F9A">
      <w:pPr>
        <w:pStyle w:val="a4"/>
        <w:tabs>
          <w:tab w:val="left" w:pos="540"/>
        </w:tabs>
        <w:ind w:left="0"/>
      </w:pPr>
    </w:p>
    <w:p w14:paraId="7491E330" w14:textId="77777777" w:rsidR="003B7027" w:rsidRPr="00BD3C40" w:rsidRDefault="00296A74" w:rsidP="006E5F9A">
      <w:pPr>
        <w:pStyle w:val="a4"/>
        <w:tabs>
          <w:tab w:val="left" w:pos="540"/>
        </w:tabs>
        <w:ind w:left="0"/>
      </w:pPr>
      <w:r w:rsidRPr="00BD3C40">
        <w:t>1 esitäytetty kynä sisältää 162 mg tosilitsumabia</w:t>
      </w:r>
    </w:p>
    <w:p w14:paraId="1BC5910A" w14:textId="77777777" w:rsidR="003B7027" w:rsidRPr="00BD3C40" w:rsidRDefault="003B7027" w:rsidP="006E5F9A">
      <w:pPr>
        <w:pStyle w:val="a4"/>
        <w:tabs>
          <w:tab w:val="left" w:pos="540"/>
        </w:tabs>
        <w:ind w:left="0"/>
      </w:pPr>
    </w:p>
    <w:p w14:paraId="0559F5FE" w14:textId="77777777" w:rsidR="00E5285E" w:rsidRPr="00BD3C40" w:rsidRDefault="00E5285E" w:rsidP="006E5F9A">
      <w:pPr>
        <w:pStyle w:val="a4"/>
        <w:tabs>
          <w:tab w:val="left" w:pos="540"/>
        </w:tabs>
        <w:ind w:left="0"/>
      </w:pPr>
    </w:p>
    <w:p w14:paraId="673EBE14"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3.</w:t>
      </w:r>
      <w:r w:rsidRPr="00CA43F5">
        <w:rPr>
          <w:b/>
          <w:lang w:val="fi-FI"/>
        </w:rPr>
        <w:tab/>
        <w:t>LUETTELO APUAINEISTA</w:t>
      </w:r>
    </w:p>
    <w:p w14:paraId="6D0EF6EE" w14:textId="77777777" w:rsidR="003B7027" w:rsidRPr="00BD3C40" w:rsidRDefault="003B7027" w:rsidP="006E5F9A">
      <w:pPr>
        <w:pStyle w:val="a4"/>
        <w:tabs>
          <w:tab w:val="left" w:pos="540"/>
        </w:tabs>
        <w:ind w:left="0"/>
      </w:pPr>
    </w:p>
    <w:p w14:paraId="314FA9F2" w14:textId="381456AE" w:rsidR="00DC663F" w:rsidRDefault="00DC663F" w:rsidP="00DC663F">
      <w:pPr>
        <w:pStyle w:val="a4"/>
        <w:tabs>
          <w:tab w:val="left" w:pos="540"/>
        </w:tabs>
        <w:ind w:left="0"/>
      </w:pPr>
      <w:r>
        <w:t>Apuaineet: L‑histidiini,</w:t>
      </w:r>
      <w:r w:rsidR="00A5656C">
        <w:rPr>
          <w:rFonts w:eastAsia="맑은 고딕" w:hint="eastAsia"/>
          <w:lang w:eastAsia="ko-KR"/>
        </w:rPr>
        <w:t xml:space="preserve"> </w:t>
      </w:r>
      <w:r w:rsidR="00C26E34" w:rsidRPr="00C26E34">
        <w:rPr>
          <w:rFonts w:eastAsia="맑은 고딕" w:hint="eastAsia"/>
          <w:lang w:eastAsia="ko-KR"/>
        </w:rPr>
        <w:t>L-histidiinimonohydrokloridimonohydraatti</w:t>
      </w:r>
      <w:r w:rsidR="00A5656C">
        <w:rPr>
          <w:rFonts w:eastAsia="맑은 고딕" w:hint="eastAsia"/>
          <w:lang w:eastAsia="ko-KR"/>
        </w:rPr>
        <w:t>,</w:t>
      </w:r>
      <w:r>
        <w:t xml:space="preserve"> L‑treoniini, L‑metioniini, polysorbaatti 80</w:t>
      </w:r>
      <w:r w:rsidR="00503985">
        <w:t>,</w:t>
      </w:r>
      <w:r>
        <w:t xml:space="preserve"> injektionesteisiin käytettävä vesi.</w:t>
      </w:r>
    </w:p>
    <w:p w14:paraId="7223F75A" w14:textId="7D019690" w:rsidR="003B7027" w:rsidRPr="00BD3C40" w:rsidRDefault="00DC663F" w:rsidP="00DC663F">
      <w:pPr>
        <w:pStyle w:val="a4"/>
        <w:tabs>
          <w:tab w:val="left" w:pos="540"/>
        </w:tabs>
        <w:ind w:left="0"/>
      </w:pPr>
      <w:r w:rsidRPr="0028514E">
        <w:t>Katso lisätiedot pakkausselosteesta.</w:t>
      </w:r>
    </w:p>
    <w:p w14:paraId="68D5314D" w14:textId="77777777" w:rsidR="003B7027" w:rsidRPr="00BD3C40" w:rsidRDefault="003B7027" w:rsidP="006E5F9A">
      <w:pPr>
        <w:pStyle w:val="a4"/>
        <w:tabs>
          <w:tab w:val="left" w:pos="540"/>
        </w:tabs>
        <w:ind w:left="0"/>
      </w:pPr>
    </w:p>
    <w:p w14:paraId="55D14FAE" w14:textId="77777777" w:rsidR="00E5285E" w:rsidRPr="00BD3C40" w:rsidRDefault="00E5285E" w:rsidP="006E5F9A">
      <w:pPr>
        <w:pStyle w:val="a4"/>
        <w:tabs>
          <w:tab w:val="left" w:pos="540"/>
        </w:tabs>
        <w:ind w:left="0"/>
      </w:pPr>
    </w:p>
    <w:p w14:paraId="59EAB7F3"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4.</w:t>
      </w:r>
      <w:r w:rsidRPr="00CA43F5">
        <w:rPr>
          <w:b/>
          <w:lang w:val="fi-FI"/>
        </w:rPr>
        <w:tab/>
        <w:t>LÄÄKEMUOTO JA SISÄLLÖN MÄÄRÄ</w:t>
      </w:r>
    </w:p>
    <w:p w14:paraId="1C9FDB24" w14:textId="77777777" w:rsidR="003B7027" w:rsidRPr="00BD3C40" w:rsidRDefault="003B7027" w:rsidP="006E5F9A">
      <w:pPr>
        <w:pStyle w:val="a4"/>
        <w:tabs>
          <w:tab w:val="left" w:pos="540"/>
        </w:tabs>
        <w:ind w:left="0"/>
      </w:pPr>
    </w:p>
    <w:p w14:paraId="3BA6C334" w14:textId="52D098B4" w:rsidR="006E5F9A" w:rsidRPr="00BD3C40" w:rsidRDefault="00296A74" w:rsidP="006E5F9A">
      <w:pPr>
        <w:pStyle w:val="a4"/>
        <w:tabs>
          <w:tab w:val="left" w:pos="540"/>
        </w:tabs>
        <w:ind w:left="0"/>
      </w:pPr>
      <w:r w:rsidRPr="00BD3C40">
        <w:t xml:space="preserve">Injektioneste, liuos esitäytetyssä kynässä </w:t>
      </w:r>
    </w:p>
    <w:p w14:paraId="06768D7F" w14:textId="4F0C24AD" w:rsidR="00DC663F" w:rsidRDefault="00DC663F" w:rsidP="006E5F9A">
      <w:pPr>
        <w:pStyle w:val="a4"/>
        <w:tabs>
          <w:tab w:val="left" w:pos="540"/>
        </w:tabs>
        <w:ind w:left="0"/>
      </w:pPr>
      <w:r>
        <w:t>1 esitäytetty kynä</w:t>
      </w:r>
    </w:p>
    <w:p w14:paraId="23E55E7C" w14:textId="4C6B4E33" w:rsidR="003B2CC6" w:rsidRPr="00BD3C40" w:rsidRDefault="003B2CC6" w:rsidP="003B2CC6">
      <w:pPr>
        <w:pStyle w:val="a4"/>
        <w:tabs>
          <w:tab w:val="left" w:pos="540"/>
        </w:tabs>
        <w:ind w:left="0"/>
        <w:rPr>
          <w:ins w:id="33" w:author="만든 이"/>
        </w:rPr>
      </w:pPr>
      <w:ins w:id="34" w:author="만든 이">
        <w:r>
          <w:rPr>
            <w:rFonts w:eastAsia="맑은 고딕" w:hint="eastAsia"/>
            <w:lang w:eastAsia="ko-KR"/>
          </w:rPr>
          <w:t>2</w:t>
        </w:r>
        <w:r w:rsidRPr="00BD3C40">
          <w:t xml:space="preserve"> esitäytettyä kynää</w:t>
        </w:r>
      </w:ins>
    </w:p>
    <w:p w14:paraId="079B748A" w14:textId="508481DB" w:rsidR="003B7027" w:rsidRPr="00BD3C40" w:rsidRDefault="00296A74" w:rsidP="006E5F9A">
      <w:pPr>
        <w:pStyle w:val="a4"/>
        <w:tabs>
          <w:tab w:val="left" w:pos="540"/>
        </w:tabs>
        <w:ind w:left="0"/>
      </w:pPr>
      <w:r w:rsidRPr="00BD3C40">
        <w:t>4 esitäytettyä kynää</w:t>
      </w:r>
    </w:p>
    <w:p w14:paraId="71D29305" w14:textId="77777777" w:rsidR="003B7027" w:rsidRPr="00BD3C40" w:rsidRDefault="00296A74" w:rsidP="006E5F9A">
      <w:pPr>
        <w:pStyle w:val="a4"/>
        <w:tabs>
          <w:tab w:val="left" w:pos="540"/>
        </w:tabs>
        <w:ind w:left="0"/>
      </w:pPr>
      <w:r w:rsidRPr="00BD3C40">
        <w:t>162 mg/0,9 ml</w:t>
      </w:r>
    </w:p>
    <w:p w14:paraId="365F0C32" w14:textId="77777777" w:rsidR="003B7027" w:rsidRPr="00BD3C40" w:rsidRDefault="003B7027" w:rsidP="006E5F9A">
      <w:pPr>
        <w:pStyle w:val="a4"/>
        <w:tabs>
          <w:tab w:val="left" w:pos="540"/>
        </w:tabs>
        <w:ind w:left="0"/>
      </w:pPr>
    </w:p>
    <w:p w14:paraId="7763AADC" w14:textId="77777777" w:rsidR="00E5285E" w:rsidRPr="00BD3C40" w:rsidRDefault="00E5285E" w:rsidP="006E5F9A">
      <w:pPr>
        <w:pStyle w:val="a4"/>
        <w:tabs>
          <w:tab w:val="left" w:pos="540"/>
        </w:tabs>
        <w:ind w:left="0"/>
      </w:pPr>
    </w:p>
    <w:p w14:paraId="459EABD0"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5.</w:t>
      </w:r>
      <w:r w:rsidRPr="00CA43F5">
        <w:rPr>
          <w:b/>
          <w:lang w:val="fi-FI"/>
        </w:rPr>
        <w:tab/>
        <w:t>ANTOTAPA JA TARVITTAESSA ANTOREITTI (ANTOREITIT)</w:t>
      </w:r>
    </w:p>
    <w:p w14:paraId="733227FF" w14:textId="77777777" w:rsidR="003B7027" w:rsidRPr="00BD3C40" w:rsidRDefault="003B7027" w:rsidP="006E5F9A">
      <w:pPr>
        <w:pStyle w:val="a4"/>
        <w:tabs>
          <w:tab w:val="left" w:pos="540"/>
        </w:tabs>
        <w:ind w:left="0"/>
      </w:pPr>
    </w:p>
    <w:p w14:paraId="66354EE1" w14:textId="77777777" w:rsidR="003B7027" w:rsidRPr="00BD3C40" w:rsidRDefault="00296A74" w:rsidP="006E5F9A">
      <w:pPr>
        <w:pStyle w:val="a4"/>
        <w:tabs>
          <w:tab w:val="left" w:pos="540"/>
        </w:tabs>
        <w:ind w:left="0"/>
      </w:pPr>
      <w:r w:rsidRPr="00BD3C40">
        <w:t>Ihon alle</w:t>
      </w:r>
    </w:p>
    <w:p w14:paraId="262007A6" w14:textId="77777777" w:rsidR="003B7027" w:rsidRPr="00BD3C40" w:rsidRDefault="00296A74" w:rsidP="006E5F9A">
      <w:pPr>
        <w:pStyle w:val="a4"/>
        <w:tabs>
          <w:tab w:val="left" w:pos="540"/>
        </w:tabs>
        <w:ind w:left="0"/>
      </w:pPr>
      <w:r w:rsidRPr="00BD3C40">
        <w:t>Lue pakkausseloste ennen käyttöä</w:t>
      </w:r>
    </w:p>
    <w:p w14:paraId="35D23316" w14:textId="77777777" w:rsidR="003B7027" w:rsidRPr="00BD3C40" w:rsidRDefault="003B7027" w:rsidP="006E5F9A">
      <w:pPr>
        <w:pStyle w:val="a4"/>
        <w:tabs>
          <w:tab w:val="left" w:pos="540"/>
        </w:tabs>
        <w:ind w:left="0"/>
      </w:pPr>
    </w:p>
    <w:p w14:paraId="5BFEAD48" w14:textId="77777777" w:rsidR="00E5285E" w:rsidRPr="00BD3C40" w:rsidRDefault="00E5285E" w:rsidP="006E5F9A">
      <w:pPr>
        <w:pStyle w:val="a4"/>
        <w:tabs>
          <w:tab w:val="left" w:pos="540"/>
        </w:tabs>
        <w:ind w:left="0"/>
      </w:pPr>
    </w:p>
    <w:p w14:paraId="544A7846"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bCs/>
          <w:lang w:val="fi-FI"/>
        </w:rPr>
        <w:t>6.</w:t>
      </w:r>
      <w:r w:rsidRPr="00CA43F5">
        <w:rPr>
          <w:b/>
          <w:bCs/>
          <w:lang w:val="fi-FI"/>
        </w:rPr>
        <w:tab/>
      </w:r>
      <w:r w:rsidRPr="00CA43F5">
        <w:rPr>
          <w:b/>
          <w:lang w:val="fi-FI"/>
        </w:rPr>
        <w:t>ERITYISVAROITUS VALMISTEEN SÄILYTTÄMISESTÄ POISSA LASTEN ULOTTUVILTA JA NÄKYVILTÄ</w:t>
      </w:r>
    </w:p>
    <w:p w14:paraId="47F4FC75" w14:textId="77777777" w:rsidR="003B7027" w:rsidRPr="00BD3C40" w:rsidRDefault="003B7027" w:rsidP="006E5F9A">
      <w:pPr>
        <w:pStyle w:val="a4"/>
        <w:tabs>
          <w:tab w:val="left" w:pos="540"/>
        </w:tabs>
        <w:ind w:left="0"/>
      </w:pPr>
    </w:p>
    <w:p w14:paraId="1C85E4FB" w14:textId="77777777" w:rsidR="003B7027" w:rsidRPr="00BD3C40" w:rsidRDefault="00296A74" w:rsidP="006E5F9A">
      <w:pPr>
        <w:pStyle w:val="a4"/>
        <w:tabs>
          <w:tab w:val="left" w:pos="540"/>
        </w:tabs>
        <w:ind w:left="0"/>
      </w:pPr>
      <w:r w:rsidRPr="00BD3C40">
        <w:t>Ei lasten ulottuville eikä näkyville</w:t>
      </w:r>
    </w:p>
    <w:p w14:paraId="57AE27CE" w14:textId="77777777" w:rsidR="003B7027" w:rsidRPr="00BD3C40" w:rsidRDefault="003B7027" w:rsidP="006E5F9A">
      <w:pPr>
        <w:pStyle w:val="a4"/>
        <w:tabs>
          <w:tab w:val="left" w:pos="540"/>
        </w:tabs>
        <w:ind w:left="0"/>
      </w:pPr>
    </w:p>
    <w:p w14:paraId="4F39F3A2" w14:textId="77777777" w:rsidR="00E5285E" w:rsidRPr="00BD3C40" w:rsidRDefault="00E5285E" w:rsidP="006E5F9A">
      <w:pPr>
        <w:pStyle w:val="a4"/>
        <w:tabs>
          <w:tab w:val="left" w:pos="540"/>
        </w:tabs>
        <w:ind w:left="0"/>
      </w:pPr>
    </w:p>
    <w:p w14:paraId="7D4479F8"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7.</w:t>
      </w:r>
      <w:r w:rsidRPr="00CA43F5">
        <w:rPr>
          <w:b/>
          <w:lang w:val="fi-FI"/>
        </w:rPr>
        <w:tab/>
        <w:t>MUU ERITYISVAROITUS (MUUT ERITYISVAROITUKSET), JOS TARPEEN</w:t>
      </w:r>
    </w:p>
    <w:p w14:paraId="4708236B" w14:textId="77777777" w:rsidR="003B7027" w:rsidRPr="00BD3C40" w:rsidRDefault="003B7027" w:rsidP="006E5F9A">
      <w:pPr>
        <w:pStyle w:val="a4"/>
        <w:tabs>
          <w:tab w:val="left" w:pos="540"/>
        </w:tabs>
        <w:ind w:left="0"/>
      </w:pPr>
    </w:p>
    <w:p w14:paraId="1E439152" w14:textId="77777777" w:rsidR="003B7027" w:rsidRPr="00BD3C40" w:rsidRDefault="00296A74" w:rsidP="006E5F9A">
      <w:pPr>
        <w:pStyle w:val="a4"/>
        <w:tabs>
          <w:tab w:val="left" w:pos="540"/>
        </w:tabs>
        <w:ind w:left="0"/>
      </w:pPr>
      <w:r w:rsidRPr="00BD3C40">
        <w:t>Poista kynä ulkopakkauksesta ja anna kynän lämmetä huoneenlämmössä 45 minuutin ajan ennen käyttöä</w:t>
      </w:r>
    </w:p>
    <w:p w14:paraId="212ABB47" w14:textId="77777777" w:rsidR="003B7027" w:rsidRPr="00BD3C40" w:rsidRDefault="003B7027" w:rsidP="006E5F9A">
      <w:pPr>
        <w:pStyle w:val="a4"/>
        <w:tabs>
          <w:tab w:val="left" w:pos="540"/>
        </w:tabs>
        <w:ind w:left="0"/>
      </w:pPr>
    </w:p>
    <w:p w14:paraId="7F5F4704" w14:textId="77777777" w:rsidR="00E5285E" w:rsidRPr="00BD3C40" w:rsidRDefault="00E5285E" w:rsidP="006E5F9A">
      <w:pPr>
        <w:pStyle w:val="a4"/>
        <w:tabs>
          <w:tab w:val="left" w:pos="540"/>
        </w:tabs>
        <w:ind w:left="0"/>
      </w:pPr>
    </w:p>
    <w:p w14:paraId="05345573"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8.</w:t>
      </w:r>
      <w:r w:rsidRPr="00CA43F5">
        <w:rPr>
          <w:b/>
          <w:lang w:val="fi-FI"/>
        </w:rPr>
        <w:tab/>
        <w:t>VIIMEINEN KÄYTTÖPÄIVÄMÄÄRÄ</w:t>
      </w:r>
    </w:p>
    <w:p w14:paraId="43BECCF5" w14:textId="77777777" w:rsidR="003B7027" w:rsidRPr="00BD3C40" w:rsidRDefault="003B7027" w:rsidP="006E5F9A">
      <w:pPr>
        <w:pStyle w:val="a4"/>
        <w:tabs>
          <w:tab w:val="left" w:pos="540"/>
        </w:tabs>
        <w:ind w:left="0"/>
      </w:pPr>
    </w:p>
    <w:p w14:paraId="09C9A4FB" w14:textId="77777777" w:rsidR="003B7027" w:rsidRPr="00BD3C40" w:rsidRDefault="00296A74" w:rsidP="006E5F9A">
      <w:pPr>
        <w:pStyle w:val="a4"/>
        <w:tabs>
          <w:tab w:val="left" w:pos="540"/>
        </w:tabs>
        <w:ind w:left="0"/>
      </w:pPr>
      <w:r w:rsidRPr="00BD3C40">
        <w:t>Käyt. viim.</w:t>
      </w:r>
    </w:p>
    <w:p w14:paraId="17CAD9B9" w14:textId="77777777" w:rsidR="00E5285E" w:rsidRPr="00BD3C40" w:rsidRDefault="00E5285E" w:rsidP="006E5F9A">
      <w:pPr>
        <w:pStyle w:val="a4"/>
        <w:tabs>
          <w:tab w:val="left" w:pos="540"/>
        </w:tabs>
        <w:ind w:left="0"/>
      </w:pPr>
    </w:p>
    <w:p w14:paraId="5C0F4BF2" w14:textId="77777777" w:rsidR="00E5285E" w:rsidRPr="00BD3C40" w:rsidRDefault="00E5285E" w:rsidP="006E5F9A">
      <w:pPr>
        <w:pStyle w:val="a4"/>
        <w:tabs>
          <w:tab w:val="left" w:pos="540"/>
        </w:tabs>
        <w:ind w:left="0"/>
      </w:pPr>
    </w:p>
    <w:p w14:paraId="51E17687" w14:textId="77777777" w:rsidR="00A33950" w:rsidRPr="00CA43F5" w:rsidRDefault="00A33950" w:rsidP="008D40DB">
      <w:pPr>
        <w:keepNext/>
        <w:keepLines/>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lastRenderedPageBreak/>
        <w:t>9.</w:t>
      </w:r>
      <w:r w:rsidRPr="00CA43F5">
        <w:rPr>
          <w:b/>
          <w:lang w:val="fi-FI"/>
        </w:rPr>
        <w:tab/>
        <w:t>ERITYISET SÄILYTYSOLOSUHTEET</w:t>
      </w:r>
    </w:p>
    <w:p w14:paraId="518CFD4C" w14:textId="77777777" w:rsidR="003B7027" w:rsidRPr="00BD3C40" w:rsidRDefault="003B7027" w:rsidP="008D40DB">
      <w:pPr>
        <w:pStyle w:val="a4"/>
        <w:keepNext/>
        <w:keepLines/>
        <w:tabs>
          <w:tab w:val="left" w:pos="540"/>
        </w:tabs>
        <w:ind w:left="0"/>
      </w:pPr>
    </w:p>
    <w:p w14:paraId="28DE27CD" w14:textId="77777777" w:rsidR="00E5285E" w:rsidRPr="00BD3C40" w:rsidRDefault="00296A74" w:rsidP="006E5F9A">
      <w:pPr>
        <w:pStyle w:val="a4"/>
        <w:tabs>
          <w:tab w:val="left" w:pos="540"/>
        </w:tabs>
        <w:ind w:left="0"/>
      </w:pPr>
      <w:r w:rsidRPr="00BD3C40">
        <w:t>Säilytä jääkaapissa</w:t>
      </w:r>
    </w:p>
    <w:p w14:paraId="6DA9991E" w14:textId="77777777" w:rsidR="003B7027" w:rsidRPr="0028514E" w:rsidRDefault="00296A74" w:rsidP="006E5F9A">
      <w:pPr>
        <w:pStyle w:val="a4"/>
        <w:tabs>
          <w:tab w:val="left" w:pos="540"/>
        </w:tabs>
        <w:ind w:left="0"/>
      </w:pPr>
      <w:r w:rsidRPr="0028514E">
        <w:t>Ei saa jäätyä</w:t>
      </w:r>
    </w:p>
    <w:p w14:paraId="1E641633" w14:textId="277F1E57" w:rsidR="003B7027" w:rsidRPr="0028514E" w:rsidRDefault="00296A74" w:rsidP="006E5F9A">
      <w:pPr>
        <w:pStyle w:val="a4"/>
        <w:tabs>
          <w:tab w:val="left" w:pos="540"/>
        </w:tabs>
        <w:ind w:left="0"/>
      </w:pPr>
      <w:r w:rsidRPr="0028514E">
        <w:t xml:space="preserve">Kun esitäytetty kynä on otettu jääkaapista, se voidaan säilyttää enintään 30 °C:n lämpötilassa korkeintaan </w:t>
      </w:r>
      <w:r w:rsidR="00DC663F">
        <w:t>3</w:t>
      </w:r>
      <w:r w:rsidRPr="0028514E">
        <w:t xml:space="preserve"> viikkoa</w:t>
      </w:r>
    </w:p>
    <w:p w14:paraId="00B47793" w14:textId="77777777" w:rsidR="003B7027" w:rsidRPr="0028514E" w:rsidRDefault="00296A74" w:rsidP="006E5F9A">
      <w:pPr>
        <w:pStyle w:val="a4"/>
        <w:tabs>
          <w:tab w:val="left" w:pos="540"/>
        </w:tabs>
        <w:ind w:left="0"/>
      </w:pPr>
      <w:r w:rsidRPr="0028514E">
        <w:t>Pidä esitäytetty kynä ulkopakkauksessa. Herkkä valolle. Herkkä kosteudelle</w:t>
      </w:r>
    </w:p>
    <w:p w14:paraId="265BFC19" w14:textId="77777777" w:rsidR="003B7027" w:rsidRPr="0028514E" w:rsidRDefault="003B7027" w:rsidP="006E5F9A">
      <w:pPr>
        <w:pStyle w:val="a4"/>
        <w:tabs>
          <w:tab w:val="left" w:pos="540"/>
        </w:tabs>
        <w:ind w:left="0"/>
      </w:pPr>
    </w:p>
    <w:p w14:paraId="31E31FAE" w14:textId="77777777" w:rsidR="00E5285E" w:rsidRPr="0028514E" w:rsidRDefault="00E5285E" w:rsidP="006E5F9A">
      <w:pPr>
        <w:pStyle w:val="a4"/>
        <w:tabs>
          <w:tab w:val="left" w:pos="540"/>
        </w:tabs>
        <w:ind w:left="0"/>
      </w:pPr>
    </w:p>
    <w:p w14:paraId="714317F5"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10.</w:t>
      </w:r>
      <w:r w:rsidRPr="00CA43F5">
        <w:rPr>
          <w:b/>
          <w:lang w:val="fi-FI"/>
        </w:rPr>
        <w:tab/>
        <w:t>ERITYISET VAROTOIMET KÄYTTÄMÄTTÖMIEN LÄÄKEVALMISTEIDEN TAI NIISTÄ PERÄISIN OLEVAN JÄTEMATERIAALIN HÄVITTÄMISEKSI, JOS TARPEEN</w:t>
      </w:r>
    </w:p>
    <w:p w14:paraId="35FB0DF9" w14:textId="77777777" w:rsidR="003B7027" w:rsidRPr="0028514E" w:rsidRDefault="003B7027" w:rsidP="006E5F9A">
      <w:pPr>
        <w:pStyle w:val="a4"/>
        <w:tabs>
          <w:tab w:val="left" w:pos="540"/>
        </w:tabs>
        <w:ind w:left="0"/>
      </w:pPr>
    </w:p>
    <w:p w14:paraId="7B53E457" w14:textId="77777777" w:rsidR="003B7027" w:rsidRPr="0028514E" w:rsidRDefault="003B7027" w:rsidP="006E5F9A">
      <w:pPr>
        <w:pStyle w:val="a4"/>
        <w:tabs>
          <w:tab w:val="left" w:pos="540"/>
        </w:tabs>
        <w:ind w:left="0"/>
      </w:pPr>
    </w:p>
    <w:p w14:paraId="5C6BEA78"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11.</w:t>
      </w:r>
      <w:r w:rsidRPr="00CA43F5">
        <w:rPr>
          <w:b/>
          <w:lang w:val="fi-FI"/>
        </w:rPr>
        <w:tab/>
        <w:t>MYYNTILUVAN HALTIJAN NIMI JA OSOITE</w:t>
      </w:r>
    </w:p>
    <w:p w14:paraId="330EEA04" w14:textId="77777777" w:rsidR="003B7027" w:rsidRPr="0028514E" w:rsidRDefault="003B7027" w:rsidP="006E5F9A">
      <w:pPr>
        <w:pStyle w:val="a4"/>
        <w:tabs>
          <w:tab w:val="left" w:pos="540"/>
        </w:tabs>
        <w:ind w:left="0"/>
      </w:pPr>
    </w:p>
    <w:p w14:paraId="2971ADED" w14:textId="77777777" w:rsidR="00DC663F" w:rsidRPr="00CA43F5" w:rsidRDefault="00DC663F" w:rsidP="00DC663F">
      <w:pPr>
        <w:keepNext/>
        <w:rPr>
          <w:lang w:val="fi-FI"/>
        </w:rPr>
      </w:pPr>
      <w:r w:rsidRPr="00CA43F5">
        <w:rPr>
          <w:lang w:val="fi-FI"/>
        </w:rPr>
        <w:t xml:space="preserve">Celltrion Healthcare Hungary Kft. </w:t>
      </w:r>
    </w:p>
    <w:p w14:paraId="092A2794" w14:textId="77777777" w:rsidR="00DC663F" w:rsidRPr="00840707" w:rsidRDefault="00DC663F" w:rsidP="00DC663F">
      <w:pPr>
        <w:keepNext/>
      </w:pPr>
      <w:r w:rsidRPr="00840707">
        <w:t>1062 Budapest</w:t>
      </w:r>
    </w:p>
    <w:p w14:paraId="313D215F" w14:textId="77777777" w:rsidR="00DC663F" w:rsidRPr="00840707" w:rsidRDefault="00DC663F" w:rsidP="00DC663F">
      <w:pPr>
        <w:keepNext/>
      </w:pPr>
      <w:r w:rsidRPr="00840707">
        <w:t xml:space="preserve">Váci </w:t>
      </w:r>
      <w:proofErr w:type="spellStart"/>
      <w:r w:rsidRPr="00840707">
        <w:t>út</w:t>
      </w:r>
      <w:proofErr w:type="spellEnd"/>
      <w:r w:rsidRPr="00840707">
        <w:t xml:space="preserve"> 1-3. </w:t>
      </w:r>
      <w:proofErr w:type="spellStart"/>
      <w:r w:rsidRPr="00840707">
        <w:t>WestEnd</w:t>
      </w:r>
      <w:proofErr w:type="spellEnd"/>
      <w:r w:rsidRPr="00840707">
        <w:t xml:space="preserve"> Office Building B </w:t>
      </w:r>
      <w:proofErr w:type="spellStart"/>
      <w:r w:rsidRPr="00840707">
        <w:t>torony</w:t>
      </w:r>
      <w:proofErr w:type="spellEnd"/>
    </w:p>
    <w:p w14:paraId="41507CD5" w14:textId="20F08DA4" w:rsidR="003B7027" w:rsidRPr="0028514E" w:rsidRDefault="00DC663F" w:rsidP="006E5F9A">
      <w:pPr>
        <w:pStyle w:val="a4"/>
        <w:tabs>
          <w:tab w:val="left" w:pos="540"/>
        </w:tabs>
        <w:ind w:left="0"/>
      </w:pPr>
      <w:r>
        <w:t>Unkari</w:t>
      </w:r>
    </w:p>
    <w:p w14:paraId="47D1BB90" w14:textId="77777777" w:rsidR="003B7027" w:rsidRPr="0028514E" w:rsidRDefault="003B7027" w:rsidP="006E5F9A">
      <w:pPr>
        <w:pStyle w:val="a4"/>
        <w:tabs>
          <w:tab w:val="left" w:pos="540"/>
        </w:tabs>
        <w:ind w:left="0"/>
      </w:pPr>
    </w:p>
    <w:p w14:paraId="54156864" w14:textId="77777777" w:rsidR="00E5285E" w:rsidRPr="0028514E" w:rsidRDefault="00E5285E" w:rsidP="006E5F9A">
      <w:pPr>
        <w:pStyle w:val="a4"/>
        <w:tabs>
          <w:tab w:val="left" w:pos="540"/>
        </w:tabs>
        <w:ind w:left="0"/>
      </w:pPr>
    </w:p>
    <w:p w14:paraId="54529F71"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12.</w:t>
      </w:r>
      <w:r w:rsidRPr="00CA43F5">
        <w:rPr>
          <w:b/>
          <w:lang w:val="fi-FI"/>
        </w:rPr>
        <w:tab/>
        <w:t>MYYNTILUVAN NUMERO(T)</w:t>
      </w:r>
    </w:p>
    <w:p w14:paraId="00BB8719" w14:textId="77777777" w:rsidR="003B7027" w:rsidRPr="0028514E" w:rsidRDefault="003B7027" w:rsidP="006E5F9A">
      <w:pPr>
        <w:pStyle w:val="a4"/>
        <w:tabs>
          <w:tab w:val="left" w:pos="540"/>
        </w:tabs>
        <w:ind w:left="0"/>
      </w:pPr>
    </w:p>
    <w:p w14:paraId="3FF352A0" w14:textId="6DA3E130" w:rsidR="00DC663F" w:rsidRPr="00CA43F5" w:rsidRDefault="00DC663F" w:rsidP="00DC663F">
      <w:pPr>
        <w:rPr>
          <w:lang w:val="fi-FI"/>
        </w:rPr>
      </w:pPr>
      <w:r w:rsidRPr="00CA43F5">
        <w:rPr>
          <w:lang w:val="fi-FI"/>
        </w:rPr>
        <w:t>EU/</w:t>
      </w:r>
      <w:r w:rsidR="009C6CB7" w:rsidRPr="00231CE5">
        <w:rPr>
          <w:spacing w:val="-1"/>
          <w:lang w:val="es-ES"/>
        </w:rPr>
        <w:t>1/24/1896/01</w:t>
      </w:r>
      <w:r w:rsidR="009C6CB7">
        <w:rPr>
          <w:rFonts w:eastAsia="맑은 고딕" w:hint="eastAsia"/>
          <w:spacing w:val="-1"/>
          <w:lang w:val="es-ES" w:eastAsia="ko-KR"/>
        </w:rPr>
        <w:t>0</w:t>
      </w:r>
      <w:r w:rsidR="009C6CB7">
        <w:rPr>
          <w:lang w:val="fi-FI"/>
        </w:rPr>
        <w:t xml:space="preserve"> 1 esitäytetty </w:t>
      </w:r>
      <w:r w:rsidR="00516A37">
        <w:rPr>
          <w:lang w:val="fi-FI"/>
        </w:rPr>
        <w:t>kynä</w:t>
      </w:r>
    </w:p>
    <w:p w14:paraId="353A83C7" w14:textId="4302CEDF" w:rsidR="003B7027" w:rsidRPr="00E919A5" w:rsidRDefault="00DC663F" w:rsidP="00DC663F">
      <w:pPr>
        <w:pStyle w:val="a4"/>
        <w:tabs>
          <w:tab w:val="left" w:pos="540"/>
        </w:tabs>
        <w:ind w:left="0"/>
      </w:pPr>
      <w:r w:rsidRPr="00E919A5">
        <w:t>EU/</w:t>
      </w:r>
      <w:r w:rsidR="009C6CB7" w:rsidRPr="00231CE5">
        <w:rPr>
          <w:spacing w:val="-1"/>
          <w:lang w:val="es-ES"/>
        </w:rPr>
        <w:t>1/24/1896/01</w:t>
      </w:r>
      <w:r w:rsidR="009C6CB7">
        <w:rPr>
          <w:rFonts w:eastAsia="맑은 고딕"/>
          <w:spacing w:val="-1"/>
          <w:lang w:val="es-ES" w:eastAsia="ko-KR"/>
        </w:rPr>
        <w:t>1</w:t>
      </w:r>
      <w:r w:rsidR="00516A37" w:rsidRPr="00E919A5">
        <w:t xml:space="preserve"> 4 esitäytettyä kynää</w:t>
      </w:r>
    </w:p>
    <w:p w14:paraId="20DE3DE4" w14:textId="26BA5653" w:rsidR="003B7027" w:rsidRPr="00E919A5" w:rsidRDefault="003B2CC6" w:rsidP="006E5F9A">
      <w:pPr>
        <w:pStyle w:val="a4"/>
        <w:tabs>
          <w:tab w:val="left" w:pos="540"/>
        </w:tabs>
        <w:ind w:left="0"/>
      </w:pPr>
      <w:ins w:id="35" w:author="만든 이">
        <w:r w:rsidRPr="00E919A5">
          <w:t>EU/</w:t>
        </w:r>
        <w:r w:rsidRPr="00231CE5">
          <w:rPr>
            <w:spacing w:val="-1"/>
            <w:lang w:val="es-ES"/>
          </w:rPr>
          <w:t>1/24/1896/</w:t>
        </w:r>
        <w:r w:rsidR="00144CBD">
          <w:rPr>
            <w:rFonts w:eastAsia="맑은 고딕" w:hint="eastAsia"/>
            <w:spacing w:val="-1"/>
            <w:lang w:val="es-ES" w:eastAsia="ko-KR"/>
          </w:rPr>
          <w:t>014</w:t>
        </w:r>
        <w:r w:rsidRPr="00E919A5">
          <w:t xml:space="preserve"> </w:t>
        </w:r>
        <w:r>
          <w:rPr>
            <w:rFonts w:eastAsia="맑은 고딕" w:hint="eastAsia"/>
            <w:lang w:eastAsia="ko-KR"/>
          </w:rPr>
          <w:t>2</w:t>
        </w:r>
        <w:r w:rsidRPr="00E919A5">
          <w:t> esitäytettyä kynää</w:t>
        </w:r>
      </w:ins>
    </w:p>
    <w:p w14:paraId="08F91595" w14:textId="77777777" w:rsidR="00E5285E" w:rsidRPr="00E919A5" w:rsidRDefault="00E5285E" w:rsidP="006E5F9A">
      <w:pPr>
        <w:pStyle w:val="a4"/>
        <w:tabs>
          <w:tab w:val="left" w:pos="540"/>
        </w:tabs>
        <w:ind w:left="0"/>
      </w:pPr>
    </w:p>
    <w:p w14:paraId="56BDA45F"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 w:val="left" w:pos="724"/>
        </w:tabs>
        <w:spacing w:line="252" w:lineRule="exact"/>
        <w:rPr>
          <w:b/>
          <w:lang w:val="fi-FI"/>
        </w:rPr>
      </w:pPr>
      <w:r w:rsidRPr="00CA43F5">
        <w:rPr>
          <w:b/>
          <w:lang w:val="fi-FI"/>
        </w:rPr>
        <w:t>13.</w:t>
      </w:r>
      <w:r w:rsidRPr="00CA43F5">
        <w:rPr>
          <w:b/>
          <w:lang w:val="fi-FI"/>
        </w:rPr>
        <w:tab/>
        <w:t>ERÄNUMERO</w:t>
      </w:r>
    </w:p>
    <w:p w14:paraId="4457AB4A" w14:textId="77777777" w:rsidR="003B7027" w:rsidRPr="0028514E" w:rsidRDefault="003B7027" w:rsidP="006E5F9A">
      <w:pPr>
        <w:pStyle w:val="a4"/>
        <w:tabs>
          <w:tab w:val="left" w:pos="540"/>
        </w:tabs>
        <w:ind w:left="0"/>
      </w:pPr>
    </w:p>
    <w:p w14:paraId="7252FEB6" w14:textId="5DC71228" w:rsidR="003B7027" w:rsidRPr="0028514E" w:rsidRDefault="006065A3" w:rsidP="006E5F9A">
      <w:pPr>
        <w:pStyle w:val="a4"/>
        <w:tabs>
          <w:tab w:val="left" w:pos="540"/>
        </w:tabs>
        <w:ind w:left="0"/>
      </w:pPr>
      <w:r>
        <w:t>Erä</w:t>
      </w:r>
    </w:p>
    <w:p w14:paraId="75027B3C" w14:textId="77777777" w:rsidR="003B7027" w:rsidRPr="0028514E" w:rsidRDefault="003B7027" w:rsidP="006E5F9A">
      <w:pPr>
        <w:pStyle w:val="a4"/>
        <w:tabs>
          <w:tab w:val="left" w:pos="540"/>
        </w:tabs>
        <w:ind w:left="0"/>
      </w:pPr>
    </w:p>
    <w:p w14:paraId="7B3E9505" w14:textId="77777777" w:rsidR="00E5285E" w:rsidRPr="0028514E" w:rsidRDefault="00E5285E" w:rsidP="006E5F9A">
      <w:pPr>
        <w:pStyle w:val="a4"/>
        <w:tabs>
          <w:tab w:val="left" w:pos="540"/>
        </w:tabs>
        <w:ind w:left="0"/>
      </w:pPr>
    </w:p>
    <w:p w14:paraId="2AE7D422"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14.</w:t>
      </w:r>
      <w:r w:rsidRPr="00CA43F5">
        <w:rPr>
          <w:b/>
          <w:lang w:val="fi-FI"/>
        </w:rPr>
        <w:tab/>
        <w:t>YLEINEN TOIMITTAMISLUOKITTELU</w:t>
      </w:r>
    </w:p>
    <w:p w14:paraId="1AC1E4CF" w14:textId="77777777" w:rsidR="003B7027" w:rsidRPr="0028514E" w:rsidRDefault="003B7027" w:rsidP="006E5F9A">
      <w:pPr>
        <w:pStyle w:val="a4"/>
        <w:tabs>
          <w:tab w:val="left" w:pos="540"/>
        </w:tabs>
        <w:ind w:left="0"/>
      </w:pPr>
    </w:p>
    <w:p w14:paraId="1B73A57B" w14:textId="77777777" w:rsidR="003B7027" w:rsidRPr="0028514E" w:rsidRDefault="003B7027" w:rsidP="006E5F9A">
      <w:pPr>
        <w:pStyle w:val="a4"/>
        <w:tabs>
          <w:tab w:val="left" w:pos="540"/>
        </w:tabs>
        <w:ind w:left="0"/>
      </w:pPr>
    </w:p>
    <w:p w14:paraId="3EA00FB7"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15.</w:t>
      </w:r>
      <w:r w:rsidRPr="00CA43F5">
        <w:rPr>
          <w:b/>
          <w:lang w:val="fi-FI"/>
        </w:rPr>
        <w:tab/>
        <w:t>KÄYTTÖOHJEET</w:t>
      </w:r>
    </w:p>
    <w:p w14:paraId="1D87A385" w14:textId="77777777" w:rsidR="003B7027" w:rsidRPr="0028514E" w:rsidRDefault="003B7027" w:rsidP="006E5F9A">
      <w:pPr>
        <w:pStyle w:val="a4"/>
        <w:tabs>
          <w:tab w:val="left" w:pos="540"/>
        </w:tabs>
        <w:ind w:left="0"/>
      </w:pPr>
    </w:p>
    <w:p w14:paraId="7798D617" w14:textId="77777777" w:rsidR="00E5285E" w:rsidRPr="0028514E" w:rsidRDefault="00E5285E" w:rsidP="006E5F9A">
      <w:pPr>
        <w:pStyle w:val="a4"/>
        <w:tabs>
          <w:tab w:val="left" w:pos="540"/>
        </w:tabs>
        <w:ind w:left="0"/>
      </w:pPr>
    </w:p>
    <w:p w14:paraId="3D5A3A13"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16.</w:t>
      </w:r>
      <w:r w:rsidRPr="00CA43F5">
        <w:rPr>
          <w:b/>
          <w:lang w:val="fi-FI"/>
        </w:rPr>
        <w:tab/>
        <w:t>TIEDOT PISTEKIRJOITUKSELLA</w:t>
      </w:r>
    </w:p>
    <w:p w14:paraId="4972BF59" w14:textId="77777777" w:rsidR="003B7027" w:rsidRPr="0028514E" w:rsidRDefault="003B7027" w:rsidP="006E5F9A">
      <w:pPr>
        <w:pStyle w:val="a4"/>
        <w:tabs>
          <w:tab w:val="left" w:pos="540"/>
        </w:tabs>
        <w:ind w:left="0"/>
      </w:pPr>
    </w:p>
    <w:p w14:paraId="382583ED" w14:textId="6EB125A1" w:rsidR="003B7027" w:rsidRDefault="00347F1E" w:rsidP="00347F1E">
      <w:pPr>
        <w:keepNext/>
        <w:rPr>
          <w:lang w:val="fi-FI"/>
        </w:rPr>
      </w:pPr>
      <w:r>
        <w:rPr>
          <w:lang w:val="fi-FI"/>
        </w:rPr>
        <w:t>A</w:t>
      </w:r>
      <w:r w:rsidRPr="00237A3E">
        <w:rPr>
          <w:lang w:val="fi-FI"/>
        </w:rPr>
        <w:t>vtozma 162</w:t>
      </w:r>
      <w:r>
        <w:rPr>
          <w:lang w:val="fi-FI"/>
        </w:rPr>
        <w:t> </w:t>
      </w:r>
      <w:r w:rsidRPr="00237A3E">
        <w:rPr>
          <w:lang w:val="fi-FI"/>
        </w:rPr>
        <w:t>mg</w:t>
      </w:r>
    </w:p>
    <w:p w14:paraId="5A3C0EF5" w14:textId="77777777" w:rsidR="00347F1E" w:rsidRPr="003F07A8" w:rsidRDefault="00347F1E" w:rsidP="00237A3E">
      <w:pPr>
        <w:keepNext/>
        <w:rPr>
          <w:lang w:val="fi-FI"/>
        </w:rPr>
      </w:pPr>
    </w:p>
    <w:p w14:paraId="1242F4B7" w14:textId="77777777" w:rsidR="00E5285E" w:rsidRPr="0028514E" w:rsidRDefault="00E5285E" w:rsidP="006E5F9A">
      <w:pPr>
        <w:pStyle w:val="a4"/>
        <w:tabs>
          <w:tab w:val="left" w:pos="540"/>
        </w:tabs>
        <w:ind w:left="0"/>
      </w:pPr>
    </w:p>
    <w:p w14:paraId="2DB2CD40"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17.</w:t>
      </w:r>
      <w:r w:rsidRPr="00CA43F5">
        <w:rPr>
          <w:b/>
          <w:lang w:val="fi-FI"/>
        </w:rPr>
        <w:tab/>
        <w:t>YKSILÖLLINEN TUNNISTE – 2D-VIIVAKOODI</w:t>
      </w:r>
    </w:p>
    <w:p w14:paraId="3F78CFA4" w14:textId="77777777" w:rsidR="003B7027" w:rsidRPr="0028514E" w:rsidRDefault="003B7027" w:rsidP="006E5F9A">
      <w:pPr>
        <w:pStyle w:val="a4"/>
        <w:tabs>
          <w:tab w:val="left" w:pos="540"/>
        </w:tabs>
        <w:ind w:left="0"/>
      </w:pPr>
    </w:p>
    <w:p w14:paraId="18C293AF" w14:textId="77777777" w:rsidR="003B7027" w:rsidRPr="0028514E" w:rsidRDefault="00296A74" w:rsidP="006E5F9A">
      <w:pPr>
        <w:pStyle w:val="a4"/>
        <w:tabs>
          <w:tab w:val="left" w:pos="540"/>
        </w:tabs>
        <w:ind w:left="0"/>
      </w:pPr>
      <w:r w:rsidRPr="003F07A8">
        <w:rPr>
          <w:color w:val="000000"/>
          <w:highlight w:val="lightGray"/>
          <w:shd w:val="clear" w:color="auto" w:fill="C1C1C1"/>
        </w:rPr>
        <w:t>&lt;2D-viivakoodi, joka sisältää yksilöllisen tunnisteen.&gt;</w:t>
      </w:r>
    </w:p>
    <w:p w14:paraId="7BA85086" w14:textId="77777777" w:rsidR="003B7027" w:rsidRPr="0028514E" w:rsidRDefault="003B7027" w:rsidP="006E5F9A">
      <w:pPr>
        <w:pStyle w:val="a4"/>
        <w:tabs>
          <w:tab w:val="left" w:pos="540"/>
        </w:tabs>
        <w:ind w:left="0"/>
      </w:pPr>
    </w:p>
    <w:p w14:paraId="03262E7A" w14:textId="77777777" w:rsidR="00E5285E" w:rsidRPr="0028514E" w:rsidRDefault="00E5285E" w:rsidP="006E5F9A">
      <w:pPr>
        <w:pStyle w:val="a4"/>
        <w:tabs>
          <w:tab w:val="left" w:pos="540"/>
        </w:tabs>
        <w:ind w:left="0"/>
      </w:pPr>
    </w:p>
    <w:p w14:paraId="6AD1B34B"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18.</w:t>
      </w:r>
      <w:r w:rsidRPr="00CA43F5">
        <w:rPr>
          <w:b/>
          <w:lang w:val="fi-FI"/>
        </w:rPr>
        <w:tab/>
        <w:t>YKSILÖLLINEN TUNNISTE – LUETTAVISSA OLEVAT TIEDOT</w:t>
      </w:r>
    </w:p>
    <w:p w14:paraId="09D82E33" w14:textId="77777777" w:rsidR="003B7027" w:rsidRPr="0028514E" w:rsidRDefault="003B7027" w:rsidP="006E5F9A">
      <w:pPr>
        <w:pStyle w:val="a4"/>
        <w:tabs>
          <w:tab w:val="left" w:pos="540"/>
        </w:tabs>
        <w:ind w:left="0"/>
      </w:pPr>
    </w:p>
    <w:p w14:paraId="45711EF0" w14:textId="77777777" w:rsidR="00E5285E" w:rsidRPr="0028514E" w:rsidRDefault="00296A74" w:rsidP="006E5F9A">
      <w:pPr>
        <w:pStyle w:val="a4"/>
        <w:tabs>
          <w:tab w:val="left" w:pos="540"/>
        </w:tabs>
        <w:ind w:left="0"/>
      </w:pPr>
      <w:r w:rsidRPr="0028514E">
        <w:t>PC</w:t>
      </w:r>
    </w:p>
    <w:p w14:paraId="1FBCB0CF" w14:textId="77777777" w:rsidR="00E5285E" w:rsidRPr="0028514E" w:rsidRDefault="00296A74" w:rsidP="006E5F9A">
      <w:pPr>
        <w:pStyle w:val="a4"/>
        <w:tabs>
          <w:tab w:val="left" w:pos="540"/>
        </w:tabs>
        <w:ind w:left="0"/>
      </w:pPr>
      <w:r w:rsidRPr="0028514E">
        <w:t>SN</w:t>
      </w:r>
    </w:p>
    <w:p w14:paraId="24D7C3F3" w14:textId="5D608B65" w:rsidR="003B7027" w:rsidRPr="003F07A8" w:rsidRDefault="00C31CF7" w:rsidP="006E5F9A">
      <w:pPr>
        <w:pStyle w:val="a4"/>
        <w:tabs>
          <w:tab w:val="left" w:pos="540"/>
        </w:tabs>
        <w:ind w:left="0"/>
        <w:rPr>
          <w:rFonts w:eastAsia="맑은 고딕"/>
          <w:lang w:eastAsia="ko-KR"/>
        </w:rPr>
      </w:pPr>
      <w:r w:rsidRPr="003F07A8">
        <w:rPr>
          <w:rFonts w:eastAsia="맑은 고딕"/>
          <w:highlight w:val="lightGray"/>
          <w:lang w:eastAsia="ko-KR"/>
        </w:rPr>
        <w:t>NN</w:t>
      </w:r>
    </w:p>
    <w:p w14:paraId="00E145E9" w14:textId="35A3AE27" w:rsidR="00A33950" w:rsidRPr="00CA43F5" w:rsidRDefault="00E5285E" w:rsidP="00876C57">
      <w:pPr>
        <w:widowControl w:val="0"/>
        <w:pBdr>
          <w:top w:val="single" w:sz="4" w:space="1" w:color="auto"/>
          <w:left w:val="single" w:sz="4" w:space="4" w:color="auto"/>
          <w:bottom w:val="single" w:sz="4" w:space="1" w:color="auto"/>
          <w:right w:val="single" w:sz="4" w:space="4" w:color="auto"/>
        </w:pBdr>
        <w:autoSpaceDE w:val="0"/>
        <w:autoSpaceDN w:val="0"/>
        <w:rPr>
          <w:b/>
          <w:lang w:val="fi-FI"/>
        </w:rPr>
      </w:pPr>
      <w:r w:rsidRPr="00CA43F5">
        <w:rPr>
          <w:lang w:val="fi-FI"/>
        </w:rPr>
        <w:br w:type="page"/>
      </w:r>
      <w:r w:rsidR="00A33950" w:rsidRPr="00CA43F5">
        <w:rPr>
          <w:b/>
          <w:lang w:val="fi-FI"/>
        </w:rPr>
        <w:lastRenderedPageBreak/>
        <w:t>ULKOPAKKAUKSESSA ON OLTAVA SEURAAVAT MERKINNÄT</w:t>
      </w:r>
    </w:p>
    <w:p w14:paraId="5D43B8C9" w14:textId="77777777" w:rsidR="00A33950" w:rsidRPr="00BD3C40" w:rsidRDefault="00A33950" w:rsidP="00876C57">
      <w:pPr>
        <w:pStyle w:val="a4"/>
        <w:pBdr>
          <w:top w:val="single" w:sz="4" w:space="1" w:color="auto"/>
          <w:left w:val="single" w:sz="4" w:space="4" w:color="auto"/>
          <w:bottom w:val="single" w:sz="4" w:space="1" w:color="auto"/>
          <w:right w:val="single" w:sz="4" w:space="4" w:color="auto"/>
        </w:pBdr>
        <w:tabs>
          <w:tab w:val="left" w:pos="540"/>
        </w:tabs>
        <w:ind w:left="0"/>
        <w:rPr>
          <w:b/>
        </w:rPr>
      </w:pPr>
    </w:p>
    <w:p w14:paraId="5CDF5692" w14:textId="635CED40" w:rsidR="003B7027" w:rsidRPr="00CA43F5" w:rsidRDefault="00A33950" w:rsidP="00876C57">
      <w:pPr>
        <w:pBdr>
          <w:top w:val="single" w:sz="4" w:space="1" w:color="auto"/>
          <w:left w:val="single" w:sz="4" w:space="4" w:color="auto"/>
          <w:bottom w:val="single" w:sz="4" w:space="1" w:color="auto"/>
          <w:right w:val="single" w:sz="4" w:space="4" w:color="auto"/>
        </w:pBdr>
        <w:tabs>
          <w:tab w:val="left" w:pos="540"/>
        </w:tabs>
        <w:rPr>
          <w:lang w:val="fi-FI"/>
        </w:rPr>
      </w:pPr>
      <w:r w:rsidRPr="00CA43F5">
        <w:rPr>
          <w:b/>
          <w:lang w:val="fi-FI"/>
        </w:rPr>
        <w:t>ESITÄYTETYN KYNÄN KOTELO (BLUE BOX) – Monipakkaus</w:t>
      </w:r>
    </w:p>
    <w:p w14:paraId="7F091592" w14:textId="77777777" w:rsidR="00917CCB" w:rsidRDefault="00917CCB" w:rsidP="00876C57">
      <w:pPr>
        <w:pStyle w:val="a4"/>
        <w:pBdr>
          <w:top w:val="single" w:sz="4" w:space="1" w:color="auto"/>
          <w:left w:val="single" w:sz="4" w:space="4" w:color="auto"/>
          <w:bottom w:val="single" w:sz="4" w:space="1" w:color="auto"/>
          <w:right w:val="single" w:sz="4" w:space="4" w:color="auto"/>
        </w:pBdr>
        <w:tabs>
          <w:tab w:val="left" w:pos="540"/>
        </w:tabs>
        <w:ind w:left="0"/>
      </w:pPr>
    </w:p>
    <w:p w14:paraId="3BCF24CB" w14:textId="77777777" w:rsidR="006679A7" w:rsidRDefault="006679A7" w:rsidP="006E5F9A">
      <w:pPr>
        <w:pStyle w:val="a4"/>
        <w:tabs>
          <w:tab w:val="left" w:pos="540"/>
        </w:tabs>
        <w:ind w:left="0"/>
      </w:pPr>
    </w:p>
    <w:p w14:paraId="06020E90" w14:textId="77777777" w:rsidR="00C1572A" w:rsidRPr="00BD3C40" w:rsidRDefault="00C1572A" w:rsidP="006E5F9A">
      <w:pPr>
        <w:pStyle w:val="a4"/>
        <w:tabs>
          <w:tab w:val="left" w:pos="540"/>
        </w:tabs>
        <w:ind w:left="0"/>
      </w:pPr>
    </w:p>
    <w:p w14:paraId="1A8D8FE2"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w:t>
      </w:r>
      <w:r w:rsidRPr="00CA43F5">
        <w:rPr>
          <w:b/>
          <w:lang w:val="fi-FI"/>
        </w:rPr>
        <w:tab/>
        <w:t>LÄÄKEVALMISTEEN NIMI</w:t>
      </w:r>
    </w:p>
    <w:p w14:paraId="43D57EBC" w14:textId="77777777" w:rsidR="003B7027" w:rsidRPr="00BD3C40" w:rsidRDefault="003B7027" w:rsidP="006E5F9A">
      <w:pPr>
        <w:pStyle w:val="a4"/>
        <w:tabs>
          <w:tab w:val="left" w:pos="540"/>
        </w:tabs>
        <w:ind w:left="0"/>
      </w:pPr>
    </w:p>
    <w:p w14:paraId="3502163D" w14:textId="7C90640E" w:rsidR="00E57E17" w:rsidRDefault="00DC663F" w:rsidP="006E5F9A">
      <w:pPr>
        <w:pStyle w:val="a4"/>
        <w:tabs>
          <w:tab w:val="left" w:pos="540"/>
        </w:tabs>
        <w:ind w:left="0"/>
        <w:rPr>
          <w:rFonts w:eastAsia="맑은 고딕"/>
          <w:lang w:eastAsia="ko-KR"/>
        </w:rPr>
      </w:pPr>
      <w:r>
        <w:t>Avtozma</w:t>
      </w:r>
      <w:r w:rsidRPr="00BD3C40">
        <w:t xml:space="preserve"> </w:t>
      </w:r>
      <w:r w:rsidR="00296A74" w:rsidRPr="00BD3C40">
        <w:t xml:space="preserve">162 mg injektioneste, liuos esitäytetyssä kynässä </w:t>
      </w:r>
    </w:p>
    <w:p w14:paraId="706BBD86" w14:textId="1E40BF92" w:rsidR="003B7027" w:rsidRPr="00BD3C40" w:rsidRDefault="00296A74" w:rsidP="006E5F9A">
      <w:pPr>
        <w:pStyle w:val="a4"/>
        <w:tabs>
          <w:tab w:val="left" w:pos="540"/>
        </w:tabs>
        <w:ind w:left="0"/>
      </w:pPr>
      <w:r w:rsidRPr="00BD3C40">
        <w:t>tosilitsumabi</w:t>
      </w:r>
    </w:p>
    <w:p w14:paraId="7052A59A" w14:textId="77777777" w:rsidR="00917CCB" w:rsidRPr="00BD3C40" w:rsidRDefault="00917CCB" w:rsidP="006E5F9A">
      <w:pPr>
        <w:pStyle w:val="a4"/>
        <w:tabs>
          <w:tab w:val="left" w:pos="540"/>
        </w:tabs>
        <w:ind w:left="0"/>
      </w:pPr>
    </w:p>
    <w:p w14:paraId="2DA802C0" w14:textId="77777777" w:rsidR="00917CCB" w:rsidRPr="00BD3C40" w:rsidRDefault="00917CCB" w:rsidP="006E5F9A">
      <w:pPr>
        <w:pStyle w:val="a4"/>
        <w:tabs>
          <w:tab w:val="left" w:pos="540"/>
        </w:tabs>
        <w:ind w:left="0"/>
      </w:pPr>
    </w:p>
    <w:p w14:paraId="217E58B1"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2.</w:t>
      </w:r>
      <w:r w:rsidRPr="00CA43F5">
        <w:rPr>
          <w:b/>
          <w:lang w:val="fi-FI"/>
        </w:rPr>
        <w:tab/>
        <w:t>VAIKUTTAVA(T) AINE(ET)</w:t>
      </w:r>
    </w:p>
    <w:p w14:paraId="071D4915" w14:textId="77777777" w:rsidR="003B7027" w:rsidRPr="00BD3C40" w:rsidRDefault="003B7027" w:rsidP="006E5F9A">
      <w:pPr>
        <w:pStyle w:val="a4"/>
        <w:tabs>
          <w:tab w:val="left" w:pos="540"/>
        </w:tabs>
        <w:ind w:left="0"/>
      </w:pPr>
    </w:p>
    <w:p w14:paraId="098968C0" w14:textId="77777777" w:rsidR="003B7027" w:rsidRPr="00BD3C40" w:rsidRDefault="00296A74" w:rsidP="006E5F9A">
      <w:pPr>
        <w:pStyle w:val="a4"/>
        <w:tabs>
          <w:tab w:val="left" w:pos="540"/>
        </w:tabs>
        <w:ind w:left="0"/>
      </w:pPr>
      <w:r w:rsidRPr="00BD3C40">
        <w:t>1 esitäytetty kynä sisältää 162 mg tosilitsumabia</w:t>
      </w:r>
    </w:p>
    <w:p w14:paraId="7784311D" w14:textId="77777777" w:rsidR="003B7027" w:rsidRPr="00BD3C40" w:rsidRDefault="003B7027" w:rsidP="006E5F9A">
      <w:pPr>
        <w:pStyle w:val="a4"/>
        <w:tabs>
          <w:tab w:val="left" w:pos="540"/>
        </w:tabs>
        <w:ind w:left="0"/>
      </w:pPr>
    </w:p>
    <w:p w14:paraId="255D1B8D" w14:textId="77777777" w:rsidR="00917CCB" w:rsidRPr="00BD3C40" w:rsidRDefault="00917CCB" w:rsidP="006E5F9A">
      <w:pPr>
        <w:pStyle w:val="a4"/>
        <w:tabs>
          <w:tab w:val="left" w:pos="540"/>
        </w:tabs>
        <w:ind w:left="0"/>
      </w:pPr>
    </w:p>
    <w:p w14:paraId="7FF6A6FE"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3.</w:t>
      </w:r>
      <w:r w:rsidRPr="00CA43F5">
        <w:rPr>
          <w:b/>
          <w:lang w:val="fi-FI"/>
        </w:rPr>
        <w:tab/>
        <w:t>LUETTELO APUAINEISTA</w:t>
      </w:r>
    </w:p>
    <w:p w14:paraId="34715603" w14:textId="77777777" w:rsidR="003B7027" w:rsidRPr="00BD3C40" w:rsidRDefault="003B7027" w:rsidP="006E5F9A">
      <w:pPr>
        <w:pStyle w:val="a4"/>
        <w:tabs>
          <w:tab w:val="left" w:pos="540"/>
        </w:tabs>
        <w:ind w:left="0"/>
      </w:pPr>
    </w:p>
    <w:p w14:paraId="2FAB6543" w14:textId="7F4E3264" w:rsidR="00DC663F" w:rsidRDefault="00DC663F" w:rsidP="00DC663F">
      <w:pPr>
        <w:pStyle w:val="a4"/>
        <w:tabs>
          <w:tab w:val="left" w:pos="540"/>
        </w:tabs>
        <w:ind w:left="0"/>
      </w:pPr>
      <w:r>
        <w:t>Apuaineet: L‑histidiini,</w:t>
      </w:r>
      <w:r w:rsidR="00A5656C">
        <w:rPr>
          <w:rFonts w:eastAsia="맑은 고딕" w:hint="eastAsia"/>
          <w:lang w:eastAsia="ko-KR"/>
        </w:rPr>
        <w:t xml:space="preserve"> </w:t>
      </w:r>
      <w:r w:rsidR="00C26E34" w:rsidRPr="00C26E34">
        <w:rPr>
          <w:rFonts w:eastAsia="맑은 고딕" w:hint="eastAsia"/>
          <w:lang w:eastAsia="ko-KR"/>
        </w:rPr>
        <w:t>L-histidiinimonohydrokloridimonohydraatti</w:t>
      </w:r>
      <w:r w:rsidR="00A5656C">
        <w:rPr>
          <w:rFonts w:eastAsia="맑은 고딕" w:hint="eastAsia"/>
          <w:lang w:eastAsia="ko-KR"/>
        </w:rPr>
        <w:t>,</w:t>
      </w:r>
      <w:r>
        <w:t xml:space="preserve"> L‑treoniini, L‑metioniini, polysorbaatti 80</w:t>
      </w:r>
      <w:r w:rsidR="00503985">
        <w:t>,</w:t>
      </w:r>
      <w:r>
        <w:t xml:space="preserve"> injektionesteisiin käytettävä vesi.</w:t>
      </w:r>
    </w:p>
    <w:p w14:paraId="7AFD6EC1" w14:textId="1C58B5A2" w:rsidR="003B7027" w:rsidRPr="00BD3C40" w:rsidRDefault="00DC663F" w:rsidP="00DC663F">
      <w:pPr>
        <w:pStyle w:val="a4"/>
        <w:tabs>
          <w:tab w:val="left" w:pos="540"/>
        </w:tabs>
        <w:ind w:left="0"/>
      </w:pPr>
      <w:r w:rsidRPr="0028514E">
        <w:t>Katso lisätiedot pakkausselosteesta.</w:t>
      </w:r>
    </w:p>
    <w:p w14:paraId="678ECEC2" w14:textId="77777777" w:rsidR="003B7027" w:rsidRPr="00BD3C40" w:rsidRDefault="003B7027" w:rsidP="006E5F9A">
      <w:pPr>
        <w:pStyle w:val="a4"/>
        <w:tabs>
          <w:tab w:val="left" w:pos="540"/>
        </w:tabs>
        <w:ind w:left="0"/>
      </w:pPr>
    </w:p>
    <w:p w14:paraId="6C9ED100" w14:textId="77777777" w:rsidR="00917CCB" w:rsidRPr="00BD3C40" w:rsidRDefault="00917CCB" w:rsidP="006E5F9A">
      <w:pPr>
        <w:pStyle w:val="a4"/>
        <w:tabs>
          <w:tab w:val="left" w:pos="540"/>
        </w:tabs>
        <w:ind w:left="0"/>
      </w:pPr>
    </w:p>
    <w:p w14:paraId="23C4D5C0"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4.</w:t>
      </w:r>
      <w:r w:rsidRPr="00CA43F5">
        <w:rPr>
          <w:b/>
          <w:lang w:val="fi-FI"/>
        </w:rPr>
        <w:tab/>
        <w:t>LÄÄKEMUOTO JA SISÄLLÖN MÄÄRÄ</w:t>
      </w:r>
    </w:p>
    <w:p w14:paraId="5148FE31" w14:textId="77777777" w:rsidR="003B7027" w:rsidRPr="00BD3C40" w:rsidRDefault="003B7027" w:rsidP="006E5F9A">
      <w:pPr>
        <w:pStyle w:val="a4"/>
        <w:tabs>
          <w:tab w:val="left" w:pos="540"/>
        </w:tabs>
        <w:ind w:left="0"/>
      </w:pPr>
    </w:p>
    <w:p w14:paraId="784C76AA" w14:textId="3FE28C11" w:rsidR="003B7027" w:rsidRPr="00BD3C40" w:rsidRDefault="00296A74" w:rsidP="006E5F9A">
      <w:pPr>
        <w:pStyle w:val="a4"/>
        <w:tabs>
          <w:tab w:val="left" w:pos="540"/>
        </w:tabs>
        <w:ind w:left="0"/>
      </w:pPr>
      <w:r w:rsidRPr="00BD3C40">
        <w:t>Injektioneste, liuos esitäytetyssä kynässä</w:t>
      </w:r>
    </w:p>
    <w:p w14:paraId="0650A99B" w14:textId="39107DDF" w:rsidR="00DC663F" w:rsidRDefault="00296A74" w:rsidP="006E5F9A">
      <w:pPr>
        <w:pStyle w:val="a4"/>
        <w:tabs>
          <w:tab w:val="left" w:pos="540"/>
        </w:tabs>
        <w:ind w:left="0"/>
      </w:pPr>
      <w:r w:rsidRPr="00BD3C40">
        <w:t xml:space="preserve">Monipakkaus: 12 </w:t>
      </w:r>
      <w:r w:rsidR="00123B7B" w:rsidRPr="00BD3C40">
        <w:t>(3</w:t>
      </w:r>
      <w:r w:rsidR="00123B7B">
        <w:t> </w:t>
      </w:r>
      <w:r w:rsidR="00123B7B" w:rsidRPr="00BD3C40">
        <w:t>pakkausta, joissa kussakin 4</w:t>
      </w:r>
      <w:r w:rsidR="00123B7B">
        <w:t xml:space="preserve">) </w:t>
      </w:r>
      <w:r w:rsidRPr="00BD3C40">
        <w:t>esitäytettyä kynää</w:t>
      </w:r>
    </w:p>
    <w:p w14:paraId="287141EF" w14:textId="33D4D087" w:rsidR="003B7027" w:rsidRPr="00BD3C40" w:rsidRDefault="00296A74" w:rsidP="006E5F9A">
      <w:pPr>
        <w:pStyle w:val="a4"/>
        <w:tabs>
          <w:tab w:val="left" w:pos="540"/>
        </w:tabs>
        <w:ind w:left="0"/>
      </w:pPr>
      <w:r w:rsidRPr="00BD3C40">
        <w:t>162 mg/0,9 ml</w:t>
      </w:r>
    </w:p>
    <w:p w14:paraId="1BFB3023" w14:textId="77777777" w:rsidR="003B7027" w:rsidRPr="00BD3C40" w:rsidRDefault="003B7027" w:rsidP="006E5F9A">
      <w:pPr>
        <w:pStyle w:val="a4"/>
        <w:tabs>
          <w:tab w:val="left" w:pos="540"/>
        </w:tabs>
        <w:ind w:left="0"/>
      </w:pPr>
    </w:p>
    <w:p w14:paraId="0E727F0B" w14:textId="77777777" w:rsidR="00917CCB" w:rsidRPr="00BD3C40" w:rsidRDefault="00917CCB" w:rsidP="006E5F9A">
      <w:pPr>
        <w:pStyle w:val="a4"/>
        <w:tabs>
          <w:tab w:val="left" w:pos="540"/>
        </w:tabs>
        <w:ind w:left="0"/>
      </w:pPr>
    </w:p>
    <w:p w14:paraId="598071AE"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5.</w:t>
      </w:r>
      <w:r w:rsidRPr="00CA43F5">
        <w:rPr>
          <w:b/>
          <w:lang w:val="fi-FI"/>
        </w:rPr>
        <w:tab/>
        <w:t>ANTOTAPA JA TARVITTAESSA ANTOREITTI (ANTOREITIT)</w:t>
      </w:r>
    </w:p>
    <w:p w14:paraId="2F961241" w14:textId="77777777" w:rsidR="003B7027" w:rsidRPr="00BD3C40" w:rsidRDefault="003B7027" w:rsidP="006E5F9A">
      <w:pPr>
        <w:pStyle w:val="a4"/>
        <w:tabs>
          <w:tab w:val="left" w:pos="540"/>
        </w:tabs>
        <w:ind w:left="0"/>
      </w:pPr>
    </w:p>
    <w:p w14:paraId="2B470CA0" w14:textId="77777777" w:rsidR="003B7027" w:rsidRPr="00BD3C40" w:rsidRDefault="00296A74" w:rsidP="006E5F9A">
      <w:pPr>
        <w:pStyle w:val="a4"/>
        <w:tabs>
          <w:tab w:val="left" w:pos="540"/>
        </w:tabs>
        <w:ind w:left="0"/>
      </w:pPr>
      <w:r w:rsidRPr="00BD3C40">
        <w:t>Ihon alle</w:t>
      </w:r>
    </w:p>
    <w:p w14:paraId="5FBC14C3" w14:textId="77777777" w:rsidR="003B7027" w:rsidRPr="00BD3C40" w:rsidRDefault="00296A74" w:rsidP="006E5F9A">
      <w:pPr>
        <w:pStyle w:val="a4"/>
        <w:tabs>
          <w:tab w:val="left" w:pos="540"/>
        </w:tabs>
        <w:ind w:left="0"/>
      </w:pPr>
      <w:r w:rsidRPr="00BD3C40">
        <w:t>Lue pakkausseloste ennen käyttöä</w:t>
      </w:r>
    </w:p>
    <w:p w14:paraId="4D757759" w14:textId="77777777" w:rsidR="003B7027" w:rsidRPr="00BD3C40" w:rsidRDefault="003B7027" w:rsidP="006E5F9A">
      <w:pPr>
        <w:pStyle w:val="a4"/>
        <w:tabs>
          <w:tab w:val="left" w:pos="540"/>
        </w:tabs>
        <w:ind w:left="0"/>
      </w:pPr>
    </w:p>
    <w:p w14:paraId="2E706A80" w14:textId="77777777" w:rsidR="00917CCB" w:rsidRPr="00BD3C40" w:rsidRDefault="00917CCB" w:rsidP="006E5F9A">
      <w:pPr>
        <w:pStyle w:val="a4"/>
        <w:tabs>
          <w:tab w:val="left" w:pos="540"/>
        </w:tabs>
        <w:ind w:left="0"/>
      </w:pPr>
    </w:p>
    <w:p w14:paraId="29B269D2" w14:textId="77777777" w:rsidR="00A33950" w:rsidRPr="00CA43F5" w:rsidRDefault="00A33950"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6.</w:t>
      </w:r>
      <w:r w:rsidRPr="00CA43F5">
        <w:rPr>
          <w:b/>
          <w:lang w:val="fi-FI"/>
        </w:rPr>
        <w:tab/>
        <w:t>ERITYISVAROITUS VALMISTEEN SÄILYTTÄMISESTÄ POISSA LASTEN ULOTTUVILTA JA NÄKYVILTÄ</w:t>
      </w:r>
    </w:p>
    <w:p w14:paraId="3C927568" w14:textId="77777777" w:rsidR="003B7027" w:rsidRPr="00BD3C40" w:rsidRDefault="003B7027" w:rsidP="006E5F9A">
      <w:pPr>
        <w:pStyle w:val="a4"/>
        <w:tabs>
          <w:tab w:val="left" w:pos="540"/>
        </w:tabs>
        <w:ind w:left="0"/>
      </w:pPr>
    </w:p>
    <w:p w14:paraId="59AEE1A2" w14:textId="77777777" w:rsidR="003B7027" w:rsidRPr="00BD3C40" w:rsidRDefault="00296A74" w:rsidP="006E5F9A">
      <w:pPr>
        <w:pStyle w:val="a4"/>
        <w:tabs>
          <w:tab w:val="left" w:pos="540"/>
        </w:tabs>
        <w:ind w:left="0"/>
      </w:pPr>
      <w:r w:rsidRPr="00BD3C40">
        <w:t>Ei lasten ulottuville eikä näkyville</w:t>
      </w:r>
    </w:p>
    <w:p w14:paraId="2512EF4D" w14:textId="77777777" w:rsidR="003B7027" w:rsidRPr="00BD3C40" w:rsidRDefault="003B7027" w:rsidP="006E5F9A">
      <w:pPr>
        <w:pStyle w:val="a4"/>
        <w:tabs>
          <w:tab w:val="left" w:pos="540"/>
        </w:tabs>
        <w:ind w:left="0"/>
      </w:pPr>
    </w:p>
    <w:p w14:paraId="62732294" w14:textId="77777777" w:rsidR="00917CCB" w:rsidRPr="00BD3C40" w:rsidRDefault="00917CCB" w:rsidP="006E5F9A">
      <w:pPr>
        <w:pStyle w:val="a4"/>
        <w:tabs>
          <w:tab w:val="left" w:pos="540"/>
        </w:tabs>
        <w:ind w:left="0"/>
      </w:pPr>
    </w:p>
    <w:p w14:paraId="76027E26"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7.</w:t>
      </w:r>
      <w:r w:rsidRPr="00CA43F5">
        <w:rPr>
          <w:b/>
          <w:lang w:val="fi-FI"/>
        </w:rPr>
        <w:tab/>
        <w:t>MUU ERITYISVAROITUS (MUUT ERITYISVAROITUKSET), JOS TARPEEN</w:t>
      </w:r>
    </w:p>
    <w:p w14:paraId="58AE77B5" w14:textId="77777777" w:rsidR="003B7027" w:rsidRPr="00BD3C40" w:rsidRDefault="003B7027" w:rsidP="006E5F9A">
      <w:pPr>
        <w:pStyle w:val="a4"/>
        <w:tabs>
          <w:tab w:val="left" w:pos="540"/>
        </w:tabs>
        <w:ind w:left="0"/>
      </w:pPr>
    </w:p>
    <w:p w14:paraId="383336FE" w14:textId="77777777" w:rsidR="003B7027" w:rsidRPr="00BD3C40" w:rsidRDefault="00296A74" w:rsidP="006E5F9A">
      <w:pPr>
        <w:pStyle w:val="a4"/>
        <w:tabs>
          <w:tab w:val="left" w:pos="540"/>
        </w:tabs>
        <w:ind w:left="0"/>
      </w:pPr>
      <w:r w:rsidRPr="00BD3C40">
        <w:t>Poista kynä ulkopakkauksesta ja anna kynän lämmetä huoneenlämmössä 45 minuutin ajan ennen käyttöä</w:t>
      </w:r>
    </w:p>
    <w:p w14:paraId="1FD178C1" w14:textId="77777777" w:rsidR="003B7027" w:rsidRPr="00BD3C40" w:rsidRDefault="003B7027" w:rsidP="006E5F9A">
      <w:pPr>
        <w:pStyle w:val="a4"/>
        <w:tabs>
          <w:tab w:val="left" w:pos="540"/>
        </w:tabs>
        <w:ind w:left="0"/>
      </w:pPr>
    </w:p>
    <w:p w14:paraId="42124CB8" w14:textId="77777777" w:rsidR="00917CCB" w:rsidRPr="00BD3C40" w:rsidRDefault="00917CCB" w:rsidP="006E5F9A">
      <w:pPr>
        <w:pStyle w:val="a4"/>
        <w:tabs>
          <w:tab w:val="left" w:pos="540"/>
        </w:tabs>
        <w:ind w:left="0"/>
      </w:pPr>
    </w:p>
    <w:p w14:paraId="5316090E"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8.</w:t>
      </w:r>
      <w:r w:rsidRPr="00CA43F5">
        <w:rPr>
          <w:b/>
          <w:lang w:val="fi-FI"/>
        </w:rPr>
        <w:tab/>
        <w:t>VIIMEINEN KÄYTTÖPÄIVÄMÄÄRÄ</w:t>
      </w:r>
    </w:p>
    <w:p w14:paraId="0F66529A" w14:textId="77777777" w:rsidR="003B7027" w:rsidRPr="00BD3C40" w:rsidRDefault="003B7027" w:rsidP="006E5F9A">
      <w:pPr>
        <w:pStyle w:val="a4"/>
        <w:tabs>
          <w:tab w:val="left" w:pos="540"/>
        </w:tabs>
        <w:ind w:left="0"/>
      </w:pPr>
    </w:p>
    <w:p w14:paraId="637BA2BA" w14:textId="77777777" w:rsidR="003B7027" w:rsidRPr="00BD3C40" w:rsidRDefault="00296A74" w:rsidP="006E5F9A">
      <w:pPr>
        <w:pStyle w:val="a4"/>
        <w:tabs>
          <w:tab w:val="left" w:pos="540"/>
        </w:tabs>
        <w:ind w:left="0"/>
      </w:pPr>
      <w:r w:rsidRPr="00BD3C40">
        <w:t>Käyt. viim.</w:t>
      </w:r>
    </w:p>
    <w:p w14:paraId="191EB009" w14:textId="77777777" w:rsidR="00917CCB" w:rsidRPr="00BD3C40" w:rsidRDefault="00917CCB" w:rsidP="006E5F9A">
      <w:pPr>
        <w:pStyle w:val="a4"/>
        <w:tabs>
          <w:tab w:val="left" w:pos="540"/>
        </w:tabs>
        <w:ind w:left="0"/>
      </w:pPr>
    </w:p>
    <w:p w14:paraId="4954036A" w14:textId="77777777" w:rsidR="00917CCB" w:rsidRPr="00BD3C40" w:rsidRDefault="00917CCB" w:rsidP="006E5F9A">
      <w:pPr>
        <w:pStyle w:val="a4"/>
        <w:tabs>
          <w:tab w:val="left" w:pos="540"/>
        </w:tabs>
        <w:ind w:left="0"/>
      </w:pPr>
    </w:p>
    <w:p w14:paraId="3713D18D"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9.</w:t>
      </w:r>
      <w:r w:rsidRPr="00CA43F5">
        <w:rPr>
          <w:b/>
          <w:lang w:val="fi-FI"/>
        </w:rPr>
        <w:tab/>
        <w:t>ERITYISET SÄILYTYSOLOSUHTEET</w:t>
      </w:r>
    </w:p>
    <w:p w14:paraId="0E5AD21C" w14:textId="77777777" w:rsidR="003B7027" w:rsidRPr="00BD3C40" w:rsidRDefault="003B7027" w:rsidP="006E5F9A">
      <w:pPr>
        <w:pStyle w:val="a4"/>
        <w:tabs>
          <w:tab w:val="left" w:pos="540"/>
        </w:tabs>
        <w:ind w:left="0"/>
      </w:pPr>
    </w:p>
    <w:p w14:paraId="4D3B4560" w14:textId="77777777" w:rsidR="00917CCB" w:rsidRPr="00BD3C40" w:rsidRDefault="00296A74" w:rsidP="006E5F9A">
      <w:pPr>
        <w:pStyle w:val="a4"/>
        <w:tabs>
          <w:tab w:val="left" w:pos="540"/>
        </w:tabs>
        <w:ind w:left="0"/>
      </w:pPr>
      <w:r w:rsidRPr="00BD3C40">
        <w:t>Säilytä jääkaapissa</w:t>
      </w:r>
    </w:p>
    <w:p w14:paraId="75E15F78" w14:textId="77777777" w:rsidR="003B7027" w:rsidRPr="00BD3C40" w:rsidRDefault="00296A74" w:rsidP="006E5F9A">
      <w:pPr>
        <w:pStyle w:val="a4"/>
        <w:tabs>
          <w:tab w:val="left" w:pos="540"/>
        </w:tabs>
        <w:ind w:left="0"/>
      </w:pPr>
      <w:r w:rsidRPr="00BD3C40">
        <w:t>Ei saa jäätyä</w:t>
      </w:r>
    </w:p>
    <w:p w14:paraId="62187880" w14:textId="7124386C" w:rsidR="003B7027" w:rsidRPr="00BD3C40" w:rsidRDefault="00296A74" w:rsidP="006E5F9A">
      <w:pPr>
        <w:pStyle w:val="a4"/>
        <w:tabs>
          <w:tab w:val="left" w:pos="540"/>
        </w:tabs>
        <w:ind w:left="0"/>
      </w:pPr>
      <w:r w:rsidRPr="00BD3C40">
        <w:t xml:space="preserve">Kun esitäytetty kynä on otettu jääkaapista, se voidaan säilyttää enintään 30 °C:n lämpötilassa korkeintaan </w:t>
      </w:r>
      <w:r w:rsidR="00DC663F">
        <w:t>3</w:t>
      </w:r>
      <w:r w:rsidRPr="00BD3C40">
        <w:t xml:space="preserve"> viikkoa</w:t>
      </w:r>
    </w:p>
    <w:p w14:paraId="5FD3B4B8" w14:textId="77777777" w:rsidR="003B7027" w:rsidRPr="00BD3C40" w:rsidRDefault="00296A74" w:rsidP="006E5F9A">
      <w:pPr>
        <w:pStyle w:val="a4"/>
        <w:tabs>
          <w:tab w:val="left" w:pos="540"/>
        </w:tabs>
        <w:ind w:left="0"/>
      </w:pPr>
      <w:r w:rsidRPr="00BD3C40">
        <w:t>Pidä esitäytetty kynä ulkopakkauksessa. Herkkä valolle. Herkkä kosteudelle</w:t>
      </w:r>
    </w:p>
    <w:p w14:paraId="57C8D819" w14:textId="77777777" w:rsidR="003B7027" w:rsidRPr="00BD3C40" w:rsidRDefault="003B7027" w:rsidP="006E5F9A">
      <w:pPr>
        <w:pStyle w:val="a4"/>
        <w:tabs>
          <w:tab w:val="left" w:pos="540"/>
        </w:tabs>
        <w:ind w:left="0"/>
      </w:pPr>
    </w:p>
    <w:p w14:paraId="4F172E71" w14:textId="77777777" w:rsidR="00917CCB" w:rsidRPr="00BD3C40" w:rsidRDefault="00917CCB" w:rsidP="006E5F9A">
      <w:pPr>
        <w:pStyle w:val="a4"/>
        <w:tabs>
          <w:tab w:val="left" w:pos="540"/>
        </w:tabs>
        <w:ind w:left="0"/>
      </w:pPr>
    </w:p>
    <w:p w14:paraId="475D8C74"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10.</w:t>
      </w:r>
      <w:r w:rsidRPr="00CA43F5">
        <w:rPr>
          <w:b/>
          <w:lang w:val="fi-FI"/>
        </w:rPr>
        <w:tab/>
        <w:t>ERITYISET VAROTOIMET KÄYTTÄMÄTTÖMIEN LÄÄKEVALMISTEIDEN TAI NIISTÄ PERÄISIN OLEVAN JÄTEMATERIAALIN HÄVITTÄMISEKSI, JOS TARPEEN</w:t>
      </w:r>
    </w:p>
    <w:p w14:paraId="6AE20B17" w14:textId="77777777" w:rsidR="003B7027" w:rsidRPr="00BD3C40" w:rsidRDefault="003B7027" w:rsidP="006E5F9A">
      <w:pPr>
        <w:pStyle w:val="a4"/>
        <w:tabs>
          <w:tab w:val="left" w:pos="540"/>
        </w:tabs>
        <w:ind w:left="0"/>
      </w:pPr>
    </w:p>
    <w:p w14:paraId="7CD06019" w14:textId="77777777" w:rsidR="003B7027" w:rsidRPr="00BD3C40" w:rsidRDefault="003B7027" w:rsidP="006E5F9A">
      <w:pPr>
        <w:pStyle w:val="a4"/>
        <w:tabs>
          <w:tab w:val="left" w:pos="540"/>
        </w:tabs>
        <w:ind w:left="0"/>
      </w:pPr>
    </w:p>
    <w:p w14:paraId="61038AE7"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11.</w:t>
      </w:r>
      <w:r w:rsidRPr="00CA43F5">
        <w:rPr>
          <w:b/>
          <w:lang w:val="fi-FI"/>
        </w:rPr>
        <w:tab/>
        <w:t>MYYNTILUVAN HALTIJAN NIMI JA OSOITE</w:t>
      </w:r>
    </w:p>
    <w:p w14:paraId="5FF4A871" w14:textId="77777777" w:rsidR="003B7027" w:rsidRPr="00BD3C40" w:rsidRDefault="003B7027" w:rsidP="006E5F9A">
      <w:pPr>
        <w:pStyle w:val="a4"/>
        <w:tabs>
          <w:tab w:val="left" w:pos="540"/>
        </w:tabs>
        <w:ind w:left="0"/>
      </w:pPr>
    </w:p>
    <w:p w14:paraId="65FAAA41" w14:textId="77777777" w:rsidR="00DC663F" w:rsidRPr="00CA43F5" w:rsidRDefault="00DC663F" w:rsidP="00DC663F">
      <w:pPr>
        <w:keepNext/>
        <w:rPr>
          <w:lang w:val="fi-FI"/>
        </w:rPr>
      </w:pPr>
      <w:r w:rsidRPr="00CA43F5">
        <w:rPr>
          <w:lang w:val="fi-FI"/>
        </w:rPr>
        <w:t xml:space="preserve">Celltrion Healthcare Hungary Kft. </w:t>
      </w:r>
    </w:p>
    <w:p w14:paraId="5C625AE0" w14:textId="77777777" w:rsidR="00DC663F" w:rsidRPr="00840707" w:rsidRDefault="00DC663F" w:rsidP="00DC663F">
      <w:pPr>
        <w:keepNext/>
      </w:pPr>
      <w:r w:rsidRPr="00840707">
        <w:t>1062 Budapest</w:t>
      </w:r>
    </w:p>
    <w:p w14:paraId="4445265B" w14:textId="77777777" w:rsidR="00DC663F" w:rsidRPr="00840707" w:rsidRDefault="00DC663F" w:rsidP="00DC663F">
      <w:pPr>
        <w:keepNext/>
      </w:pPr>
      <w:r w:rsidRPr="00840707">
        <w:t xml:space="preserve">Váci </w:t>
      </w:r>
      <w:proofErr w:type="spellStart"/>
      <w:r w:rsidRPr="00840707">
        <w:t>út</w:t>
      </w:r>
      <w:proofErr w:type="spellEnd"/>
      <w:r w:rsidRPr="00840707">
        <w:t xml:space="preserve"> 1-3. </w:t>
      </w:r>
      <w:proofErr w:type="spellStart"/>
      <w:r w:rsidRPr="00840707">
        <w:t>WestEnd</w:t>
      </w:r>
      <w:proofErr w:type="spellEnd"/>
      <w:r w:rsidRPr="00840707">
        <w:t xml:space="preserve"> Office Building B </w:t>
      </w:r>
      <w:proofErr w:type="spellStart"/>
      <w:r w:rsidRPr="00840707">
        <w:t>torony</w:t>
      </w:r>
      <w:proofErr w:type="spellEnd"/>
    </w:p>
    <w:p w14:paraId="3D47C867" w14:textId="013EE378" w:rsidR="003B7027" w:rsidRPr="00BD3C40" w:rsidRDefault="00DC663F" w:rsidP="006E5F9A">
      <w:pPr>
        <w:pStyle w:val="a4"/>
        <w:tabs>
          <w:tab w:val="left" w:pos="540"/>
        </w:tabs>
        <w:ind w:left="0"/>
      </w:pPr>
      <w:r>
        <w:t>Unkari</w:t>
      </w:r>
    </w:p>
    <w:p w14:paraId="05DFFF46" w14:textId="77777777" w:rsidR="003B7027" w:rsidRPr="00BD3C40" w:rsidRDefault="003B7027" w:rsidP="006E5F9A">
      <w:pPr>
        <w:pStyle w:val="a4"/>
        <w:tabs>
          <w:tab w:val="left" w:pos="540"/>
        </w:tabs>
        <w:ind w:left="0"/>
      </w:pPr>
    </w:p>
    <w:p w14:paraId="7D50CA76" w14:textId="77777777" w:rsidR="00917CCB" w:rsidRPr="00BD3C40" w:rsidRDefault="00917CCB" w:rsidP="006E5F9A">
      <w:pPr>
        <w:pStyle w:val="a4"/>
        <w:tabs>
          <w:tab w:val="left" w:pos="540"/>
        </w:tabs>
        <w:ind w:left="0"/>
      </w:pPr>
    </w:p>
    <w:p w14:paraId="1F740D40"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12.</w:t>
      </w:r>
      <w:r w:rsidRPr="00CA43F5">
        <w:rPr>
          <w:b/>
          <w:lang w:val="fi-FI"/>
        </w:rPr>
        <w:tab/>
        <w:t>MYYNTILUVAN NUMERO(T)</w:t>
      </w:r>
    </w:p>
    <w:p w14:paraId="422D17CF" w14:textId="77777777" w:rsidR="003B7027" w:rsidRPr="00BD3C40" w:rsidRDefault="003B7027" w:rsidP="006E5F9A">
      <w:pPr>
        <w:pStyle w:val="a4"/>
        <w:tabs>
          <w:tab w:val="left" w:pos="540"/>
        </w:tabs>
        <w:ind w:left="0"/>
      </w:pPr>
    </w:p>
    <w:p w14:paraId="56F72595" w14:textId="48B998B9" w:rsidR="003B7027" w:rsidRPr="00BD3C40" w:rsidRDefault="00DC663F" w:rsidP="006E5F9A">
      <w:pPr>
        <w:pStyle w:val="a4"/>
        <w:tabs>
          <w:tab w:val="left" w:pos="540"/>
        </w:tabs>
        <w:ind w:left="0"/>
      </w:pPr>
      <w:r w:rsidRPr="00840707">
        <w:t>EU/</w:t>
      </w:r>
      <w:r w:rsidR="00DD06B1" w:rsidRPr="00DA3B0A">
        <w:t>1/24/1896/012</w:t>
      </w:r>
      <w:r w:rsidR="00DD06B1">
        <w:t xml:space="preserve"> 12 (3 x 4) esitäytettyä kynää (monipakkaus)</w:t>
      </w:r>
    </w:p>
    <w:p w14:paraId="6269A69C" w14:textId="77777777" w:rsidR="003B7027" w:rsidRPr="00BD3C40" w:rsidRDefault="003B7027" w:rsidP="006E5F9A">
      <w:pPr>
        <w:pStyle w:val="a4"/>
        <w:tabs>
          <w:tab w:val="left" w:pos="540"/>
        </w:tabs>
        <w:ind w:left="0"/>
      </w:pPr>
    </w:p>
    <w:p w14:paraId="0A299494" w14:textId="77777777" w:rsidR="00917CCB" w:rsidRPr="00BD3C40" w:rsidRDefault="00917CCB" w:rsidP="006E5F9A">
      <w:pPr>
        <w:pStyle w:val="a4"/>
        <w:tabs>
          <w:tab w:val="left" w:pos="540"/>
        </w:tabs>
        <w:ind w:left="0"/>
      </w:pPr>
    </w:p>
    <w:p w14:paraId="7835A670"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 w:val="left" w:pos="724"/>
        </w:tabs>
        <w:spacing w:line="252" w:lineRule="exact"/>
        <w:rPr>
          <w:b/>
          <w:lang w:val="fi-FI"/>
        </w:rPr>
      </w:pPr>
      <w:r w:rsidRPr="00CA43F5">
        <w:rPr>
          <w:b/>
          <w:lang w:val="fi-FI"/>
        </w:rPr>
        <w:t>13.</w:t>
      </w:r>
      <w:r w:rsidRPr="00CA43F5">
        <w:rPr>
          <w:b/>
          <w:lang w:val="fi-FI"/>
        </w:rPr>
        <w:tab/>
        <w:t>ERÄNUMERO</w:t>
      </w:r>
    </w:p>
    <w:p w14:paraId="3D3F0B20" w14:textId="77777777" w:rsidR="003B7027" w:rsidRPr="00BD3C40" w:rsidRDefault="003B7027" w:rsidP="006E5F9A">
      <w:pPr>
        <w:pStyle w:val="a4"/>
        <w:tabs>
          <w:tab w:val="left" w:pos="540"/>
        </w:tabs>
        <w:ind w:left="0"/>
      </w:pPr>
    </w:p>
    <w:p w14:paraId="369AAEF4" w14:textId="1324BA57" w:rsidR="003B7027" w:rsidRPr="00BD3C40" w:rsidRDefault="00381F5D" w:rsidP="006E5F9A">
      <w:pPr>
        <w:pStyle w:val="a4"/>
        <w:tabs>
          <w:tab w:val="left" w:pos="540"/>
        </w:tabs>
        <w:ind w:left="0"/>
      </w:pPr>
      <w:r>
        <w:t>Erä</w:t>
      </w:r>
    </w:p>
    <w:p w14:paraId="6736A8CB" w14:textId="77777777" w:rsidR="003B7027" w:rsidRPr="00BD3C40" w:rsidRDefault="003B7027" w:rsidP="006E5F9A">
      <w:pPr>
        <w:pStyle w:val="a4"/>
        <w:tabs>
          <w:tab w:val="left" w:pos="540"/>
        </w:tabs>
        <w:ind w:left="0"/>
      </w:pPr>
    </w:p>
    <w:p w14:paraId="36F67200" w14:textId="77777777" w:rsidR="00917CCB" w:rsidRPr="00BD3C40" w:rsidRDefault="00917CCB" w:rsidP="006E5F9A">
      <w:pPr>
        <w:pStyle w:val="a4"/>
        <w:tabs>
          <w:tab w:val="left" w:pos="540"/>
        </w:tabs>
        <w:ind w:left="0"/>
      </w:pPr>
    </w:p>
    <w:p w14:paraId="27804650"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14.</w:t>
      </w:r>
      <w:r w:rsidRPr="00CA43F5">
        <w:rPr>
          <w:b/>
          <w:lang w:val="fi-FI"/>
        </w:rPr>
        <w:tab/>
        <w:t>YLEINEN TOIMITTAMISLUOKITTELU</w:t>
      </w:r>
    </w:p>
    <w:p w14:paraId="7F163C82" w14:textId="77777777" w:rsidR="003B7027" w:rsidRPr="00BD3C40" w:rsidRDefault="003B7027" w:rsidP="006E5F9A">
      <w:pPr>
        <w:pStyle w:val="a4"/>
        <w:tabs>
          <w:tab w:val="left" w:pos="540"/>
        </w:tabs>
        <w:ind w:left="0"/>
      </w:pPr>
    </w:p>
    <w:p w14:paraId="131C3214" w14:textId="77777777" w:rsidR="003B7027" w:rsidRPr="00BD3C40" w:rsidRDefault="003B7027" w:rsidP="006E5F9A">
      <w:pPr>
        <w:pStyle w:val="a4"/>
        <w:tabs>
          <w:tab w:val="left" w:pos="540"/>
        </w:tabs>
        <w:ind w:left="0"/>
      </w:pPr>
    </w:p>
    <w:p w14:paraId="3BB9DDA4"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15.</w:t>
      </w:r>
      <w:r w:rsidRPr="00CA43F5">
        <w:rPr>
          <w:b/>
          <w:lang w:val="fi-FI"/>
        </w:rPr>
        <w:tab/>
        <w:t>KÄYTTÖOHJEET</w:t>
      </w:r>
    </w:p>
    <w:p w14:paraId="6478B524" w14:textId="77777777" w:rsidR="003B7027" w:rsidRPr="00BD3C40" w:rsidRDefault="003B7027" w:rsidP="006E5F9A">
      <w:pPr>
        <w:pStyle w:val="a4"/>
        <w:tabs>
          <w:tab w:val="left" w:pos="540"/>
        </w:tabs>
        <w:ind w:left="0"/>
      </w:pPr>
    </w:p>
    <w:p w14:paraId="05CA1ABF" w14:textId="77777777" w:rsidR="003B7027" w:rsidRPr="00BD3C40" w:rsidRDefault="003B7027" w:rsidP="006E5F9A">
      <w:pPr>
        <w:pStyle w:val="a4"/>
        <w:tabs>
          <w:tab w:val="left" w:pos="540"/>
        </w:tabs>
        <w:ind w:left="0"/>
      </w:pPr>
    </w:p>
    <w:p w14:paraId="3570BDBF"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16.</w:t>
      </w:r>
      <w:r w:rsidRPr="00CA43F5">
        <w:rPr>
          <w:b/>
          <w:lang w:val="fi-FI"/>
        </w:rPr>
        <w:tab/>
        <w:t>TIEDOT PISTEKIRJOITUKSELLA</w:t>
      </w:r>
    </w:p>
    <w:p w14:paraId="412C103E" w14:textId="77777777" w:rsidR="003B7027" w:rsidRPr="00BD3C40" w:rsidRDefault="003B7027" w:rsidP="006E5F9A">
      <w:pPr>
        <w:pStyle w:val="a4"/>
        <w:tabs>
          <w:tab w:val="left" w:pos="540"/>
        </w:tabs>
        <w:ind w:left="0"/>
      </w:pPr>
    </w:p>
    <w:p w14:paraId="07B5064E" w14:textId="77777777" w:rsidR="00347F1E" w:rsidRDefault="00347F1E" w:rsidP="00347F1E">
      <w:pPr>
        <w:keepNext/>
        <w:rPr>
          <w:lang w:val="fi-FI"/>
        </w:rPr>
      </w:pPr>
      <w:r>
        <w:rPr>
          <w:lang w:val="fi-FI"/>
        </w:rPr>
        <w:t>A</w:t>
      </w:r>
      <w:r w:rsidRPr="000914C2">
        <w:rPr>
          <w:lang w:val="fi-FI"/>
        </w:rPr>
        <w:t>vtozma 162</w:t>
      </w:r>
      <w:r>
        <w:rPr>
          <w:lang w:val="fi-FI"/>
        </w:rPr>
        <w:t> </w:t>
      </w:r>
      <w:r w:rsidRPr="000914C2">
        <w:rPr>
          <w:lang w:val="fi-FI"/>
        </w:rPr>
        <w:t>mg</w:t>
      </w:r>
    </w:p>
    <w:p w14:paraId="6002F8A7" w14:textId="77777777" w:rsidR="003B7027" w:rsidRPr="00BD3C40" w:rsidRDefault="003B7027" w:rsidP="006E5F9A">
      <w:pPr>
        <w:pStyle w:val="a4"/>
        <w:tabs>
          <w:tab w:val="left" w:pos="540"/>
        </w:tabs>
        <w:ind w:left="0"/>
      </w:pPr>
    </w:p>
    <w:p w14:paraId="6D0A0611" w14:textId="77777777" w:rsidR="00917CCB" w:rsidRPr="00BD3C40" w:rsidRDefault="00917CCB" w:rsidP="006E5F9A">
      <w:pPr>
        <w:pStyle w:val="a4"/>
        <w:tabs>
          <w:tab w:val="left" w:pos="540"/>
        </w:tabs>
        <w:ind w:left="0"/>
      </w:pPr>
    </w:p>
    <w:p w14:paraId="3497AD7E"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17.</w:t>
      </w:r>
      <w:r w:rsidRPr="00CA43F5">
        <w:rPr>
          <w:b/>
          <w:lang w:val="fi-FI"/>
        </w:rPr>
        <w:tab/>
        <w:t>YKSILÖLLINEN TUNNISTE – 2D-VIIVAKOODI</w:t>
      </w:r>
    </w:p>
    <w:p w14:paraId="39E7833B" w14:textId="77777777" w:rsidR="003B7027" w:rsidRPr="00BD3C40" w:rsidRDefault="003B7027" w:rsidP="006E5F9A">
      <w:pPr>
        <w:pStyle w:val="a4"/>
        <w:tabs>
          <w:tab w:val="left" w:pos="540"/>
        </w:tabs>
        <w:ind w:left="0"/>
      </w:pPr>
    </w:p>
    <w:p w14:paraId="01A23AB7" w14:textId="77777777" w:rsidR="003B7027" w:rsidRPr="00BD3C40" w:rsidRDefault="00296A74" w:rsidP="006E5F9A">
      <w:pPr>
        <w:pStyle w:val="a4"/>
        <w:tabs>
          <w:tab w:val="left" w:pos="540"/>
        </w:tabs>
        <w:ind w:left="0"/>
      </w:pPr>
      <w:r w:rsidRPr="003F07A8">
        <w:rPr>
          <w:color w:val="000000"/>
          <w:highlight w:val="lightGray"/>
          <w:shd w:val="clear" w:color="auto" w:fill="C1C1C1"/>
        </w:rPr>
        <w:t>&lt;2D-viivakoodi, joka sisältää yksilöllisen tunnisteen.&gt;</w:t>
      </w:r>
    </w:p>
    <w:p w14:paraId="47B32E82" w14:textId="77777777" w:rsidR="003B7027" w:rsidRPr="00BD3C40" w:rsidRDefault="003B7027" w:rsidP="006E5F9A">
      <w:pPr>
        <w:pStyle w:val="a4"/>
        <w:tabs>
          <w:tab w:val="left" w:pos="540"/>
        </w:tabs>
        <w:ind w:left="0"/>
      </w:pPr>
    </w:p>
    <w:p w14:paraId="400C1BA0" w14:textId="77777777" w:rsidR="00917CCB" w:rsidRPr="00BD3C40" w:rsidRDefault="00917CCB" w:rsidP="006E5F9A">
      <w:pPr>
        <w:pStyle w:val="a4"/>
        <w:tabs>
          <w:tab w:val="left" w:pos="540"/>
        </w:tabs>
        <w:ind w:left="0"/>
      </w:pPr>
    </w:p>
    <w:p w14:paraId="2B8CABBB"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18.</w:t>
      </w:r>
      <w:r w:rsidRPr="00CA43F5">
        <w:rPr>
          <w:b/>
          <w:lang w:val="fi-FI"/>
        </w:rPr>
        <w:tab/>
        <w:t>YKSILÖLLINEN TUNNISTE – LUETTAVISSA OLEVAT TIEDOT</w:t>
      </w:r>
    </w:p>
    <w:p w14:paraId="4EA50045" w14:textId="77777777" w:rsidR="003B7027" w:rsidRPr="00BD3C40" w:rsidRDefault="003B7027" w:rsidP="006E5F9A">
      <w:pPr>
        <w:pStyle w:val="a4"/>
        <w:tabs>
          <w:tab w:val="left" w:pos="540"/>
        </w:tabs>
        <w:ind w:left="0"/>
      </w:pPr>
    </w:p>
    <w:p w14:paraId="2B084104" w14:textId="77777777" w:rsidR="00917CCB" w:rsidRPr="00BD3C40" w:rsidRDefault="00296A74" w:rsidP="006E5F9A">
      <w:pPr>
        <w:pStyle w:val="a4"/>
        <w:tabs>
          <w:tab w:val="left" w:pos="540"/>
        </w:tabs>
        <w:ind w:left="0"/>
      </w:pPr>
      <w:r w:rsidRPr="00BD3C40">
        <w:t>PC</w:t>
      </w:r>
    </w:p>
    <w:p w14:paraId="3BF51B83" w14:textId="77777777" w:rsidR="00C31CF7" w:rsidRDefault="00296A74" w:rsidP="006E5F9A">
      <w:pPr>
        <w:pStyle w:val="a4"/>
        <w:tabs>
          <w:tab w:val="left" w:pos="540"/>
        </w:tabs>
        <w:ind w:left="0"/>
        <w:rPr>
          <w:rFonts w:eastAsia="맑은 고딕"/>
          <w:lang w:eastAsia="ko-KR"/>
        </w:rPr>
      </w:pPr>
      <w:r w:rsidRPr="00BD3C40">
        <w:t>SN</w:t>
      </w:r>
    </w:p>
    <w:p w14:paraId="07DACBBB" w14:textId="7E217CE5" w:rsidR="00917CCB" w:rsidRPr="00BD3C40" w:rsidRDefault="00C31CF7" w:rsidP="006E5F9A">
      <w:pPr>
        <w:pStyle w:val="a4"/>
        <w:tabs>
          <w:tab w:val="left" w:pos="540"/>
        </w:tabs>
        <w:ind w:left="0"/>
      </w:pPr>
      <w:r w:rsidRPr="003F07A8">
        <w:rPr>
          <w:rFonts w:eastAsia="맑은 고딕"/>
          <w:highlight w:val="lightGray"/>
          <w:lang w:eastAsia="ko-KR"/>
        </w:rPr>
        <w:t>NN</w:t>
      </w:r>
    </w:p>
    <w:p w14:paraId="2B6DCCAC" w14:textId="14C341E9" w:rsidR="0026483C" w:rsidRPr="00CA43F5" w:rsidRDefault="00917CCB" w:rsidP="00FA14E4">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CA43F5">
        <w:rPr>
          <w:lang w:val="fi-FI"/>
        </w:rPr>
        <w:br w:type="page"/>
      </w:r>
      <w:r w:rsidR="0026483C" w:rsidRPr="00CA43F5">
        <w:rPr>
          <w:b/>
          <w:lang w:val="fi-FI"/>
        </w:rPr>
        <w:lastRenderedPageBreak/>
        <w:t>ULKOPAKKAUKSESSA ON OLTAVA SEURAAVAT MERKINNÄT</w:t>
      </w:r>
    </w:p>
    <w:p w14:paraId="2E51B030" w14:textId="77777777" w:rsidR="0026483C" w:rsidRPr="00BD3C40" w:rsidRDefault="0026483C" w:rsidP="00FA14E4">
      <w:pPr>
        <w:pStyle w:val="a4"/>
        <w:pBdr>
          <w:top w:val="single" w:sz="4" w:space="1" w:color="000000"/>
          <w:left w:val="single" w:sz="4" w:space="4" w:color="000000"/>
          <w:bottom w:val="single" w:sz="4" w:space="1" w:color="000000"/>
          <w:right w:val="single" w:sz="4" w:space="4" w:color="000000"/>
        </w:pBdr>
        <w:tabs>
          <w:tab w:val="left" w:pos="540"/>
        </w:tabs>
        <w:ind w:left="0"/>
        <w:rPr>
          <w:b/>
        </w:rPr>
      </w:pPr>
    </w:p>
    <w:p w14:paraId="0EE0E2C7" w14:textId="77777777" w:rsidR="0026483C" w:rsidRPr="00CA43F5" w:rsidRDefault="0026483C" w:rsidP="00FA14E4">
      <w:pPr>
        <w:pBdr>
          <w:top w:val="single" w:sz="4" w:space="1" w:color="000000"/>
          <w:left w:val="single" w:sz="4" w:space="4" w:color="000000"/>
          <w:bottom w:val="single" w:sz="4" w:space="1" w:color="000000"/>
          <w:right w:val="single" w:sz="4" w:space="4" w:color="000000"/>
        </w:pBdr>
        <w:tabs>
          <w:tab w:val="left" w:pos="540"/>
        </w:tabs>
        <w:rPr>
          <w:b/>
          <w:lang w:val="fi-FI"/>
        </w:rPr>
      </w:pPr>
      <w:r w:rsidRPr="00CA43F5">
        <w:rPr>
          <w:b/>
          <w:lang w:val="fi-FI"/>
        </w:rPr>
        <w:t>ESITÄYTETYN KYNÄN KOTELO (EI BLUE BOXIA) – Monipakkaus</w:t>
      </w:r>
    </w:p>
    <w:p w14:paraId="6468AEC1" w14:textId="77777777" w:rsidR="003B7027" w:rsidRPr="00BD3C40" w:rsidRDefault="003B7027" w:rsidP="006E5F9A">
      <w:pPr>
        <w:pStyle w:val="a4"/>
        <w:tabs>
          <w:tab w:val="left" w:pos="540"/>
        </w:tabs>
        <w:ind w:left="0"/>
      </w:pPr>
    </w:p>
    <w:p w14:paraId="1F050060" w14:textId="77777777" w:rsidR="00997012" w:rsidRPr="00BD3C40" w:rsidRDefault="00997012" w:rsidP="006E5F9A">
      <w:pPr>
        <w:pStyle w:val="a4"/>
        <w:tabs>
          <w:tab w:val="left" w:pos="540"/>
        </w:tabs>
        <w:ind w:left="0"/>
      </w:pPr>
    </w:p>
    <w:p w14:paraId="1DEC29AF"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w:t>
      </w:r>
      <w:r w:rsidRPr="00CA43F5">
        <w:rPr>
          <w:b/>
          <w:lang w:val="fi-FI"/>
        </w:rPr>
        <w:tab/>
        <w:t>LÄÄKEVALMISTEEN NIMI</w:t>
      </w:r>
    </w:p>
    <w:p w14:paraId="0807EB01" w14:textId="77777777" w:rsidR="003B7027" w:rsidRPr="00BD3C40" w:rsidRDefault="003B7027" w:rsidP="006E5F9A">
      <w:pPr>
        <w:pStyle w:val="a4"/>
        <w:tabs>
          <w:tab w:val="left" w:pos="540"/>
        </w:tabs>
        <w:ind w:left="0"/>
      </w:pPr>
    </w:p>
    <w:p w14:paraId="32CF4355" w14:textId="0752EFAB" w:rsidR="006E5F9A" w:rsidRPr="00BD3C40" w:rsidRDefault="00DC663F" w:rsidP="006E5F9A">
      <w:pPr>
        <w:pStyle w:val="a4"/>
        <w:tabs>
          <w:tab w:val="left" w:pos="540"/>
        </w:tabs>
        <w:ind w:left="0"/>
      </w:pPr>
      <w:r>
        <w:t>Avtozma</w:t>
      </w:r>
      <w:r w:rsidRPr="00BD3C40">
        <w:t xml:space="preserve"> </w:t>
      </w:r>
      <w:r w:rsidR="00296A74" w:rsidRPr="00BD3C40">
        <w:t xml:space="preserve">162 mg injektioneste, liuos esitäytetyssä kynässä </w:t>
      </w:r>
    </w:p>
    <w:p w14:paraId="5456CFAC" w14:textId="77777777" w:rsidR="003B7027" w:rsidRPr="00BD3C40" w:rsidRDefault="00296A74" w:rsidP="006E5F9A">
      <w:pPr>
        <w:pStyle w:val="a4"/>
        <w:tabs>
          <w:tab w:val="left" w:pos="540"/>
        </w:tabs>
        <w:ind w:left="0"/>
      </w:pPr>
      <w:r w:rsidRPr="00BD3C40">
        <w:t>tosilitsumabi</w:t>
      </w:r>
    </w:p>
    <w:p w14:paraId="2169D161" w14:textId="77777777" w:rsidR="00997012" w:rsidRPr="00BD3C40" w:rsidRDefault="00997012" w:rsidP="006E5F9A">
      <w:pPr>
        <w:pStyle w:val="a4"/>
        <w:tabs>
          <w:tab w:val="left" w:pos="540"/>
        </w:tabs>
        <w:ind w:left="0"/>
      </w:pPr>
    </w:p>
    <w:p w14:paraId="73922C2F" w14:textId="77777777" w:rsidR="00997012" w:rsidRPr="00BD3C40" w:rsidRDefault="00997012" w:rsidP="006E5F9A">
      <w:pPr>
        <w:pStyle w:val="a4"/>
        <w:tabs>
          <w:tab w:val="left" w:pos="540"/>
        </w:tabs>
        <w:ind w:left="0"/>
      </w:pPr>
    </w:p>
    <w:p w14:paraId="49B5FEE2"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2.</w:t>
      </w:r>
      <w:r w:rsidRPr="00CA43F5">
        <w:rPr>
          <w:b/>
          <w:lang w:val="fi-FI"/>
        </w:rPr>
        <w:tab/>
        <w:t>VAIKUTTAVA(T) AINE(ET)</w:t>
      </w:r>
    </w:p>
    <w:p w14:paraId="66000F06" w14:textId="77777777" w:rsidR="003B7027" w:rsidRPr="00BD3C40" w:rsidRDefault="003B7027" w:rsidP="006E5F9A">
      <w:pPr>
        <w:pStyle w:val="a4"/>
        <w:tabs>
          <w:tab w:val="left" w:pos="540"/>
        </w:tabs>
        <w:ind w:left="0"/>
      </w:pPr>
    </w:p>
    <w:p w14:paraId="2B4D3ABD" w14:textId="77777777" w:rsidR="003B7027" w:rsidRPr="00BD3C40" w:rsidRDefault="00296A74" w:rsidP="006E5F9A">
      <w:pPr>
        <w:pStyle w:val="a4"/>
        <w:tabs>
          <w:tab w:val="left" w:pos="540"/>
        </w:tabs>
        <w:ind w:left="0"/>
      </w:pPr>
      <w:r w:rsidRPr="00BD3C40">
        <w:t>1 esitäytetty kynä sisältää 162 mg tosilitsumabia</w:t>
      </w:r>
    </w:p>
    <w:p w14:paraId="4CD32B2B" w14:textId="77777777" w:rsidR="003B7027" w:rsidRPr="00BD3C40" w:rsidRDefault="003B7027" w:rsidP="006E5F9A">
      <w:pPr>
        <w:pStyle w:val="a4"/>
        <w:tabs>
          <w:tab w:val="left" w:pos="540"/>
        </w:tabs>
        <w:ind w:left="0"/>
      </w:pPr>
    </w:p>
    <w:p w14:paraId="5C2BE789" w14:textId="77777777" w:rsidR="00997012" w:rsidRPr="00BD3C40" w:rsidRDefault="00997012" w:rsidP="006E5F9A">
      <w:pPr>
        <w:pStyle w:val="a4"/>
        <w:tabs>
          <w:tab w:val="left" w:pos="540"/>
        </w:tabs>
        <w:ind w:left="0"/>
      </w:pPr>
    </w:p>
    <w:p w14:paraId="1B5E6796"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3.</w:t>
      </w:r>
      <w:r w:rsidRPr="00CA43F5">
        <w:rPr>
          <w:b/>
          <w:lang w:val="fi-FI"/>
        </w:rPr>
        <w:tab/>
        <w:t>LUETTELO APUAINEISTA</w:t>
      </w:r>
    </w:p>
    <w:p w14:paraId="0FB89FCA" w14:textId="77777777" w:rsidR="003B7027" w:rsidRPr="00BD3C40" w:rsidRDefault="003B7027" w:rsidP="006E5F9A">
      <w:pPr>
        <w:pStyle w:val="a4"/>
        <w:tabs>
          <w:tab w:val="left" w:pos="540"/>
        </w:tabs>
        <w:ind w:left="0"/>
      </w:pPr>
    </w:p>
    <w:p w14:paraId="0F9FA6A6" w14:textId="75F016B8" w:rsidR="00DC663F" w:rsidRDefault="00DC663F" w:rsidP="00DC663F">
      <w:pPr>
        <w:pStyle w:val="a4"/>
        <w:tabs>
          <w:tab w:val="left" w:pos="540"/>
        </w:tabs>
        <w:ind w:left="0"/>
      </w:pPr>
      <w:r>
        <w:t>Apuaineet: L‑histidiini,</w:t>
      </w:r>
      <w:r w:rsidR="00A5656C" w:rsidRPr="00A5656C">
        <w:t xml:space="preserve"> </w:t>
      </w:r>
      <w:r w:rsidR="00C26E34" w:rsidRPr="00C26E34">
        <w:rPr>
          <w:rFonts w:eastAsia="맑은 고딕" w:hint="eastAsia"/>
          <w:lang w:eastAsia="ko-KR"/>
        </w:rPr>
        <w:t>L-histidiinimonohydrokloridimonohydraatti</w:t>
      </w:r>
      <w:r w:rsidR="00A5656C">
        <w:rPr>
          <w:rFonts w:eastAsia="맑은 고딕" w:hint="eastAsia"/>
          <w:lang w:eastAsia="ko-KR"/>
        </w:rPr>
        <w:t>,</w:t>
      </w:r>
      <w:r>
        <w:t xml:space="preserve"> L‑treoniini, L‑metioniini, polysorbaatti 80</w:t>
      </w:r>
      <w:r w:rsidR="00503985">
        <w:t>,</w:t>
      </w:r>
      <w:r>
        <w:t xml:space="preserve"> injektionesteisiin käytettävä vesi.</w:t>
      </w:r>
    </w:p>
    <w:p w14:paraId="38D6C7FF" w14:textId="290AE293" w:rsidR="003B7027" w:rsidRPr="00BD3C40" w:rsidRDefault="00DC663F" w:rsidP="00DC663F">
      <w:pPr>
        <w:pStyle w:val="a4"/>
        <w:tabs>
          <w:tab w:val="left" w:pos="540"/>
        </w:tabs>
        <w:ind w:left="0"/>
      </w:pPr>
      <w:r w:rsidRPr="0028514E">
        <w:t>Katso lisätiedot pakkausselosteesta.</w:t>
      </w:r>
    </w:p>
    <w:p w14:paraId="22C363A5" w14:textId="77777777" w:rsidR="003B7027" w:rsidRPr="00BD3C40" w:rsidRDefault="003B7027" w:rsidP="006E5F9A">
      <w:pPr>
        <w:pStyle w:val="a4"/>
        <w:tabs>
          <w:tab w:val="left" w:pos="540"/>
        </w:tabs>
        <w:ind w:left="0"/>
      </w:pPr>
    </w:p>
    <w:p w14:paraId="3CD27AE5" w14:textId="77777777" w:rsidR="00997012" w:rsidRPr="00BD3C40" w:rsidRDefault="00997012" w:rsidP="006E5F9A">
      <w:pPr>
        <w:pStyle w:val="a4"/>
        <w:tabs>
          <w:tab w:val="left" w:pos="540"/>
        </w:tabs>
        <w:ind w:left="0"/>
      </w:pPr>
    </w:p>
    <w:p w14:paraId="71C187BE"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4.</w:t>
      </w:r>
      <w:r w:rsidRPr="00CA43F5">
        <w:rPr>
          <w:b/>
          <w:lang w:val="fi-FI"/>
        </w:rPr>
        <w:tab/>
        <w:t>LÄÄKEMUOTO JA SISÄLLÖN MÄÄRÄ</w:t>
      </w:r>
    </w:p>
    <w:p w14:paraId="28817B16" w14:textId="77777777" w:rsidR="003B7027" w:rsidRPr="00BD3C40" w:rsidRDefault="003B7027" w:rsidP="006E5F9A">
      <w:pPr>
        <w:pStyle w:val="a4"/>
        <w:tabs>
          <w:tab w:val="left" w:pos="540"/>
        </w:tabs>
        <w:ind w:left="0"/>
      </w:pPr>
    </w:p>
    <w:p w14:paraId="0A5BC699" w14:textId="025424CE" w:rsidR="003B7027" w:rsidRPr="00BD3C40" w:rsidRDefault="00296A74" w:rsidP="006E5F9A">
      <w:pPr>
        <w:pStyle w:val="a4"/>
        <w:tabs>
          <w:tab w:val="left" w:pos="540"/>
        </w:tabs>
        <w:ind w:left="0"/>
      </w:pPr>
      <w:r w:rsidRPr="00BD3C40">
        <w:t>Injektioneste, liuos esitäytetyssä kynässä</w:t>
      </w:r>
    </w:p>
    <w:p w14:paraId="7DDE999F" w14:textId="77777777" w:rsidR="003B7027" w:rsidRPr="00CA43F5" w:rsidRDefault="00296A74" w:rsidP="006E5F9A">
      <w:pPr>
        <w:tabs>
          <w:tab w:val="left" w:pos="540"/>
        </w:tabs>
        <w:rPr>
          <w:lang w:val="fi-FI"/>
        </w:rPr>
      </w:pPr>
      <w:r w:rsidRPr="00CA43F5">
        <w:rPr>
          <w:lang w:val="fi-FI"/>
        </w:rPr>
        <w:t>4 esitäytettyä kynää. Monipakkauksen osa, jota ei myydä erikseen.</w:t>
      </w:r>
    </w:p>
    <w:p w14:paraId="5FB851E2" w14:textId="77777777" w:rsidR="003B7027" w:rsidRPr="00BD3C40" w:rsidRDefault="00296A74" w:rsidP="006E5F9A">
      <w:pPr>
        <w:pStyle w:val="a4"/>
        <w:tabs>
          <w:tab w:val="left" w:pos="540"/>
        </w:tabs>
        <w:ind w:left="0"/>
      </w:pPr>
      <w:r w:rsidRPr="00BD3C40">
        <w:t>162 mg/0,9 ml</w:t>
      </w:r>
    </w:p>
    <w:p w14:paraId="3D2A454F" w14:textId="77777777" w:rsidR="003B7027" w:rsidRPr="00BD3C40" w:rsidRDefault="003B7027" w:rsidP="006E5F9A">
      <w:pPr>
        <w:pStyle w:val="a4"/>
        <w:tabs>
          <w:tab w:val="left" w:pos="540"/>
        </w:tabs>
        <w:ind w:left="0"/>
      </w:pPr>
    </w:p>
    <w:p w14:paraId="19B1CB5B" w14:textId="77777777" w:rsidR="00997012" w:rsidRPr="00BD3C40" w:rsidRDefault="00997012" w:rsidP="006E5F9A">
      <w:pPr>
        <w:pStyle w:val="a4"/>
        <w:tabs>
          <w:tab w:val="left" w:pos="540"/>
        </w:tabs>
        <w:ind w:left="0"/>
      </w:pPr>
    </w:p>
    <w:p w14:paraId="54D32BDD"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5.</w:t>
      </w:r>
      <w:r w:rsidRPr="00CA43F5">
        <w:rPr>
          <w:b/>
          <w:lang w:val="fi-FI"/>
        </w:rPr>
        <w:tab/>
        <w:t>ANTOTAPA JA TARVITTAESSA ANTOREITTI (ANTOREITIT)</w:t>
      </w:r>
    </w:p>
    <w:p w14:paraId="444693E7" w14:textId="77777777" w:rsidR="003B7027" w:rsidRPr="00BD3C40" w:rsidRDefault="003B7027" w:rsidP="006E5F9A">
      <w:pPr>
        <w:pStyle w:val="a4"/>
        <w:tabs>
          <w:tab w:val="left" w:pos="540"/>
        </w:tabs>
        <w:ind w:left="0"/>
      </w:pPr>
    </w:p>
    <w:p w14:paraId="62A4DDDB" w14:textId="77777777" w:rsidR="003B7027" w:rsidRPr="00BD3C40" w:rsidRDefault="00296A74" w:rsidP="006E5F9A">
      <w:pPr>
        <w:pStyle w:val="a4"/>
        <w:tabs>
          <w:tab w:val="left" w:pos="540"/>
        </w:tabs>
        <w:ind w:left="0"/>
      </w:pPr>
      <w:r w:rsidRPr="00BD3C40">
        <w:t>Ihon alle</w:t>
      </w:r>
    </w:p>
    <w:p w14:paraId="69E00BB3" w14:textId="77777777" w:rsidR="003B7027" w:rsidRPr="00BD3C40" w:rsidRDefault="00296A74" w:rsidP="006E5F9A">
      <w:pPr>
        <w:pStyle w:val="a4"/>
        <w:tabs>
          <w:tab w:val="left" w:pos="540"/>
        </w:tabs>
        <w:ind w:left="0"/>
      </w:pPr>
      <w:r w:rsidRPr="00BD3C40">
        <w:t>Lue pakkausseloste ennen käyttöä</w:t>
      </w:r>
    </w:p>
    <w:p w14:paraId="532DB681" w14:textId="77777777" w:rsidR="003B7027" w:rsidRPr="00BD3C40" w:rsidRDefault="003B7027" w:rsidP="006E5F9A">
      <w:pPr>
        <w:pStyle w:val="a4"/>
        <w:tabs>
          <w:tab w:val="left" w:pos="540"/>
        </w:tabs>
        <w:ind w:left="0"/>
      </w:pPr>
    </w:p>
    <w:p w14:paraId="1BBF62F5" w14:textId="77777777" w:rsidR="00997012" w:rsidRPr="00BD3C40" w:rsidRDefault="00997012" w:rsidP="006E5F9A">
      <w:pPr>
        <w:pStyle w:val="a4"/>
        <w:tabs>
          <w:tab w:val="left" w:pos="540"/>
        </w:tabs>
        <w:ind w:left="0"/>
      </w:pPr>
    </w:p>
    <w:p w14:paraId="184420A8"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6.</w:t>
      </w:r>
      <w:r w:rsidRPr="00CA43F5">
        <w:rPr>
          <w:b/>
          <w:lang w:val="fi-FI"/>
        </w:rPr>
        <w:tab/>
        <w:t>ERITYISVAROITUS VALMISTEEN SÄILYTTÄMISESTÄ POISSA LASTEN ULOTTUVILTA JA NÄKYVILTÄ</w:t>
      </w:r>
    </w:p>
    <w:p w14:paraId="08A583BC" w14:textId="77777777" w:rsidR="003B7027" w:rsidRPr="00BD3C40" w:rsidRDefault="003B7027" w:rsidP="006E5F9A">
      <w:pPr>
        <w:pStyle w:val="a4"/>
        <w:tabs>
          <w:tab w:val="left" w:pos="540"/>
        </w:tabs>
        <w:ind w:left="0"/>
      </w:pPr>
    </w:p>
    <w:p w14:paraId="50BB6756" w14:textId="77777777" w:rsidR="003B7027" w:rsidRPr="00BD3C40" w:rsidRDefault="00296A74" w:rsidP="006E5F9A">
      <w:pPr>
        <w:pStyle w:val="a4"/>
        <w:tabs>
          <w:tab w:val="left" w:pos="540"/>
        </w:tabs>
        <w:ind w:left="0"/>
      </w:pPr>
      <w:r w:rsidRPr="00BD3C40">
        <w:t>Ei lasten ulottuville eikä näkyville</w:t>
      </w:r>
    </w:p>
    <w:p w14:paraId="4078363E" w14:textId="77777777" w:rsidR="003B7027" w:rsidRPr="00BD3C40" w:rsidRDefault="003B7027" w:rsidP="006E5F9A">
      <w:pPr>
        <w:pStyle w:val="a4"/>
        <w:tabs>
          <w:tab w:val="left" w:pos="540"/>
        </w:tabs>
        <w:ind w:left="0"/>
      </w:pPr>
    </w:p>
    <w:p w14:paraId="5EC5C6DB" w14:textId="77777777" w:rsidR="00997012" w:rsidRPr="00BD3C40" w:rsidRDefault="00997012" w:rsidP="006E5F9A">
      <w:pPr>
        <w:pStyle w:val="a4"/>
        <w:tabs>
          <w:tab w:val="left" w:pos="540"/>
        </w:tabs>
        <w:ind w:left="0"/>
      </w:pPr>
    </w:p>
    <w:p w14:paraId="646AB3B2"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7.</w:t>
      </w:r>
      <w:r w:rsidRPr="00CA43F5">
        <w:rPr>
          <w:b/>
          <w:lang w:val="fi-FI"/>
        </w:rPr>
        <w:tab/>
        <w:t>MUU ERITYISVAROITUS (MUUT ERITYISVAROITUKSET), JOS TARPEEN</w:t>
      </w:r>
    </w:p>
    <w:p w14:paraId="6C7CA255" w14:textId="77777777" w:rsidR="003B7027" w:rsidRPr="00BD3C40" w:rsidRDefault="003B7027" w:rsidP="006E5F9A">
      <w:pPr>
        <w:pStyle w:val="a4"/>
        <w:tabs>
          <w:tab w:val="left" w:pos="540"/>
        </w:tabs>
        <w:ind w:left="0"/>
      </w:pPr>
    </w:p>
    <w:p w14:paraId="046C7B96" w14:textId="77777777" w:rsidR="003B7027" w:rsidRPr="00BD3C40" w:rsidRDefault="00296A74" w:rsidP="006E5F9A">
      <w:pPr>
        <w:pStyle w:val="a4"/>
        <w:tabs>
          <w:tab w:val="left" w:pos="540"/>
        </w:tabs>
        <w:ind w:left="0"/>
      </w:pPr>
      <w:r w:rsidRPr="00BD3C40">
        <w:t>Poista kynä ulkopakkauksesta ja anna kynän lämmetä huoneenlämmössä 45 minuutin ajan ennen käyttöä</w:t>
      </w:r>
    </w:p>
    <w:p w14:paraId="50CDE1C3" w14:textId="77777777" w:rsidR="003B7027" w:rsidRPr="00BD3C40" w:rsidRDefault="003B7027" w:rsidP="006E5F9A">
      <w:pPr>
        <w:pStyle w:val="a4"/>
        <w:tabs>
          <w:tab w:val="left" w:pos="540"/>
        </w:tabs>
        <w:ind w:left="0"/>
      </w:pPr>
    </w:p>
    <w:p w14:paraId="055ADF7E" w14:textId="77777777" w:rsidR="00997012" w:rsidRPr="00BD3C40" w:rsidRDefault="00997012" w:rsidP="006E5F9A">
      <w:pPr>
        <w:pStyle w:val="a4"/>
        <w:tabs>
          <w:tab w:val="left" w:pos="540"/>
        </w:tabs>
        <w:ind w:left="0"/>
      </w:pPr>
    </w:p>
    <w:p w14:paraId="0A3C9C99"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8.</w:t>
      </w:r>
      <w:r w:rsidRPr="00CA43F5">
        <w:rPr>
          <w:b/>
          <w:lang w:val="fi-FI"/>
        </w:rPr>
        <w:tab/>
        <w:t>VIIMEINEN KÄYTTÖPÄIVÄMÄÄRÄ</w:t>
      </w:r>
    </w:p>
    <w:p w14:paraId="5250596C" w14:textId="77777777" w:rsidR="003B7027" w:rsidRPr="00BD3C40" w:rsidRDefault="003B7027" w:rsidP="006E5F9A">
      <w:pPr>
        <w:pStyle w:val="a4"/>
        <w:tabs>
          <w:tab w:val="left" w:pos="540"/>
        </w:tabs>
        <w:ind w:left="0"/>
      </w:pPr>
    </w:p>
    <w:p w14:paraId="6F8354C8" w14:textId="77777777" w:rsidR="003B7027" w:rsidRPr="00BD3C40" w:rsidRDefault="00296A74" w:rsidP="006E5F9A">
      <w:pPr>
        <w:pStyle w:val="a4"/>
        <w:tabs>
          <w:tab w:val="left" w:pos="540"/>
        </w:tabs>
        <w:ind w:left="0"/>
      </w:pPr>
      <w:r w:rsidRPr="00BD3C40">
        <w:t>Käyt. viim.</w:t>
      </w:r>
    </w:p>
    <w:p w14:paraId="1C58609D" w14:textId="77777777" w:rsidR="00997012" w:rsidRPr="00BD3C40" w:rsidRDefault="00997012" w:rsidP="006E5F9A">
      <w:pPr>
        <w:pStyle w:val="a4"/>
        <w:tabs>
          <w:tab w:val="left" w:pos="540"/>
        </w:tabs>
        <w:ind w:left="0"/>
      </w:pPr>
    </w:p>
    <w:p w14:paraId="057F2681" w14:textId="77777777" w:rsidR="00997012" w:rsidRPr="00BD3C40" w:rsidRDefault="00997012" w:rsidP="006E5F9A">
      <w:pPr>
        <w:pStyle w:val="a4"/>
        <w:tabs>
          <w:tab w:val="left" w:pos="540"/>
        </w:tabs>
        <w:ind w:left="0"/>
      </w:pPr>
    </w:p>
    <w:p w14:paraId="79F4D091" w14:textId="77777777" w:rsidR="0026483C" w:rsidRPr="00CA43F5" w:rsidRDefault="0026483C" w:rsidP="00785CE2">
      <w:pPr>
        <w:keepNext/>
        <w:keepLines/>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lastRenderedPageBreak/>
        <w:t>9.</w:t>
      </w:r>
      <w:r w:rsidRPr="00CA43F5">
        <w:rPr>
          <w:b/>
          <w:lang w:val="fi-FI"/>
        </w:rPr>
        <w:tab/>
        <w:t>ERITYISET SÄILYTYSOLOSUHTEET</w:t>
      </w:r>
    </w:p>
    <w:p w14:paraId="3FF2433C" w14:textId="77777777" w:rsidR="003B7027" w:rsidRPr="00BD3C40" w:rsidRDefault="003B7027" w:rsidP="00785CE2">
      <w:pPr>
        <w:pStyle w:val="a4"/>
        <w:keepNext/>
        <w:keepLines/>
        <w:tabs>
          <w:tab w:val="left" w:pos="540"/>
        </w:tabs>
        <w:ind w:left="0"/>
      </w:pPr>
    </w:p>
    <w:p w14:paraId="4C0A38AD" w14:textId="77777777" w:rsidR="00997012" w:rsidRPr="00BD3C40" w:rsidRDefault="00296A74" w:rsidP="00785CE2">
      <w:pPr>
        <w:pStyle w:val="a4"/>
        <w:keepNext/>
        <w:keepLines/>
        <w:tabs>
          <w:tab w:val="left" w:pos="540"/>
        </w:tabs>
        <w:ind w:left="0"/>
      </w:pPr>
      <w:r w:rsidRPr="00BD3C40">
        <w:t>Säilytä jääkaapissa</w:t>
      </w:r>
    </w:p>
    <w:p w14:paraId="3F2D238F" w14:textId="77777777" w:rsidR="003B7027" w:rsidRPr="00BD3C40" w:rsidRDefault="00296A74" w:rsidP="006E5F9A">
      <w:pPr>
        <w:pStyle w:val="a4"/>
        <w:tabs>
          <w:tab w:val="left" w:pos="540"/>
        </w:tabs>
        <w:ind w:left="0"/>
      </w:pPr>
      <w:r w:rsidRPr="00BD3C40">
        <w:t>Ei saa jäätyä</w:t>
      </w:r>
    </w:p>
    <w:p w14:paraId="41B9EF34" w14:textId="7114B033" w:rsidR="003B7027" w:rsidRPr="0028514E" w:rsidRDefault="00296A74" w:rsidP="006E5F9A">
      <w:pPr>
        <w:pStyle w:val="a4"/>
        <w:tabs>
          <w:tab w:val="left" w:pos="540"/>
        </w:tabs>
        <w:ind w:left="0"/>
      </w:pPr>
      <w:r w:rsidRPr="0028514E">
        <w:t xml:space="preserve">Kun esitäytetty kynä on otettu jääkaapista, se voidaan säilyttää enintään 30 °C:n lämpötilassa korkeintaan </w:t>
      </w:r>
      <w:r w:rsidR="00DC663F">
        <w:t>3</w:t>
      </w:r>
      <w:r w:rsidRPr="0028514E">
        <w:t xml:space="preserve"> viikkoa</w:t>
      </w:r>
    </w:p>
    <w:p w14:paraId="151A77F5" w14:textId="77777777" w:rsidR="003B7027" w:rsidRPr="0028514E" w:rsidRDefault="00296A74" w:rsidP="006E5F9A">
      <w:pPr>
        <w:pStyle w:val="a4"/>
        <w:tabs>
          <w:tab w:val="left" w:pos="540"/>
        </w:tabs>
        <w:ind w:left="0"/>
      </w:pPr>
      <w:r w:rsidRPr="0028514E">
        <w:t>Pidä esitäytetty kynä ulkopakkauksessa. Herkkä valolle. Herkkä kosteudelle</w:t>
      </w:r>
    </w:p>
    <w:p w14:paraId="3378B238" w14:textId="77777777" w:rsidR="003B7027" w:rsidRPr="0028514E" w:rsidRDefault="003B7027" w:rsidP="006E5F9A">
      <w:pPr>
        <w:pStyle w:val="a4"/>
        <w:tabs>
          <w:tab w:val="left" w:pos="540"/>
        </w:tabs>
        <w:ind w:left="0"/>
        <w:rPr>
          <w:sz w:val="20"/>
        </w:rPr>
      </w:pPr>
    </w:p>
    <w:p w14:paraId="3859DB5F" w14:textId="77777777" w:rsidR="00997012" w:rsidRPr="0028514E" w:rsidRDefault="00997012" w:rsidP="006E5F9A">
      <w:pPr>
        <w:pStyle w:val="a4"/>
        <w:tabs>
          <w:tab w:val="left" w:pos="540"/>
        </w:tabs>
        <w:ind w:left="0"/>
        <w:rPr>
          <w:sz w:val="20"/>
        </w:rPr>
      </w:pPr>
    </w:p>
    <w:p w14:paraId="6A419ADC"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ind w:left="567" w:hanging="567"/>
        <w:rPr>
          <w:b/>
          <w:lang w:val="fi-FI"/>
        </w:rPr>
      </w:pPr>
      <w:r w:rsidRPr="00CA43F5">
        <w:rPr>
          <w:b/>
          <w:lang w:val="fi-FI"/>
        </w:rPr>
        <w:t>10.</w:t>
      </w:r>
      <w:r w:rsidRPr="00CA43F5">
        <w:rPr>
          <w:b/>
          <w:lang w:val="fi-FI"/>
        </w:rPr>
        <w:tab/>
        <w:t>ERITYISET VAROTOIMET KÄYTTÄMÄTTÖMIEN LÄÄKEVALMISTEIDEN TAI NIISTÄ PERÄISIN OLEVAN JÄTEMATERIAALIN HÄVITTÄMISEKSI, JOS TARPEEN</w:t>
      </w:r>
    </w:p>
    <w:p w14:paraId="71DED178" w14:textId="77777777" w:rsidR="003B7027" w:rsidRPr="0028514E" w:rsidRDefault="003B7027" w:rsidP="006E5F9A">
      <w:pPr>
        <w:pStyle w:val="a4"/>
        <w:tabs>
          <w:tab w:val="left" w:pos="540"/>
        </w:tabs>
        <w:ind w:left="0"/>
        <w:rPr>
          <w:sz w:val="20"/>
        </w:rPr>
      </w:pPr>
    </w:p>
    <w:p w14:paraId="0C16E9D9" w14:textId="77777777" w:rsidR="00997012" w:rsidRPr="0028514E" w:rsidRDefault="00997012" w:rsidP="006E5F9A">
      <w:pPr>
        <w:pStyle w:val="a4"/>
        <w:tabs>
          <w:tab w:val="left" w:pos="540"/>
        </w:tabs>
        <w:ind w:left="0"/>
        <w:rPr>
          <w:sz w:val="20"/>
        </w:rPr>
      </w:pPr>
    </w:p>
    <w:p w14:paraId="6615EA0B"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11.</w:t>
      </w:r>
      <w:r w:rsidRPr="00CA43F5">
        <w:rPr>
          <w:b/>
          <w:lang w:val="fi-FI"/>
        </w:rPr>
        <w:tab/>
        <w:t>MYYNTILUVAN HALTIJAN NIMI JA OSOITE</w:t>
      </w:r>
    </w:p>
    <w:p w14:paraId="71C09B62" w14:textId="77777777" w:rsidR="003B7027" w:rsidRPr="0028514E" w:rsidRDefault="003B7027" w:rsidP="006E5F9A">
      <w:pPr>
        <w:pStyle w:val="a4"/>
        <w:tabs>
          <w:tab w:val="left" w:pos="540"/>
        </w:tabs>
        <w:ind w:left="0"/>
        <w:rPr>
          <w:sz w:val="20"/>
        </w:rPr>
      </w:pPr>
    </w:p>
    <w:p w14:paraId="411A44F5" w14:textId="77777777" w:rsidR="00DC663F" w:rsidRPr="00CA43F5" w:rsidRDefault="00DC663F" w:rsidP="00DC663F">
      <w:pPr>
        <w:keepNext/>
        <w:rPr>
          <w:lang w:val="fi-FI"/>
        </w:rPr>
      </w:pPr>
      <w:r w:rsidRPr="00CA43F5">
        <w:rPr>
          <w:lang w:val="fi-FI"/>
        </w:rPr>
        <w:t xml:space="preserve">Celltrion Healthcare Hungary Kft. </w:t>
      </w:r>
    </w:p>
    <w:p w14:paraId="27D450FC" w14:textId="77777777" w:rsidR="00DC663F" w:rsidRPr="00840707" w:rsidRDefault="00DC663F" w:rsidP="00DC663F">
      <w:pPr>
        <w:keepNext/>
      </w:pPr>
      <w:r w:rsidRPr="00840707">
        <w:t>1062 Budapest</w:t>
      </w:r>
    </w:p>
    <w:p w14:paraId="17338F31" w14:textId="77777777" w:rsidR="00DC663F" w:rsidRPr="00840707" w:rsidRDefault="00DC663F" w:rsidP="00DC663F">
      <w:pPr>
        <w:keepNext/>
      </w:pPr>
      <w:r w:rsidRPr="00840707">
        <w:t xml:space="preserve">Váci </w:t>
      </w:r>
      <w:proofErr w:type="spellStart"/>
      <w:r w:rsidRPr="00840707">
        <w:t>út</w:t>
      </w:r>
      <w:proofErr w:type="spellEnd"/>
      <w:r w:rsidRPr="00840707">
        <w:t xml:space="preserve"> 1-3. </w:t>
      </w:r>
      <w:proofErr w:type="spellStart"/>
      <w:r w:rsidRPr="00840707">
        <w:t>WestEnd</w:t>
      </w:r>
      <w:proofErr w:type="spellEnd"/>
      <w:r w:rsidRPr="00840707">
        <w:t xml:space="preserve"> Office Building B </w:t>
      </w:r>
      <w:proofErr w:type="spellStart"/>
      <w:r w:rsidRPr="00840707">
        <w:t>torony</w:t>
      </w:r>
      <w:proofErr w:type="spellEnd"/>
    </w:p>
    <w:p w14:paraId="6B00B320" w14:textId="1F0889A0" w:rsidR="003B7027" w:rsidRPr="0028514E" w:rsidRDefault="00DC663F" w:rsidP="006E5F9A">
      <w:pPr>
        <w:pStyle w:val="a4"/>
        <w:tabs>
          <w:tab w:val="left" w:pos="540"/>
        </w:tabs>
        <w:ind w:left="0"/>
      </w:pPr>
      <w:r>
        <w:t>Unkari</w:t>
      </w:r>
    </w:p>
    <w:p w14:paraId="14E4BF6D" w14:textId="77777777" w:rsidR="003B7027" w:rsidRPr="0028514E" w:rsidRDefault="003B7027" w:rsidP="006E5F9A">
      <w:pPr>
        <w:pStyle w:val="a4"/>
        <w:tabs>
          <w:tab w:val="left" w:pos="540"/>
        </w:tabs>
        <w:ind w:left="0"/>
        <w:rPr>
          <w:sz w:val="20"/>
        </w:rPr>
      </w:pPr>
    </w:p>
    <w:p w14:paraId="2690622F" w14:textId="77777777" w:rsidR="00997012" w:rsidRPr="0028514E" w:rsidRDefault="00997012" w:rsidP="006E5F9A">
      <w:pPr>
        <w:pStyle w:val="a4"/>
        <w:tabs>
          <w:tab w:val="left" w:pos="540"/>
        </w:tabs>
        <w:ind w:left="0"/>
        <w:rPr>
          <w:sz w:val="20"/>
        </w:rPr>
      </w:pPr>
    </w:p>
    <w:p w14:paraId="0C1377A6"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CA43F5">
        <w:rPr>
          <w:b/>
          <w:lang w:val="fi-FI"/>
        </w:rPr>
        <w:t>12.</w:t>
      </w:r>
      <w:r w:rsidRPr="00CA43F5">
        <w:rPr>
          <w:b/>
          <w:lang w:val="fi-FI"/>
        </w:rPr>
        <w:tab/>
        <w:t>MYYNTILUVAN NUMERO(T)</w:t>
      </w:r>
    </w:p>
    <w:p w14:paraId="61E1D539" w14:textId="77777777" w:rsidR="003B7027" w:rsidRPr="0028514E" w:rsidRDefault="003B7027" w:rsidP="006E5F9A">
      <w:pPr>
        <w:pStyle w:val="a4"/>
        <w:tabs>
          <w:tab w:val="left" w:pos="540"/>
        </w:tabs>
        <w:ind w:left="0"/>
      </w:pPr>
    </w:p>
    <w:p w14:paraId="2FBDD535" w14:textId="7FF0B59E" w:rsidR="003B7027" w:rsidRPr="0028514E" w:rsidRDefault="00DC663F" w:rsidP="006E5F9A">
      <w:pPr>
        <w:pStyle w:val="a4"/>
        <w:tabs>
          <w:tab w:val="left" w:pos="540"/>
        </w:tabs>
        <w:ind w:left="0"/>
      </w:pPr>
      <w:r w:rsidRPr="00840707">
        <w:t>EU/</w:t>
      </w:r>
      <w:r w:rsidR="00033457" w:rsidRPr="00DA3B0A">
        <w:t>1/24/1896/012</w:t>
      </w:r>
      <w:r w:rsidR="00033457">
        <w:t xml:space="preserve"> 12 (3 x 4) esitäytettyä kynää (monipakkaus)</w:t>
      </w:r>
    </w:p>
    <w:p w14:paraId="20A92281" w14:textId="77777777" w:rsidR="003B7027" w:rsidRPr="0028514E" w:rsidRDefault="003B7027" w:rsidP="006E5F9A">
      <w:pPr>
        <w:pStyle w:val="a4"/>
        <w:tabs>
          <w:tab w:val="left" w:pos="540"/>
        </w:tabs>
        <w:ind w:left="0"/>
        <w:rPr>
          <w:sz w:val="20"/>
        </w:rPr>
      </w:pPr>
    </w:p>
    <w:p w14:paraId="139D76F3" w14:textId="77777777" w:rsidR="00997012" w:rsidRPr="0028514E" w:rsidRDefault="00997012" w:rsidP="006E5F9A">
      <w:pPr>
        <w:pStyle w:val="a4"/>
        <w:tabs>
          <w:tab w:val="left" w:pos="540"/>
        </w:tabs>
        <w:ind w:left="0"/>
        <w:rPr>
          <w:sz w:val="20"/>
        </w:rPr>
      </w:pPr>
    </w:p>
    <w:p w14:paraId="1AE8F1B7"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 w:val="left" w:pos="724"/>
        </w:tabs>
        <w:spacing w:line="252" w:lineRule="exact"/>
        <w:rPr>
          <w:b/>
          <w:lang w:val="fi-FI"/>
        </w:rPr>
      </w:pPr>
      <w:r w:rsidRPr="00CA43F5">
        <w:rPr>
          <w:b/>
          <w:lang w:val="fi-FI"/>
        </w:rPr>
        <w:t>13.</w:t>
      </w:r>
      <w:r w:rsidRPr="00CA43F5">
        <w:rPr>
          <w:b/>
          <w:lang w:val="fi-FI"/>
        </w:rPr>
        <w:tab/>
        <w:t>ERÄNUMERO</w:t>
      </w:r>
    </w:p>
    <w:p w14:paraId="758DBE1D" w14:textId="77777777" w:rsidR="003B7027" w:rsidRPr="0028514E" w:rsidRDefault="003B7027" w:rsidP="006E5F9A">
      <w:pPr>
        <w:pStyle w:val="a4"/>
        <w:tabs>
          <w:tab w:val="left" w:pos="540"/>
        </w:tabs>
        <w:ind w:left="0"/>
        <w:rPr>
          <w:sz w:val="20"/>
        </w:rPr>
      </w:pPr>
    </w:p>
    <w:p w14:paraId="59C3470F" w14:textId="77777777" w:rsidR="003B7027" w:rsidRPr="0028514E" w:rsidRDefault="00296A74" w:rsidP="006E5F9A">
      <w:pPr>
        <w:pStyle w:val="a4"/>
        <w:tabs>
          <w:tab w:val="left" w:pos="540"/>
        </w:tabs>
        <w:ind w:left="0"/>
      </w:pPr>
      <w:r w:rsidRPr="0028514E">
        <w:t>Erä</w:t>
      </w:r>
    </w:p>
    <w:p w14:paraId="3389F346" w14:textId="77777777" w:rsidR="003B7027" w:rsidRPr="0028514E" w:rsidRDefault="003B7027" w:rsidP="006E5F9A">
      <w:pPr>
        <w:pStyle w:val="a4"/>
        <w:tabs>
          <w:tab w:val="left" w:pos="540"/>
        </w:tabs>
        <w:ind w:left="0"/>
        <w:rPr>
          <w:sz w:val="20"/>
        </w:rPr>
      </w:pPr>
    </w:p>
    <w:p w14:paraId="4E46A2B0" w14:textId="77777777" w:rsidR="00997012" w:rsidRPr="0028514E" w:rsidRDefault="00997012" w:rsidP="006E5F9A">
      <w:pPr>
        <w:pStyle w:val="a4"/>
        <w:tabs>
          <w:tab w:val="left" w:pos="540"/>
        </w:tabs>
        <w:ind w:left="0"/>
        <w:rPr>
          <w:sz w:val="20"/>
        </w:rPr>
      </w:pPr>
    </w:p>
    <w:p w14:paraId="06DC271D"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14.</w:t>
      </w:r>
      <w:r w:rsidRPr="00CA43F5">
        <w:rPr>
          <w:b/>
          <w:lang w:val="fi-FI"/>
        </w:rPr>
        <w:tab/>
        <w:t>YLEINEN TOIMITTAMISLUOKITTELU</w:t>
      </w:r>
    </w:p>
    <w:p w14:paraId="46D52999" w14:textId="77777777" w:rsidR="003B7027" w:rsidRPr="0028514E" w:rsidRDefault="003B7027" w:rsidP="006E5F9A">
      <w:pPr>
        <w:pStyle w:val="a4"/>
        <w:tabs>
          <w:tab w:val="left" w:pos="540"/>
        </w:tabs>
        <w:ind w:left="0"/>
        <w:rPr>
          <w:sz w:val="20"/>
        </w:rPr>
      </w:pPr>
    </w:p>
    <w:p w14:paraId="7AA9B6E8" w14:textId="77777777" w:rsidR="00997012" w:rsidRPr="0028514E" w:rsidRDefault="00997012" w:rsidP="006E5F9A">
      <w:pPr>
        <w:pStyle w:val="a4"/>
        <w:tabs>
          <w:tab w:val="left" w:pos="540"/>
        </w:tabs>
        <w:ind w:left="0"/>
        <w:rPr>
          <w:sz w:val="20"/>
        </w:rPr>
      </w:pPr>
    </w:p>
    <w:p w14:paraId="5BDAEACD"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15.</w:t>
      </w:r>
      <w:r w:rsidRPr="00CA43F5">
        <w:rPr>
          <w:b/>
          <w:lang w:val="fi-FI"/>
        </w:rPr>
        <w:tab/>
        <w:t>KÄYTTÖOHJEET</w:t>
      </w:r>
    </w:p>
    <w:p w14:paraId="786E9283" w14:textId="77777777" w:rsidR="003B7027" w:rsidRPr="0028514E" w:rsidRDefault="003B7027" w:rsidP="006E5F9A">
      <w:pPr>
        <w:pStyle w:val="a4"/>
        <w:tabs>
          <w:tab w:val="left" w:pos="540"/>
        </w:tabs>
        <w:ind w:left="0"/>
        <w:rPr>
          <w:sz w:val="20"/>
        </w:rPr>
      </w:pPr>
    </w:p>
    <w:p w14:paraId="44F795D7" w14:textId="77777777" w:rsidR="003B7027" w:rsidRPr="0028514E" w:rsidRDefault="003B7027" w:rsidP="006E5F9A">
      <w:pPr>
        <w:pStyle w:val="a4"/>
        <w:tabs>
          <w:tab w:val="left" w:pos="540"/>
        </w:tabs>
        <w:ind w:left="0"/>
        <w:rPr>
          <w:sz w:val="20"/>
        </w:rPr>
      </w:pPr>
    </w:p>
    <w:p w14:paraId="693C2275"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CA43F5">
        <w:rPr>
          <w:b/>
          <w:lang w:val="fi-FI"/>
        </w:rPr>
        <w:t>16.</w:t>
      </w:r>
      <w:r w:rsidRPr="00CA43F5">
        <w:rPr>
          <w:b/>
          <w:lang w:val="fi-FI"/>
        </w:rPr>
        <w:tab/>
        <w:t>TIEDOT PISTEKIRJOITUKSELLA</w:t>
      </w:r>
    </w:p>
    <w:p w14:paraId="4302DC0A" w14:textId="77777777" w:rsidR="003B7027" w:rsidRPr="0028514E" w:rsidRDefault="003B7027" w:rsidP="006E5F9A">
      <w:pPr>
        <w:pStyle w:val="a4"/>
        <w:tabs>
          <w:tab w:val="left" w:pos="540"/>
        </w:tabs>
        <w:ind w:left="0"/>
        <w:rPr>
          <w:sz w:val="20"/>
        </w:rPr>
      </w:pPr>
    </w:p>
    <w:p w14:paraId="15ABA55D" w14:textId="77777777" w:rsidR="007E6E60" w:rsidRPr="003F07A8" w:rsidRDefault="007E6E60" w:rsidP="007E6E60">
      <w:pPr>
        <w:rPr>
          <w:lang w:val="fi-FI"/>
        </w:rPr>
      </w:pPr>
      <w:r w:rsidRPr="003F07A8">
        <w:rPr>
          <w:lang w:val="fi-FI"/>
        </w:rPr>
        <w:t>avtozma 162 mg</w:t>
      </w:r>
    </w:p>
    <w:p w14:paraId="6C085DB7" w14:textId="77777777" w:rsidR="003B7027" w:rsidRPr="0028514E" w:rsidRDefault="003B7027" w:rsidP="006E5F9A">
      <w:pPr>
        <w:pStyle w:val="a4"/>
        <w:tabs>
          <w:tab w:val="left" w:pos="540"/>
        </w:tabs>
        <w:ind w:left="0"/>
        <w:rPr>
          <w:sz w:val="20"/>
        </w:rPr>
      </w:pPr>
    </w:p>
    <w:p w14:paraId="18002F18" w14:textId="77777777" w:rsidR="00997012" w:rsidRPr="0028514E" w:rsidRDefault="00997012" w:rsidP="006E5F9A">
      <w:pPr>
        <w:pStyle w:val="a4"/>
        <w:tabs>
          <w:tab w:val="left" w:pos="540"/>
        </w:tabs>
        <w:ind w:left="0"/>
        <w:rPr>
          <w:sz w:val="20"/>
        </w:rPr>
      </w:pPr>
    </w:p>
    <w:p w14:paraId="5A1B57B3"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17.</w:t>
      </w:r>
      <w:r w:rsidRPr="00CA43F5">
        <w:rPr>
          <w:b/>
          <w:lang w:val="fi-FI"/>
        </w:rPr>
        <w:tab/>
        <w:t>YKSILÖLLINEN TUNNISTE – 2D-VIIVAKOODI</w:t>
      </w:r>
    </w:p>
    <w:p w14:paraId="66005FC4" w14:textId="77777777" w:rsidR="003B7027" w:rsidRPr="0028514E" w:rsidRDefault="003B7027" w:rsidP="006E5F9A">
      <w:pPr>
        <w:pStyle w:val="a4"/>
        <w:tabs>
          <w:tab w:val="left" w:pos="540"/>
        </w:tabs>
        <w:ind w:left="0"/>
      </w:pPr>
    </w:p>
    <w:p w14:paraId="3766D811" w14:textId="77777777" w:rsidR="003B7027" w:rsidRPr="0028514E" w:rsidRDefault="00296A74" w:rsidP="006E5F9A">
      <w:pPr>
        <w:pStyle w:val="a4"/>
        <w:tabs>
          <w:tab w:val="left" w:pos="540"/>
        </w:tabs>
        <w:ind w:left="0"/>
      </w:pPr>
      <w:r w:rsidRPr="003F07A8">
        <w:rPr>
          <w:color w:val="000000"/>
          <w:highlight w:val="lightGray"/>
          <w:shd w:val="clear" w:color="auto" w:fill="C1C1C1"/>
        </w:rPr>
        <w:t>&lt;2D-viivakoodi, joka sisältää yksilöllisen tunnisteen.&gt;</w:t>
      </w:r>
    </w:p>
    <w:p w14:paraId="7F7BD34C" w14:textId="77777777" w:rsidR="003B7027" w:rsidRPr="0028514E" w:rsidRDefault="003B7027" w:rsidP="006E5F9A">
      <w:pPr>
        <w:pStyle w:val="a4"/>
        <w:tabs>
          <w:tab w:val="left" w:pos="540"/>
        </w:tabs>
        <w:ind w:left="0"/>
        <w:rPr>
          <w:sz w:val="20"/>
        </w:rPr>
      </w:pPr>
    </w:p>
    <w:p w14:paraId="4C66039E" w14:textId="77777777" w:rsidR="00857615" w:rsidRPr="0028514E" w:rsidRDefault="00857615" w:rsidP="006E5F9A">
      <w:pPr>
        <w:pStyle w:val="a4"/>
        <w:tabs>
          <w:tab w:val="left" w:pos="540"/>
        </w:tabs>
        <w:ind w:left="0"/>
        <w:rPr>
          <w:sz w:val="20"/>
        </w:rPr>
      </w:pPr>
    </w:p>
    <w:p w14:paraId="00A5ABBB" w14:textId="77777777" w:rsidR="0026483C" w:rsidRPr="00CA43F5" w:rsidRDefault="0026483C" w:rsidP="006E5F9A">
      <w:pPr>
        <w:pBdr>
          <w:top w:val="single" w:sz="4" w:space="1" w:color="auto"/>
          <w:left w:val="single" w:sz="4" w:space="4" w:color="auto"/>
          <w:bottom w:val="single" w:sz="4" w:space="1" w:color="auto"/>
          <w:right w:val="single" w:sz="4" w:space="4" w:color="auto"/>
        </w:pBdr>
        <w:tabs>
          <w:tab w:val="left" w:pos="540"/>
        </w:tabs>
        <w:spacing w:before="20"/>
        <w:rPr>
          <w:b/>
          <w:lang w:val="fi-FI"/>
        </w:rPr>
      </w:pPr>
      <w:r w:rsidRPr="00CA43F5">
        <w:rPr>
          <w:b/>
          <w:lang w:val="fi-FI"/>
        </w:rPr>
        <w:t>18.</w:t>
      </w:r>
      <w:r w:rsidRPr="00CA43F5">
        <w:rPr>
          <w:b/>
          <w:lang w:val="fi-FI"/>
        </w:rPr>
        <w:tab/>
        <w:t>YKSILÖLLINEN TUNNISTE – LUETTAVISSA OLEVAT TIEDOT</w:t>
      </w:r>
    </w:p>
    <w:p w14:paraId="6EB9C48D" w14:textId="77777777" w:rsidR="003B7027" w:rsidRPr="0028514E" w:rsidRDefault="003B7027" w:rsidP="006E5F9A">
      <w:pPr>
        <w:pStyle w:val="a4"/>
        <w:tabs>
          <w:tab w:val="left" w:pos="540"/>
        </w:tabs>
        <w:ind w:left="0"/>
        <w:rPr>
          <w:sz w:val="20"/>
        </w:rPr>
      </w:pPr>
    </w:p>
    <w:p w14:paraId="4DE367B0" w14:textId="77777777" w:rsidR="00997012" w:rsidRPr="0028514E" w:rsidRDefault="00997012" w:rsidP="006E5F9A">
      <w:pPr>
        <w:pStyle w:val="a4"/>
        <w:tabs>
          <w:tab w:val="left" w:pos="540"/>
        </w:tabs>
        <w:ind w:left="0"/>
      </w:pPr>
    </w:p>
    <w:p w14:paraId="3142F7C4" w14:textId="21C44A08" w:rsidR="0026483C" w:rsidRPr="00E12A1E" w:rsidRDefault="00997012" w:rsidP="00785CE2">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E12A1E">
        <w:rPr>
          <w:lang w:val="fi-FI"/>
        </w:rPr>
        <w:br w:type="page"/>
      </w:r>
      <w:r w:rsidR="0026483C" w:rsidRPr="00E12A1E">
        <w:rPr>
          <w:b/>
          <w:lang w:val="fi-FI"/>
        </w:rPr>
        <w:lastRenderedPageBreak/>
        <w:t>PIENISSÄ SISÄPAKKAUKSISSA ON OLTAVA VÄHINTÄÄN SEURAAVAT MERKINNÄT</w:t>
      </w:r>
    </w:p>
    <w:p w14:paraId="7127D6E4" w14:textId="77777777" w:rsidR="0026483C" w:rsidRPr="0028514E" w:rsidRDefault="0026483C" w:rsidP="00785CE2">
      <w:pPr>
        <w:pStyle w:val="a4"/>
        <w:pBdr>
          <w:top w:val="single" w:sz="4" w:space="1" w:color="000000"/>
          <w:left w:val="single" w:sz="4" w:space="4" w:color="000000"/>
          <w:bottom w:val="single" w:sz="4" w:space="1" w:color="000000"/>
          <w:right w:val="single" w:sz="4" w:space="4" w:color="000000"/>
        </w:pBdr>
        <w:tabs>
          <w:tab w:val="left" w:pos="540"/>
        </w:tabs>
        <w:ind w:left="0"/>
        <w:rPr>
          <w:b/>
        </w:rPr>
      </w:pPr>
    </w:p>
    <w:p w14:paraId="206BEDFA" w14:textId="77777777" w:rsidR="0026483C" w:rsidRPr="00E12A1E" w:rsidRDefault="0026483C" w:rsidP="00785CE2">
      <w:pPr>
        <w:pBdr>
          <w:top w:val="single" w:sz="4" w:space="1" w:color="000000"/>
          <w:left w:val="single" w:sz="4" w:space="4" w:color="000000"/>
          <w:bottom w:val="single" w:sz="4" w:space="1" w:color="000000"/>
          <w:right w:val="single" w:sz="4" w:space="4" w:color="000000"/>
        </w:pBdr>
        <w:tabs>
          <w:tab w:val="left" w:pos="540"/>
        </w:tabs>
        <w:rPr>
          <w:b/>
          <w:lang w:val="fi-FI"/>
        </w:rPr>
      </w:pPr>
      <w:r w:rsidRPr="00E12A1E">
        <w:rPr>
          <w:b/>
          <w:lang w:val="fi-FI"/>
        </w:rPr>
        <w:t>INJEKTIOPULLO</w:t>
      </w:r>
    </w:p>
    <w:p w14:paraId="6795611E" w14:textId="77777777" w:rsidR="003B7027" w:rsidRPr="0028514E" w:rsidRDefault="003B7027" w:rsidP="006E5F9A">
      <w:pPr>
        <w:pStyle w:val="a4"/>
        <w:tabs>
          <w:tab w:val="left" w:pos="540"/>
        </w:tabs>
        <w:ind w:left="0"/>
        <w:rPr>
          <w:sz w:val="20"/>
        </w:rPr>
      </w:pPr>
    </w:p>
    <w:p w14:paraId="68BB98CF" w14:textId="77777777" w:rsidR="00997012" w:rsidRPr="0028514E" w:rsidRDefault="00997012" w:rsidP="006E5F9A">
      <w:pPr>
        <w:pStyle w:val="a4"/>
        <w:tabs>
          <w:tab w:val="left" w:pos="540"/>
        </w:tabs>
        <w:ind w:left="0"/>
        <w:rPr>
          <w:sz w:val="20"/>
        </w:rPr>
      </w:pPr>
    </w:p>
    <w:p w14:paraId="7FE22007" w14:textId="77777777" w:rsidR="0026483C" w:rsidRPr="00E12A1E"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1.</w:t>
      </w:r>
      <w:r w:rsidRPr="00E12A1E">
        <w:rPr>
          <w:b/>
          <w:lang w:val="fi-FI"/>
        </w:rPr>
        <w:tab/>
        <w:t>LÄÄKEVALMISTEEN NIMI JA TARVITTAESSA ANTOREITTI (ANTOREITIT)</w:t>
      </w:r>
    </w:p>
    <w:p w14:paraId="20F39CCA" w14:textId="77777777" w:rsidR="003B7027" w:rsidRPr="0028514E" w:rsidRDefault="003B7027" w:rsidP="006E5F9A">
      <w:pPr>
        <w:pStyle w:val="a4"/>
        <w:tabs>
          <w:tab w:val="left" w:pos="540"/>
        </w:tabs>
        <w:ind w:left="0"/>
        <w:rPr>
          <w:sz w:val="20"/>
        </w:rPr>
      </w:pPr>
    </w:p>
    <w:p w14:paraId="3CD2A8C1" w14:textId="63B0A7D7" w:rsidR="006E5F9A" w:rsidRDefault="00DC663F" w:rsidP="006E5F9A">
      <w:pPr>
        <w:pStyle w:val="a4"/>
        <w:tabs>
          <w:tab w:val="left" w:pos="540"/>
        </w:tabs>
        <w:ind w:left="0"/>
      </w:pPr>
      <w:r>
        <w:t>Avtozma</w:t>
      </w:r>
      <w:r w:rsidRPr="0028514E">
        <w:t xml:space="preserve"> </w:t>
      </w:r>
      <w:r w:rsidR="00296A74" w:rsidRPr="0028514E">
        <w:t xml:space="preserve">20 mg/ml steriili konsentraatti </w:t>
      </w:r>
    </w:p>
    <w:p w14:paraId="78A0D6DE" w14:textId="77777777" w:rsidR="003B7027" w:rsidRPr="0028514E" w:rsidRDefault="00296A74" w:rsidP="006E5F9A">
      <w:pPr>
        <w:pStyle w:val="a4"/>
        <w:tabs>
          <w:tab w:val="left" w:pos="540"/>
        </w:tabs>
        <w:ind w:left="0"/>
      </w:pPr>
      <w:r w:rsidRPr="0028514E">
        <w:t>tosilitsumabi</w:t>
      </w:r>
    </w:p>
    <w:p w14:paraId="4D5FEBEC" w14:textId="77777777" w:rsidR="003B7027" w:rsidRPr="0028514E" w:rsidRDefault="00296A74" w:rsidP="006E5F9A">
      <w:pPr>
        <w:pStyle w:val="a4"/>
        <w:tabs>
          <w:tab w:val="left" w:pos="540"/>
        </w:tabs>
        <w:ind w:left="0"/>
      </w:pPr>
      <w:r w:rsidRPr="0028514E">
        <w:t>i.v.</w:t>
      </w:r>
    </w:p>
    <w:p w14:paraId="73EA9E83" w14:textId="77777777" w:rsidR="003B7027" w:rsidRPr="0028514E" w:rsidRDefault="003B7027" w:rsidP="006E5F9A">
      <w:pPr>
        <w:pStyle w:val="a4"/>
        <w:tabs>
          <w:tab w:val="left" w:pos="540"/>
        </w:tabs>
        <w:ind w:left="0"/>
        <w:rPr>
          <w:sz w:val="20"/>
        </w:rPr>
      </w:pPr>
    </w:p>
    <w:p w14:paraId="0AD0095F" w14:textId="77777777" w:rsidR="00997012" w:rsidRPr="0028514E" w:rsidRDefault="00997012" w:rsidP="006E5F9A">
      <w:pPr>
        <w:pStyle w:val="a4"/>
        <w:tabs>
          <w:tab w:val="left" w:pos="540"/>
        </w:tabs>
        <w:ind w:left="0"/>
        <w:rPr>
          <w:sz w:val="20"/>
        </w:rPr>
      </w:pPr>
    </w:p>
    <w:p w14:paraId="6A0425B3" w14:textId="77777777" w:rsidR="0026483C" w:rsidRPr="00E12A1E"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2.</w:t>
      </w:r>
      <w:r w:rsidRPr="00E12A1E">
        <w:rPr>
          <w:b/>
          <w:lang w:val="fi-FI"/>
        </w:rPr>
        <w:tab/>
        <w:t>ANTOTAPA</w:t>
      </w:r>
    </w:p>
    <w:p w14:paraId="3C2739F7" w14:textId="77777777" w:rsidR="003B7027" w:rsidRPr="0028514E" w:rsidRDefault="003B7027" w:rsidP="006E5F9A">
      <w:pPr>
        <w:pStyle w:val="a4"/>
        <w:tabs>
          <w:tab w:val="left" w:pos="540"/>
        </w:tabs>
        <w:ind w:left="0"/>
        <w:rPr>
          <w:sz w:val="20"/>
        </w:rPr>
      </w:pPr>
    </w:p>
    <w:p w14:paraId="47E78ED3" w14:textId="0B23BED2" w:rsidR="003B7027" w:rsidRPr="0028514E" w:rsidRDefault="00296A74" w:rsidP="006E5F9A">
      <w:pPr>
        <w:pStyle w:val="a4"/>
        <w:tabs>
          <w:tab w:val="left" w:pos="540"/>
        </w:tabs>
        <w:ind w:left="0"/>
      </w:pPr>
      <w:r w:rsidRPr="0028514E">
        <w:t>i.v.</w:t>
      </w:r>
    </w:p>
    <w:p w14:paraId="195F032E" w14:textId="77777777" w:rsidR="003B7027" w:rsidRPr="0028514E" w:rsidRDefault="003B7027" w:rsidP="006E5F9A">
      <w:pPr>
        <w:pStyle w:val="a4"/>
        <w:tabs>
          <w:tab w:val="left" w:pos="540"/>
        </w:tabs>
        <w:ind w:left="0"/>
        <w:rPr>
          <w:sz w:val="20"/>
        </w:rPr>
      </w:pPr>
    </w:p>
    <w:p w14:paraId="6D09BCF9" w14:textId="77777777" w:rsidR="00997012" w:rsidRPr="0028514E" w:rsidRDefault="00997012" w:rsidP="006E5F9A">
      <w:pPr>
        <w:pStyle w:val="a4"/>
        <w:tabs>
          <w:tab w:val="left" w:pos="540"/>
        </w:tabs>
        <w:ind w:left="0"/>
        <w:rPr>
          <w:sz w:val="20"/>
        </w:rPr>
      </w:pPr>
    </w:p>
    <w:p w14:paraId="29A37E51" w14:textId="77777777" w:rsidR="0026483C" w:rsidRPr="00E12A1E"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3.</w:t>
      </w:r>
      <w:r w:rsidRPr="00E12A1E">
        <w:rPr>
          <w:b/>
          <w:lang w:val="fi-FI"/>
        </w:rPr>
        <w:tab/>
        <w:t>VIIMEINEN KÄYTTÖPÄIVÄMÄÄRÄ</w:t>
      </w:r>
    </w:p>
    <w:p w14:paraId="0031A599" w14:textId="77777777" w:rsidR="003B7027" w:rsidRPr="0028514E" w:rsidRDefault="003B7027" w:rsidP="006E5F9A">
      <w:pPr>
        <w:pStyle w:val="a4"/>
        <w:tabs>
          <w:tab w:val="left" w:pos="540"/>
        </w:tabs>
        <w:ind w:left="0"/>
      </w:pPr>
    </w:p>
    <w:p w14:paraId="0BAA8C97" w14:textId="77777777" w:rsidR="003B7027" w:rsidRPr="0028514E" w:rsidRDefault="00296A74" w:rsidP="006E5F9A">
      <w:pPr>
        <w:pStyle w:val="a4"/>
        <w:tabs>
          <w:tab w:val="left" w:pos="540"/>
        </w:tabs>
        <w:ind w:left="0"/>
      </w:pPr>
      <w:r w:rsidRPr="0028514E">
        <w:t>EXP</w:t>
      </w:r>
    </w:p>
    <w:p w14:paraId="28E04491" w14:textId="77777777" w:rsidR="003B7027" w:rsidRPr="0028514E" w:rsidRDefault="003B7027" w:rsidP="006E5F9A">
      <w:pPr>
        <w:pStyle w:val="a4"/>
        <w:tabs>
          <w:tab w:val="left" w:pos="540"/>
        </w:tabs>
        <w:ind w:left="0"/>
        <w:rPr>
          <w:sz w:val="20"/>
        </w:rPr>
      </w:pPr>
    </w:p>
    <w:p w14:paraId="3EB32A03" w14:textId="77777777" w:rsidR="00997012" w:rsidRPr="0028514E" w:rsidRDefault="00997012" w:rsidP="006E5F9A">
      <w:pPr>
        <w:pStyle w:val="a4"/>
        <w:tabs>
          <w:tab w:val="left" w:pos="540"/>
        </w:tabs>
        <w:ind w:left="0"/>
        <w:rPr>
          <w:sz w:val="20"/>
        </w:rPr>
      </w:pPr>
    </w:p>
    <w:p w14:paraId="7A5F7A48" w14:textId="77777777" w:rsidR="0026483C" w:rsidRPr="00E12A1E" w:rsidRDefault="0026483C"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4.</w:t>
      </w:r>
      <w:r w:rsidRPr="00E12A1E">
        <w:rPr>
          <w:b/>
          <w:lang w:val="fi-FI"/>
        </w:rPr>
        <w:tab/>
        <w:t>ERÄNUMERO</w:t>
      </w:r>
    </w:p>
    <w:p w14:paraId="3BE325BA" w14:textId="77777777" w:rsidR="003B7027" w:rsidRPr="0028514E" w:rsidRDefault="003B7027" w:rsidP="006E5F9A">
      <w:pPr>
        <w:pStyle w:val="a4"/>
        <w:tabs>
          <w:tab w:val="left" w:pos="540"/>
        </w:tabs>
        <w:ind w:left="0"/>
        <w:rPr>
          <w:sz w:val="20"/>
        </w:rPr>
      </w:pPr>
    </w:p>
    <w:p w14:paraId="142B16EE" w14:textId="50746336" w:rsidR="003B7027" w:rsidRPr="0028514E" w:rsidRDefault="00D64393" w:rsidP="006E5F9A">
      <w:pPr>
        <w:pStyle w:val="a4"/>
        <w:tabs>
          <w:tab w:val="left" w:pos="540"/>
        </w:tabs>
        <w:ind w:left="0"/>
      </w:pPr>
      <w:r>
        <w:t>Erä</w:t>
      </w:r>
    </w:p>
    <w:p w14:paraId="541B7171" w14:textId="77777777" w:rsidR="003B7027" w:rsidRPr="0028514E" w:rsidRDefault="003B7027" w:rsidP="006E5F9A">
      <w:pPr>
        <w:pStyle w:val="a4"/>
        <w:tabs>
          <w:tab w:val="left" w:pos="540"/>
        </w:tabs>
        <w:ind w:left="0"/>
        <w:rPr>
          <w:sz w:val="20"/>
        </w:rPr>
      </w:pPr>
    </w:p>
    <w:p w14:paraId="3BDBD2BE" w14:textId="77777777" w:rsidR="00997012" w:rsidRPr="0028514E" w:rsidRDefault="00997012" w:rsidP="006E5F9A">
      <w:pPr>
        <w:pStyle w:val="a4"/>
        <w:tabs>
          <w:tab w:val="left" w:pos="540"/>
        </w:tabs>
        <w:ind w:left="0"/>
        <w:rPr>
          <w:sz w:val="20"/>
        </w:rPr>
      </w:pPr>
    </w:p>
    <w:p w14:paraId="7B30A2EE"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E12A1E">
        <w:rPr>
          <w:b/>
          <w:lang w:val="fi-FI"/>
        </w:rPr>
        <w:t>5.</w:t>
      </w:r>
      <w:r w:rsidRPr="00E12A1E">
        <w:rPr>
          <w:b/>
          <w:lang w:val="fi-FI"/>
        </w:rPr>
        <w:tab/>
        <w:t>SISÄLLÖN MÄÄRÄ PAINONA, TILAVUUTENA TAI YKSIKKÖINÄ</w:t>
      </w:r>
    </w:p>
    <w:p w14:paraId="13E7717C" w14:textId="77777777" w:rsidR="003B7027" w:rsidRPr="0028514E" w:rsidRDefault="003B7027" w:rsidP="006E5F9A">
      <w:pPr>
        <w:pStyle w:val="a4"/>
        <w:tabs>
          <w:tab w:val="left" w:pos="540"/>
        </w:tabs>
        <w:ind w:left="0"/>
      </w:pPr>
    </w:p>
    <w:p w14:paraId="30F9609D" w14:textId="77777777" w:rsidR="003B7027" w:rsidRPr="0028514E" w:rsidRDefault="00296A74" w:rsidP="006E5F9A">
      <w:pPr>
        <w:pStyle w:val="a4"/>
        <w:tabs>
          <w:tab w:val="left" w:pos="540"/>
        </w:tabs>
        <w:ind w:left="0"/>
      </w:pPr>
      <w:r w:rsidRPr="0028514E">
        <w:t>80 mg/4 ml</w:t>
      </w:r>
    </w:p>
    <w:p w14:paraId="69FC3436" w14:textId="77777777" w:rsidR="003B7027" w:rsidRPr="0028514E" w:rsidRDefault="003B7027" w:rsidP="006E5F9A">
      <w:pPr>
        <w:pStyle w:val="a4"/>
        <w:tabs>
          <w:tab w:val="left" w:pos="540"/>
        </w:tabs>
        <w:ind w:left="0"/>
        <w:rPr>
          <w:sz w:val="20"/>
        </w:rPr>
      </w:pPr>
    </w:p>
    <w:p w14:paraId="0B6BD8E8" w14:textId="77777777" w:rsidR="00997012" w:rsidRPr="0028514E" w:rsidRDefault="00997012" w:rsidP="006E5F9A">
      <w:pPr>
        <w:pStyle w:val="a4"/>
        <w:tabs>
          <w:tab w:val="left" w:pos="540"/>
        </w:tabs>
        <w:ind w:left="0"/>
        <w:rPr>
          <w:sz w:val="20"/>
        </w:rPr>
      </w:pPr>
    </w:p>
    <w:p w14:paraId="436CF53A"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6.</w:t>
      </w:r>
      <w:r w:rsidRPr="00E12A1E">
        <w:rPr>
          <w:b/>
          <w:lang w:val="fi-FI"/>
        </w:rPr>
        <w:tab/>
        <w:t>MUUTA</w:t>
      </w:r>
    </w:p>
    <w:p w14:paraId="46088DB5" w14:textId="77777777" w:rsidR="00FC0567" w:rsidRPr="0028514E" w:rsidRDefault="00FC0567" w:rsidP="006E5F9A">
      <w:pPr>
        <w:pStyle w:val="a4"/>
        <w:tabs>
          <w:tab w:val="left" w:pos="540"/>
        </w:tabs>
        <w:ind w:left="0"/>
        <w:rPr>
          <w:sz w:val="20"/>
        </w:rPr>
      </w:pPr>
    </w:p>
    <w:p w14:paraId="68465930" w14:textId="0258EC34" w:rsidR="00FC0567" w:rsidRPr="00E12A1E" w:rsidRDefault="00997012" w:rsidP="00785CE2">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E12A1E">
        <w:rPr>
          <w:sz w:val="20"/>
          <w:lang w:val="fi-FI"/>
        </w:rPr>
        <w:br w:type="page"/>
      </w:r>
      <w:r w:rsidR="00FC0567" w:rsidRPr="00E12A1E">
        <w:rPr>
          <w:b/>
          <w:lang w:val="fi-FI"/>
        </w:rPr>
        <w:lastRenderedPageBreak/>
        <w:t>PIENISSÄ SISÄPAKKAUKSISSA ON OLTAVA VÄHINTÄÄN SEURAAVAT MERKINNÄT</w:t>
      </w:r>
    </w:p>
    <w:p w14:paraId="6DD88404" w14:textId="77777777" w:rsidR="00FC0567" w:rsidRPr="0028514E" w:rsidRDefault="00FC0567" w:rsidP="00785CE2">
      <w:pPr>
        <w:pStyle w:val="a4"/>
        <w:pBdr>
          <w:top w:val="single" w:sz="4" w:space="1" w:color="000000"/>
          <w:left w:val="single" w:sz="4" w:space="4" w:color="000000"/>
          <w:bottom w:val="single" w:sz="4" w:space="1" w:color="000000"/>
          <w:right w:val="single" w:sz="4" w:space="4" w:color="000000"/>
        </w:pBdr>
        <w:tabs>
          <w:tab w:val="left" w:pos="540"/>
        </w:tabs>
        <w:ind w:left="0"/>
        <w:rPr>
          <w:b/>
        </w:rPr>
      </w:pPr>
    </w:p>
    <w:p w14:paraId="264D77C7" w14:textId="77777777" w:rsidR="00FC0567" w:rsidRPr="00E12A1E" w:rsidRDefault="00FC0567" w:rsidP="00785CE2">
      <w:pPr>
        <w:pBdr>
          <w:top w:val="single" w:sz="4" w:space="1" w:color="000000"/>
          <w:left w:val="single" w:sz="4" w:space="4" w:color="000000"/>
          <w:bottom w:val="single" w:sz="4" w:space="1" w:color="000000"/>
          <w:right w:val="single" w:sz="4" w:space="4" w:color="000000"/>
        </w:pBdr>
        <w:tabs>
          <w:tab w:val="left" w:pos="540"/>
        </w:tabs>
        <w:rPr>
          <w:b/>
          <w:lang w:val="fi-FI"/>
        </w:rPr>
      </w:pPr>
      <w:r w:rsidRPr="00E12A1E">
        <w:rPr>
          <w:b/>
          <w:lang w:val="fi-FI"/>
        </w:rPr>
        <w:t>INJEKTIOPULLO</w:t>
      </w:r>
    </w:p>
    <w:p w14:paraId="04F8DD8C" w14:textId="77777777" w:rsidR="003B7027" w:rsidRPr="0028514E" w:rsidRDefault="003B7027" w:rsidP="006E5F9A">
      <w:pPr>
        <w:pStyle w:val="a4"/>
        <w:tabs>
          <w:tab w:val="left" w:pos="540"/>
        </w:tabs>
        <w:ind w:left="0"/>
      </w:pPr>
    </w:p>
    <w:p w14:paraId="5A57E593" w14:textId="77777777" w:rsidR="00997012" w:rsidRPr="0028514E" w:rsidRDefault="00997012" w:rsidP="006E5F9A">
      <w:pPr>
        <w:pStyle w:val="a4"/>
        <w:tabs>
          <w:tab w:val="left" w:pos="540"/>
        </w:tabs>
        <w:ind w:left="0"/>
      </w:pPr>
    </w:p>
    <w:p w14:paraId="790F2E90"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1.</w:t>
      </w:r>
      <w:r w:rsidRPr="00E12A1E">
        <w:rPr>
          <w:b/>
          <w:lang w:val="fi-FI"/>
        </w:rPr>
        <w:tab/>
        <w:t>LÄÄKEVALMISTEEN NIMI JA TARVITTAESSA ANTOREITTI (ANTOREITIT)</w:t>
      </w:r>
    </w:p>
    <w:p w14:paraId="567A354F" w14:textId="77777777" w:rsidR="003B7027" w:rsidRPr="0028514E" w:rsidRDefault="003B7027" w:rsidP="006E5F9A">
      <w:pPr>
        <w:pStyle w:val="a4"/>
        <w:tabs>
          <w:tab w:val="left" w:pos="540"/>
        </w:tabs>
        <w:ind w:left="0"/>
      </w:pPr>
    </w:p>
    <w:p w14:paraId="295C003A" w14:textId="755C3E5A" w:rsidR="00615DE1" w:rsidRDefault="00383DD9" w:rsidP="006E5F9A">
      <w:pPr>
        <w:pStyle w:val="a4"/>
        <w:tabs>
          <w:tab w:val="left" w:pos="540"/>
        </w:tabs>
        <w:ind w:left="0"/>
      </w:pPr>
      <w:r>
        <w:t>Avtozma</w:t>
      </w:r>
      <w:r w:rsidRPr="0028514E">
        <w:t xml:space="preserve"> </w:t>
      </w:r>
      <w:r w:rsidR="00296A74" w:rsidRPr="0028514E">
        <w:t xml:space="preserve">20 mg/ml steriili konsentraatti </w:t>
      </w:r>
    </w:p>
    <w:p w14:paraId="49817375" w14:textId="77777777" w:rsidR="003B7027" w:rsidRPr="0028514E" w:rsidRDefault="00296A74" w:rsidP="006E5F9A">
      <w:pPr>
        <w:pStyle w:val="a4"/>
        <w:tabs>
          <w:tab w:val="left" w:pos="540"/>
        </w:tabs>
        <w:ind w:left="0"/>
      </w:pPr>
      <w:r w:rsidRPr="0028514E">
        <w:t>tosilitsumabi</w:t>
      </w:r>
    </w:p>
    <w:p w14:paraId="063726CD" w14:textId="77777777" w:rsidR="003B7027" w:rsidRPr="0028514E" w:rsidRDefault="00296A74" w:rsidP="006E5F9A">
      <w:pPr>
        <w:pStyle w:val="a4"/>
        <w:tabs>
          <w:tab w:val="left" w:pos="540"/>
        </w:tabs>
        <w:ind w:left="0"/>
      </w:pPr>
      <w:r w:rsidRPr="0028514E">
        <w:t>i.v.</w:t>
      </w:r>
    </w:p>
    <w:p w14:paraId="0CD82B0B" w14:textId="77777777" w:rsidR="003B7027" w:rsidRPr="0028514E" w:rsidRDefault="003B7027" w:rsidP="006E5F9A">
      <w:pPr>
        <w:pStyle w:val="a4"/>
        <w:tabs>
          <w:tab w:val="left" w:pos="540"/>
        </w:tabs>
        <w:ind w:left="0"/>
      </w:pPr>
    </w:p>
    <w:p w14:paraId="5BF7EAAF" w14:textId="77777777" w:rsidR="00997012" w:rsidRPr="0028514E" w:rsidRDefault="00997012" w:rsidP="006E5F9A">
      <w:pPr>
        <w:pStyle w:val="a4"/>
        <w:tabs>
          <w:tab w:val="left" w:pos="540"/>
        </w:tabs>
        <w:ind w:left="0"/>
      </w:pPr>
    </w:p>
    <w:p w14:paraId="50F3236D"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2.</w:t>
      </w:r>
      <w:r w:rsidRPr="00E12A1E">
        <w:rPr>
          <w:b/>
          <w:lang w:val="fi-FI"/>
        </w:rPr>
        <w:tab/>
        <w:t>ANTOTAPA</w:t>
      </w:r>
    </w:p>
    <w:p w14:paraId="1AA2DD00" w14:textId="77777777" w:rsidR="003B7027" w:rsidRPr="0028514E" w:rsidRDefault="003B7027" w:rsidP="006E5F9A">
      <w:pPr>
        <w:pStyle w:val="a4"/>
        <w:tabs>
          <w:tab w:val="left" w:pos="540"/>
        </w:tabs>
        <w:ind w:left="0"/>
      </w:pPr>
    </w:p>
    <w:p w14:paraId="7504F8A7" w14:textId="6ED0E825" w:rsidR="003B7027" w:rsidRPr="0028514E" w:rsidRDefault="00296A74" w:rsidP="006E5F9A">
      <w:pPr>
        <w:pStyle w:val="a4"/>
        <w:tabs>
          <w:tab w:val="left" w:pos="540"/>
        </w:tabs>
        <w:ind w:left="0"/>
      </w:pPr>
      <w:r w:rsidRPr="0028514E">
        <w:t>i.v.</w:t>
      </w:r>
    </w:p>
    <w:p w14:paraId="5AC40C96" w14:textId="77777777" w:rsidR="003B7027" w:rsidRPr="0028514E" w:rsidRDefault="003B7027" w:rsidP="006E5F9A">
      <w:pPr>
        <w:pStyle w:val="a4"/>
        <w:tabs>
          <w:tab w:val="left" w:pos="540"/>
        </w:tabs>
        <w:ind w:left="0"/>
      </w:pPr>
    </w:p>
    <w:p w14:paraId="2E23C251" w14:textId="77777777" w:rsidR="00997012" w:rsidRPr="0028514E" w:rsidRDefault="00997012" w:rsidP="006E5F9A">
      <w:pPr>
        <w:pStyle w:val="a4"/>
        <w:tabs>
          <w:tab w:val="left" w:pos="540"/>
        </w:tabs>
        <w:ind w:left="0"/>
      </w:pPr>
    </w:p>
    <w:p w14:paraId="2CE25F84"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3.</w:t>
      </w:r>
      <w:r w:rsidRPr="00E12A1E">
        <w:rPr>
          <w:b/>
          <w:lang w:val="fi-FI"/>
        </w:rPr>
        <w:tab/>
        <w:t>VIIMEINEN KÄYTTÖPÄIVÄMÄÄRÄ</w:t>
      </w:r>
    </w:p>
    <w:p w14:paraId="03770660" w14:textId="77777777" w:rsidR="003B7027" w:rsidRPr="0028514E" w:rsidRDefault="003B7027" w:rsidP="006E5F9A">
      <w:pPr>
        <w:pStyle w:val="a4"/>
        <w:tabs>
          <w:tab w:val="left" w:pos="540"/>
        </w:tabs>
        <w:ind w:left="0"/>
      </w:pPr>
    </w:p>
    <w:p w14:paraId="083C45EE" w14:textId="77777777" w:rsidR="003B7027" w:rsidRPr="0028514E" w:rsidRDefault="00296A74" w:rsidP="006E5F9A">
      <w:pPr>
        <w:pStyle w:val="a4"/>
        <w:tabs>
          <w:tab w:val="left" w:pos="540"/>
        </w:tabs>
        <w:ind w:left="0"/>
      </w:pPr>
      <w:r w:rsidRPr="0028514E">
        <w:t>EXP</w:t>
      </w:r>
    </w:p>
    <w:p w14:paraId="0B535FA8" w14:textId="77777777" w:rsidR="003B7027" w:rsidRPr="0028514E" w:rsidRDefault="003B7027" w:rsidP="006E5F9A">
      <w:pPr>
        <w:pStyle w:val="a4"/>
        <w:tabs>
          <w:tab w:val="left" w:pos="540"/>
        </w:tabs>
        <w:ind w:left="0"/>
      </w:pPr>
    </w:p>
    <w:p w14:paraId="1889593F" w14:textId="77777777" w:rsidR="00997012" w:rsidRPr="0028514E" w:rsidRDefault="00997012" w:rsidP="006E5F9A">
      <w:pPr>
        <w:pStyle w:val="a4"/>
        <w:tabs>
          <w:tab w:val="left" w:pos="540"/>
        </w:tabs>
        <w:ind w:left="0"/>
      </w:pPr>
    </w:p>
    <w:p w14:paraId="6831759D"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4.</w:t>
      </w:r>
      <w:r w:rsidRPr="00E12A1E">
        <w:rPr>
          <w:b/>
          <w:lang w:val="fi-FI"/>
        </w:rPr>
        <w:tab/>
        <w:t>ERÄNUMERO</w:t>
      </w:r>
    </w:p>
    <w:p w14:paraId="4C79FCEC" w14:textId="77777777" w:rsidR="003B7027" w:rsidRPr="0028514E" w:rsidRDefault="003B7027" w:rsidP="006E5F9A">
      <w:pPr>
        <w:pStyle w:val="a4"/>
        <w:tabs>
          <w:tab w:val="left" w:pos="540"/>
        </w:tabs>
        <w:ind w:left="0"/>
      </w:pPr>
    </w:p>
    <w:p w14:paraId="7EE8D15B" w14:textId="77777777" w:rsidR="003B7027" w:rsidRPr="0028514E" w:rsidRDefault="00296A74" w:rsidP="006E5F9A">
      <w:pPr>
        <w:pStyle w:val="a4"/>
        <w:tabs>
          <w:tab w:val="left" w:pos="540"/>
        </w:tabs>
        <w:ind w:left="0"/>
      </w:pPr>
      <w:r w:rsidRPr="0028514E">
        <w:t>Lot</w:t>
      </w:r>
    </w:p>
    <w:p w14:paraId="44B49847" w14:textId="77777777" w:rsidR="003B7027" w:rsidRPr="0028514E" w:rsidRDefault="003B7027" w:rsidP="006E5F9A">
      <w:pPr>
        <w:pStyle w:val="a4"/>
        <w:tabs>
          <w:tab w:val="left" w:pos="540"/>
        </w:tabs>
        <w:ind w:left="0"/>
      </w:pPr>
    </w:p>
    <w:p w14:paraId="5F42BE52" w14:textId="77777777" w:rsidR="00997012" w:rsidRPr="0028514E" w:rsidRDefault="00997012" w:rsidP="006E5F9A">
      <w:pPr>
        <w:pStyle w:val="a4"/>
        <w:tabs>
          <w:tab w:val="left" w:pos="540"/>
        </w:tabs>
        <w:ind w:left="0"/>
      </w:pPr>
    </w:p>
    <w:p w14:paraId="1E8C4A86"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E12A1E">
        <w:rPr>
          <w:b/>
          <w:lang w:val="fi-FI"/>
        </w:rPr>
        <w:t>5.</w:t>
      </w:r>
      <w:r w:rsidRPr="00E12A1E">
        <w:rPr>
          <w:b/>
          <w:lang w:val="fi-FI"/>
        </w:rPr>
        <w:tab/>
        <w:t>SISÄLLÖN MÄÄRÄ PAINONA, TILAVUUTENA TAI YKSIKKÖINÄ</w:t>
      </w:r>
    </w:p>
    <w:p w14:paraId="0713BE64" w14:textId="77777777" w:rsidR="003B7027" w:rsidRPr="0028514E" w:rsidRDefault="003B7027" w:rsidP="006E5F9A">
      <w:pPr>
        <w:pStyle w:val="a4"/>
        <w:tabs>
          <w:tab w:val="left" w:pos="540"/>
        </w:tabs>
        <w:ind w:left="0"/>
      </w:pPr>
    </w:p>
    <w:p w14:paraId="1B7BAF4A" w14:textId="77777777" w:rsidR="003B7027" w:rsidRPr="0028514E" w:rsidRDefault="00296A74" w:rsidP="006E5F9A">
      <w:pPr>
        <w:pStyle w:val="a4"/>
        <w:tabs>
          <w:tab w:val="left" w:pos="540"/>
        </w:tabs>
        <w:ind w:left="0"/>
      </w:pPr>
      <w:r w:rsidRPr="0028514E">
        <w:t>200 mg/10 ml</w:t>
      </w:r>
    </w:p>
    <w:p w14:paraId="73005CC2" w14:textId="77777777" w:rsidR="003B7027" w:rsidRPr="0028514E" w:rsidRDefault="003B7027" w:rsidP="006E5F9A">
      <w:pPr>
        <w:pStyle w:val="a4"/>
        <w:tabs>
          <w:tab w:val="left" w:pos="540"/>
        </w:tabs>
        <w:ind w:left="0"/>
      </w:pPr>
    </w:p>
    <w:p w14:paraId="6FF36520" w14:textId="77777777" w:rsidR="00997012" w:rsidRPr="0028514E" w:rsidRDefault="00997012" w:rsidP="006E5F9A">
      <w:pPr>
        <w:pStyle w:val="a4"/>
        <w:tabs>
          <w:tab w:val="left" w:pos="540"/>
        </w:tabs>
        <w:ind w:left="0"/>
      </w:pPr>
    </w:p>
    <w:p w14:paraId="677B7721"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6.</w:t>
      </w:r>
      <w:r w:rsidRPr="00E12A1E">
        <w:rPr>
          <w:b/>
          <w:lang w:val="fi-FI"/>
        </w:rPr>
        <w:tab/>
        <w:t>MUUTA</w:t>
      </w:r>
    </w:p>
    <w:p w14:paraId="06962C98" w14:textId="77777777" w:rsidR="003B7027" w:rsidRPr="0028514E" w:rsidRDefault="003B7027" w:rsidP="006E5F9A">
      <w:pPr>
        <w:pStyle w:val="a4"/>
        <w:tabs>
          <w:tab w:val="left" w:pos="540"/>
        </w:tabs>
        <w:ind w:left="0"/>
        <w:rPr>
          <w:sz w:val="20"/>
        </w:rPr>
      </w:pPr>
    </w:p>
    <w:p w14:paraId="1B76E639" w14:textId="286A2B75" w:rsidR="00FC0567" w:rsidRPr="00E12A1E" w:rsidRDefault="00997012" w:rsidP="004937DD">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E12A1E">
        <w:rPr>
          <w:sz w:val="20"/>
          <w:lang w:val="fi-FI"/>
        </w:rPr>
        <w:br w:type="page"/>
      </w:r>
      <w:r w:rsidR="00FC0567" w:rsidRPr="00E12A1E">
        <w:rPr>
          <w:b/>
          <w:lang w:val="fi-FI"/>
        </w:rPr>
        <w:lastRenderedPageBreak/>
        <w:t>PIENISSÄ SISÄPAKKAUKSISSA ON OLTAVA VÄHINTÄÄN SEURAAVAT MERKINNÄT</w:t>
      </w:r>
    </w:p>
    <w:p w14:paraId="3B6AE3F0" w14:textId="77777777" w:rsidR="00FC0567" w:rsidRPr="0028514E" w:rsidRDefault="00FC0567" w:rsidP="004937DD">
      <w:pPr>
        <w:pStyle w:val="a4"/>
        <w:pBdr>
          <w:top w:val="single" w:sz="4" w:space="1" w:color="000000"/>
          <w:left w:val="single" w:sz="4" w:space="4" w:color="000000"/>
          <w:bottom w:val="single" w:sz="4" w:space="1" w:color="000000"/>
          <w:right w:val="single" w:sz="4" w:space="4" w:color="000000"/>
        </w:pBdr>
        <w:tabs>
          <w:tab w:val="left" w:pos="540"/>
        </w:tabs>
        <w:ind w:left="0"/>
        <w:rPr>
          <w:b/>
        </w:rPr>
      </w:pPr>
    </w:p>
    <w:p w14:paraId="0EB72FC1" w14:textId="77777777" w:rsidR="00FC0567" w:rsidRPr="00E12A1E" w:rsidRDefault="00FC0567" w:rsidP="004937DD">
      <w:pPr>
        <w:pBdr>
          <w:top w:val="single" w:sz="4" w:space="1" w:color="000000"/>
          <w:left w:val="single" w:sz="4" w:space="4" w:color="000000"/>
          <w:bottom w:val="single" w:sz="4" w:space="1" w:color="000000"/>
          <w:right w:val="single" w:sz="4" w:space="4" w:color="000000"/>
        </w:pBdr>
        <w:tabs>
          <w:tab w:val="left" w:pos="540"/>
        </w:tabs>
        <w:rPr>
          <w:b/>
          <w:lang w:val="fi-FI"/>
        </w:rPr>
      </w:pPr>
      <w:r w:rsidRPr="00E12A1E">
        <w:rPr>
          <w:b/>
          <w:lang w:val="fi-FI"/>
        </w:rPr>
        <w:t>INJEKTIOPULLO</w:t>
      </w:r>
    </w:p>
    <w:p w14:paraId="24AFB01E" w14:textId="77777777" w:rsidR="003B7027" w:rsidRPr="0028514E" w:rsidRDefault="003B7027" w:rsidP="006E5F9A">
      <w:pPr>
        <w:pStyle w:val="a4"/>
        <w:tabs>
          <w:tab w:val="left" w:pos="540"/>
        </w:tabs>
        <w:ind w:left="0"/>
        <w:rPr>
          <w:sz w:val="20"/>
        </w:rPr>
      </w:pPr>
    </w:p>
    <w:p w14:paraId="030440CD" w14:textId="77777777" w:rsidR="00997012" w:rsidRPr="0028514E" w:rsidRDefault="00997012" w:rsidP="006E5F9A">
      <w:pPr>
        <w:pStyle w:val="a4"/>
        <w:tabs>
          <w:tab w:val="left" w:pos="540"/>
        </w:tabs>
        <w:ind w:left="0"/>
        <w:rPr>
          <w:sz w:val="20"/>
        </w:rPr>
      </w:pPr>
    </w:p>
    <w:p w14:paraId="55369A0A"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1.</w:t>
      </w:r>
      <w:r w:rsidRPr="00E12A1E">
        <w:rPr>
          <w:b/>
          <w:lang w:val="fi-FI"/>
        </w:rPr>
        <w:tab/>
        <w:t>LÄÄKEVALMISTEEN NIMI JA TARVITTAESSA ANTOREITTI (ANTOREITIT)</w:t>
      </w:r>
    </w:p>
    <w:p w14:paraId="2AC059DD" w14:textId="77777777" w:rsidR="003B7027" w:rsidRPr="0028514E" w:rsidRDefault="003B7027" w:rsidP="006E5F9A">
      <w:pPr>
        <w:pStyle w:val="a4"/>
        <w:tabs>
          <w:tab w:val="left" w:pos="540"/>
        </w:tabs>
        <w:ind w:left="0"/>
        <w:rPr>
          <w:sz w:val="20"/>
        </w:rPr>
      </w:pPr>
    </w:p>
    <w:p w14:paraId="304430CD" w14:textId="5F66D18B" w:rsidR="00615DE1" w:rsidRDefault="00383DD9" w:rsidP="006E5F9A">
      <w:pPr>
        <w:pStyle w:val="a4"/>
        <w:tabs>
          <w:tab w:val="left" w:pos="540"/>
        </w:tabs>
        <w:ind w:left="0"/>
      </w:pPr>
      <w:r>
        <w:t>Avtozma</w:t>
      </w:r>
      <w:r w:rsidRPr="0028514E">
        <w:t xml:space="preserve"> </w:t>
      </w:r>
      <w:r w:rsidR="00296A74" w:rsidRPr="0028514E">
        <w:t xml:space="preserve">20 mg/ml steriili konsentraatti </w:t>
      </w:r>
    </w:p>
    <w:p w14:paraId="4311072F" w14:textId="77777777" w:rsidR="003B7027" w:rsidRPr="0028514E" w:rsidRDefault="00296A74" w:rsidP="006E5F9A">
      <w:pPr>
        <w:pStyle w:val="a4"/>
        <w:tabs>
          <w:tab w:val="left" w:pos="540"/>
        </w:tabs>
        <w:ind w:left="0"/>
      </w:pPr>
      <w:r w:rsidRPr="0028514E">
        <w:t>tosilitsumabi</w:t>
      </w:r>
    </w:p>
    <w:p w14:paraId="7F4D6053" w14:textId="77777777" w:rsidR="003B7027" w:rsidRPr="0028514E" w:rsidRDefault="00296A74" w:rsidP="006E5F9A">
      <w:pPr>
        <w:pStyle w:val="a4"/>
        <w:tabs>
          <w:tab w:val="left" w:pos="540"/>
        </w:tabs>
        <w:ind w:left="0"/>
      </w:pPr>
      <w:r w:rsidRPr="0028514E">
        <w:t>i.v.</w:t>
      </w:r>
    </w:p>
    <w:p w14:paraId="56755094" w14:textId="77777777" w:rsidR="003B7027" w:rsidRPr="0028514E" w:rsidRDefault="003B7027" w:rsidP="006E5F9A">
      <w:pPr>
        <w:pStyle w:val="a4"/>
        <w:tabs>
          <w:tab w:val="left" w:pos="540"/>
        </w:tabs>
        <w:ind w:left="0"/>
        <w:rPr>
          <w:sz w:val="20"/>
        </w:rPr>
      </w:pPr>
    </w:p>
    <w:p w14:paraId="6DA1247D" w14:textId="77777777" w:rsidR="00997012" w:rsidRPr="0028514E" w:rsidRDefault="00997012" w:rsidP="006E5F9A">
      <w:pPr>
        <w:pStyle w:val="a4"/>
        <w:tabs>
          <w:tab w:val="left" w:pos="540"/>
        </w:tabs>
        <w:ind w:left="0"/>
        <w:rPr>
          <w:sz w:val="20"/>
        </w:rPr>
      </w:pPr>
    </w:p>
    <w:p w14:paraId="5A01D0BC"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2.</w:t>
      </w:r>
      <w:r w:rsidRPr="00E12A1E">
        <w:rPr>
          <w:b/>
          <w:lang w:val="fi-FI"/>
        </w:rPr>
        <w:tab/>
        <w:t>ANTOTAPA</w:t>
      </w:r>
    </w:p>
    <w:p w14:paraId="12B1A9EC" w14:textId="77777777" w:rsidR="003B7027" w:rsidRPr="0028514E" w:rsidRDefault="003B7027" w:rsidP="006E5F9A">
      <w:pPr>
        <w:pStyle w:val="a4"/>
        <w:tabs>
          <w:tab w:val="left" w:pos="540"/>
        </w:tabs>
        <w:ind w:left="0"/>
        <w:rPr>
          <w:sz w:val="20"/>
        </w:rPr>
      </w:pPr>
    </w:p>
    <w:p w14:paraId="44D06C3F" w14:textId="1C0EEF5A" w:rsidR="003B7027" w:rsidRPr="0028514E" w:rsidRDefault="00296A74" w:rsidP="006E5F9A">
      <w:pPr>
        <w:pStyle w:val="a4"/>
        <w:tabs>
          <w:tab w:val="left" w:pos="540"/>
        </w:tabs>
        <w:ind w:left="0"/>
      </w:pPr>
      <w:r w:rsidRPr="0028514E">
        <w:t>i.v.</w:t>
      </w:r>
    </w:p>
    <w:p w14:paraId="0AD5787E" w14:textId="77777777" w:rsidR="003B7027" w:rsidRPr="0028514E" w:rsidRDefault="003B7027" w:rsidP="006E5F9A">
      <w:pPr>
        <w:pStyle w:val="a4"/>
        <w:tabs>
          <w:tab w:val="left" w:pos="540"/>
        </w:tabs>
        <w:ind w:left="0"/>
        <w:rPr>
          <w:sz w:val="20"/>
        </w:rPr>
      </w:pPr>
    </w:p>
    <w:p w14:paraId="3A7C37D1" w14:textId="77777777" w:rsidR="00997012" w:rsidRPr="0028514E" w:rsidRDefault="00997012" w:rsidP="006E5F9A">
      <w:pPr>
        <w:pStyle w:val="a4"/>
        <w:tabs>
          <w:tab w:val="left" w:pos="540"/>
        </w:tabs>
        <w:ind w:left="0"/>
        <w:rPr>
          <w:sz w:val="20"/>
        </w:rPr>
      </w:pPr>
    </w:p>
    <w:p w14:paraId="4A760FB0"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3.</w:t>
      </w:r>
      <w:r w:rsidRPr="00E12A1E">
        <w:rPr>
          <w:b/>
          <w:lang w:val="fi-FI"/>
        </w:rPr>
        <w:tab/>
        <w:t>VIIMEINEN KÄYTTÖPÄIVÄMÄÄRÄ</w:t>
      </w:r>
    </w:p>
    <w:p w14:paraId="2E44A6B5" w14:textId="77777777" w:rsidR="003B7027" w:rsidRPr="0028514E" w:rsidRDefault="003B7027" w:rsidP="006E5F9A">
      <w:pPr>
        <w:pStyle w:val="a4"/>
        <w:tabs>
          <w:tab w:val="left" w:pos="540"/>
        </w:tabs>
        <w:ind w:left="0"/>
      </w:pPr>
    </w:p>
    <w:p w14:paraId="1ABC4A71" w14:textId="77777777" w:rsidR="003B7027" w:rsidRPr="0028514E" w:rsidRDefault="00296A74" w:rsidP="006E5F9A">
      <w:pPr>
        <w:pStyle w:val="a4"/>
        <w:tabs>
          <w:tab w:val="left" w:pos="540"/>
        </w:tabs>
        <w:ind w:left="0"/>
      </w:pPr>
      <w:r w:rsidRPr="0028514E">
        <w:t>EXP</w:t>
      </w:r>
    </w:p>
    <w:p w14:paraId="44809EFA" w14:textId="77777777" w:rsidR="003B7027" w:rsidRPr="0028514E" w:rsidRDefault="003B7027" w:rsidP="006E5F9A">
      <w:pPr>
        <w:pStyle w:val="a4"/>
        <w:tabs>
          <w:tab w:val="left" w:pos="540"/>
        </w:tabs>
        <w:ind w:left="0"/>
        <w:rPr>
          <w:sz w:val="20"/>
        </w:rPr>
      </w:pPr>
    </w:p>
    <w:p w14:paraId="155FB311" w14:textId="77777777" w:rsidR="00997012" w:rsidRPr="0028514E" w:rsidRDefault="00997012" w:rsidP="006E5F9A">
      <w:pPr>
        <w:pStyle w:val="a4"/>
        <w:tabs>
          <w:tab w:val="left" w:pos="540"/>
        </w:tabs>
        <w:ind w:left="0"/>
        <w:rPr>
          <w:sz w:val="20"/>
        </w:rPr>
      </w:pPr>
    </w:p>
    <w:p w14:paraId="13654947"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4.</w:t>
      </w:r>
      <w:r w:rsidRPr="00E12A1E">
        <w:rPr>
          <w:b/>
          <w:lang w:val="fi-FI"/>
        </w:rPr>
        <w:tab/>
        <w:t>ERÄNUMERO</w:t>
      </w:r>
    </w:p>
    <w:p w14:paraId="2FB8E1D1" w14:textId="77777777" w:rsidR="003B7027" w:rsidRPr="0028514E" w:rsidRDefault="003B7027" w:rsidP="006E5F9A">
      <w:pPr>
        <w:pStyle w:val="a4"/>
        <w:tabs>
          <w:tab w:val="left" w:pos="540"/>
        </w:tabs>
        <w:ind w:left="0"/>
        <w:rPr>
          <w:sz w:val="20"/>
        </w:rPr>
      </w:pPr>
    </w:p>
    <w:p w14:paraId="62BBCB2B" w14:textId="77777777" w:rsidR="003B7027" w:rsidRPr="0028514E" w:rsidRDefault="00296A74" w:rsidP="006E5F9A">
      <w:pPr>
        <w:pStyle w:val="a4"/>
        <w:tabs>
          <w:tab w:val="left" w:pos="540"/>
        </w:tabs>
        <w:ind w:left="0"/>
      </w:pPr>
      <w:r w:rsidRPr="0028514E">
        <w:t>Lot</w:t>
      </w:r>
    </w:p>
    <w:p w14:paraId="596E0BF5" w14:textId="77777777" w:rsidR="003B7027" w:rsidRPr="0028514E" w:rsidRDefault="003B7027" w:rsidP="006E5F9A">
      <w:pPr>
        <w:pStyle w:val="a4"/>
        <w:tabs>
          <w:tab w:val="left" w:pos="540"/>
        </w:tabs>
        <w:ind w:left="0"/>
        <w:rPr>
          <w:sz w:val="20"/>
        </w:rPr>
      </w:pPr>
    </w:p>
    <w:p w14:paraId="6DCD9FF3" w14:textId="77777777" w:rsidR="00997012" w:rsidRPr="0028514E" w:rsidRDefault="00997012" w:rsidP="006E5F9A">
      <w:pPr>
        <w:pStyle w:val="a4"/>
        <w:tabs>
          <w:tab w:val="left" w:pos="540"/>
        </w:tabs>
        <w:ind w:left="0"/>
        <w:rPr>
          <w:sz w:val="20"/>
        </w:rPr>
      </w:pPr>
    </w:p>
    <w:p w14:paraId="047E2757"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E12A1E">
        <w:rPr>
          <w:b/>
          <w:lang w:val="fi-FI"/>
        </w:rPr>
        <w:t>5.</w:t>
      </w:r>
      <w:r w:rsidRPr="00E12A1E">
        <w:rPr>
          <w:b/>
          <w:lang w:val="fi-FI"/>
        </w:rPr>
        <w:tab/>
        <w:t>SISÄLLÖN MÄÄRÄ PAINONA, TILAVUUTENA TAI YKSIKKÖINÄ</w:t>
      </w:r>
    </w:p>
    <w:p w14:paraId="76B7E408" w14:textId="77777777" w:rsidR="003B7027" w:rsidRPr="0028514E" w:rsidRDefault="003B7027" w:rsidP="006E5F9A">
      <w:pPr>
        <w:pStyle w:val="a4"/>
        <w:tabs>
          <w:tab w:val="left" w:pos="540"/>
        </w:tabs>
        <w:ind w:left="0"/>
      </w:pPr>
    </w:p>
    <w:p w14:paraId="07B4064A" w14:textId="77777777" w:rsidR="003B7027" w:rsidRPr="0028514E" w:rsidRDefault="00296A74" w:rsidP="006E5F9A">
      <w:pPr>
        <w:pStyle w:val="a4"/>
        <w:tabs>
          <w:tab w:val="left" w:pos="540"/>
        </w:tabs>
        <w:ind w:left="0"/>
      </w:pPr>
      <w:r w:rsidRPr="0028514E">
        <w:t>400 mg/20 ml</w:t>
      </w:r>
    </w:p>
    <w:p w14:paraId="2061F045" w14:textId="77777777" w:rsidR="003B7027" w:rsidRPr="0028514E" w:rsidRDefault="003B7027" w:rsidP="006E5F9A">
      <w:pPr>
        <w:pStyle w:val="a4"/>
        <w:tabs>
          <w:tab w:val="left" w:pos="540"/>
        </w:tabs>
        <w:ind w:left="0"/>
        <w:rPr>
          <w:sz w:val="20"/>
        </w:rPr>
      </w:pPr>
    </w:p>
    <w:p w14:paraId="684B410F" w14:textId="77777777" w:rsidR="00997012" w:rsidRPr="0028514E" w:rsidRDefault="00997012" w:rsidP="006E5F9A">
      <w:pPr>
        <w:pStyle w:val="a4"/>
        <w:tabs>
          <w:tab w:val="left" w:pos="540"/>
        </w:tabs>
        <w:ind w:left="0"/>
        <w:rPr>
          <w:sz w:val="20"/>
        </w:rPr>
      </w:pPr>
    </w:p>
    <w:p w14:paraId="2A0BCCEB" w14:textId="77777777" w:rsidR="00FC0567" w:rsidRPr="00E12A1E" w:rsidRDefault="00FC0567"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6.</w:t>
      </w:r>
      <w:r w:rsidRPr="00E12A1E">
        <w:rPr>
          <w:b/>
          <w:lang w:val="fi-FI"/>
        </w:rPr>
        <w:tab/>
        <w:t>MUUTA</w:t>
      </w:r>
    </w:p>
    <w:p w14:paraId="21C11F80" w14:textId="77777777" w:rsidR="003B7027" w:rsidRPr="0028514E" w:rsidRDefault="003B7027" w:rsidP="006E5F9A">
      <w:pPr>
        <w:pStyle w:val="a4"/>
        <w:tabs>
          <w:tab w:val="left" w:pos="540"/>
        </w:tabs>
        <w:ind w:left="0"/>
        <w:rPr>
          <w:sz w:val="20"/>
        </w:rPr>
      </w:pPr>
    </w:p>
    <w:p w14:paraId="69D63847" w14:textId="0C11F390" w:rsidR="00FC0567" w:rsidRPr="00E12A1E" w:rsidRDefault="00997012" w:rsidP="004937DD">
      <w:pPr>
        <w:widowControl w:val="0"/>
        <w:pBdr>
          <w:top w:val="single" w:sz="4" w:space="1" w:color="000000"/>
          <w:left w:val="single" w:sz="4" w:space="4" w:color="000000"/>
          <w:bottom w:val="single" w:sz="4" w:space="1" w:color="000000"/>
          <w:right w:val="single" w:sz="4" w:space="4" w:color="000000"/>
        </w:pBdr>
        <w:autoSpaceDE w:val="0"/>
        <w:autoSpaceDN w:val="0"/>
        <w:rPr>
          <w:b/>
          <w:lang w:val="fi-FI"/>
        </w:rPr>
      </w:pPr>
      <w:r w:rsidRPr="00E12A1E">
        <w:rPr>
          <w:sz w:val="20"/>
          <w:lang w:val="fi-FI"/>
        </w:rPr>
        <w:br w:type="page"/>
      </w:r>
      <w:r w:rsidR="00FC0567" w:rsidRPr="00E12A1E">
        <w:rPr>
          <w:b/>
          <w:lang w:val="fi-FI"/>
        </w:rPr>
        <w:lastRenderedPageBreak/>
        <w:t>PIENISSÄ SISÄPAKKAUKSISSA ON OLTAVA VÄHINTÄÄN SEURAAVAT MERKINNÄT</w:t>
      </w:r>
    </w:p>
    <w:p w14:paraId="5A39F88C" w14:textId="77777777" w:rsidR="00FC0567" w:rsidRPr="0028514E" w:rsidRDefault="00FC0567" w:rsidP="004937DD">
      <w:pPr>
        <w:pStyle w:val="a4"/>
        <w:pBdr>
          <w:top w:val="single" w:sz="4" w:space="1" w:color="000000"/>
          <w:left w:val="single" w:sz="4" w:space="4" w:color="000000"/>
          <w:bottom w:val="single" w:sz="4" w:space="1" w:color="000000"/>
          <w:right w:val="single" w:sz="4" w:space="4" w:color="000000"/>
        </w:pBdr>
        <w:tabs>
          <w:tab w:val="left" w:pos="540"/>
        </w:tabs>
        <w:ind w:left="0"/>
        <w:rPr>
          <w:b/>
        </w:rPr>
      </w:pPr>
    </w:p>
    <w:p w14:paraId="7D00FD41" w14:textId="77777777" w:rsidR="00FC0567" w:rsidRPr="00E12A1E" w:rsidRDefault="00FC0567" w:rsidP="004937DD">
      <w:pPr>
        <w:pBdr>
          <w:top w:val="single" w:sz="4" w:space="1" w:color="000000"/>
          <w:left w:val="single" w:sz="4" w:space="4" w:color="000000"/>
          <w:bottom w:val="single" w:sz="4" w:space="1" w:color="000000"/>
          <w:right w:val="single" w:sz="4" w:space="4" w:color="000000"/>
        </w:pBdr>
        <w:tabs>
          <w:tab w:val="left" w:pos="540"/>
        </w:tabs>
        <w:rPr>
          <w:b/>
          <w:lang w:val="fi-FI"/>
        </w:rPr>
      </w:pPr>
      <w:r w:rsidRPr="00E12A1E">
        <w:rPr>
          <w:b/>
          <w:lang w:val="fi-FI"/>
        </w:rPr>
        <w:t>ESITÄYTETYN RUISKUN ETIKETTI</w:t>
      </w:r>
    </w:p>
    <w:p w14:paraId="75A4F653" w14:textId="77777777" w:rsidR="00997012" w:rsidRDefault="00997012" w:rsidP="006E5F9A">
      <w:pPr>
        <w:pStyle w:val="a4"/>
        <w:tabs>
          <w:tab w:val="left" w:pos="540"/>
        </w:tabs>
        <w:ind w:left="0"/>
      </w:pPr>
    </w:p>
    <w:p w14:paraId="2CA14F1E" w14:textId="77777777" w:rsidR="004937DD" w:rsidRPr="0028514E" w:rsidRDefault="004937DD" w:rsidP="006E5F9A">
      <w:pPr>
        <w:pStyle w:val="a4"/>
        <w:tabs>
          <w:tab w:val="left" w:pos="540"/>
        </w:tabs>
        <w:ind w:left="0"/>
      </w:pPr>
    </w:p>
    <w:p w14:paraId="548ACFC7"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1.</w:t>
      </w:r>
      <w:r w:rsidRPr="00E12A1E">
        <w:rPr>
          <w:b/>
          <w:lang w:val="fi-FI"/>
        </w:rPr>
        <w:tab/>
        <w:t>LÄÄKEVALMISTEEN NIMI JA TARVITTAESSA ANTOREITTI (ANTOREITIT)</w:t>
      </w:r>
    </w:p>
    <w:p w14:paraId="6C51E86C" w14:textId="77777777" w:rsidR="003B7027" w:rsidRPr="0028514E" w:rsidRDefault="003B7027" w:rsidP="006E5F9A">
      <w:pPr>
        <w:pStyle w:val="a4"/>
        <w:tabs>
          <w:tab w:val="left" w:pos="540"/>
        </w:tabs>
        <w:ind w:left="0"/>
      </w:pPr>
    </w:p>
    <w:p w14:paraId="1D4E5CFD" w14:textId="0681B650" w:rsidR="00615DE1" w:rsidRDefault="00383DD9" w:rsidP="006E5F9A">
      <w:pPr>
        <w:pStyle w:val="a4"/>
        <w:tabs>
          <w:tab w:val="left" w:pos="540"/>
        </w:tabs>
        <w:ind w:left="0"/>
      </w:pPr>
      <w:r>
        <w:t>Avtozma</w:t>
      </w:r>
      <w:r w:rsidRPr="0028514E">
        <w:t xml:space="preserve"> </w:t>
      </w:r>
      <w:r w:rsidR="00296A74" w:rsidRPr="0028514E">
        <w:t xml:space="preserve">162 mg injektio </w:t>
      </w:r>
    </w:p>
    <w:p w14:paraId="62522329" w14:textId="77777777" w:rsidR="003B7027" w:rsidRPr="0028514E" w:rsidRDefault="00296A74" w:rsidP="006E5F9A">
      <w:pPr>
        <w:pStyle w:val="a4"/>
        <w:tabs>
          <w:tab w:val="left" w:pos="540"/>
        </w:tabs>
        <w:ind w:left="0"/>
      </w:pPr>
      <w:r w:rsidRPr="0028514E">
        <w:t>tosilitsumabi</w:t>
      </w:r>
    </w:p>
    <w:p w14:paraId="041BC027" w14:textId="77777777" w:rsidR="003B7027" w:rsidRPr="0028514E" w:rsidRDefault="00296A74" w:rsidP="006E5F9A">
      <w:pPr>
        <w:pStyle w:val="a4"/>
        <w:tabs>
          <w:tab w:val="left" w:pos="540"/>
        </w:tabs>
        <w:ind w:left="0"/>
      </w:pPr>
      <w:r w:rsidRPr="0028514E">
        <w:t>s.c.</w:t>
      </w:r>
    </w:p>
    <w:p w14:paraId="37A74CFE" w14:textId="77777777" w:rsidR="003B7027" w:rsidRPr="0028514E" w:rsidRDefault="003B7027" w:rsidP="006E5F9A">
      <w:pPr>
        <w:pStyle w:val="a4"/>
        <w:tabs>
          <w:tab w:val="left" w:pos="540"/>
        </w:tabs>
        <w:ind w:left="0"/>
      </w:pPr>
    </w:p>
    <w:p w14:paraId="2841884A" w14:textId="77777777" w:rsidR="00997012" w:rsidRPr="0028514E" w:rsidRDefault="00997012" w:rsidP="006E5F9A">
      <w:pPr>
        <w:pStyle w:val="a4"/>
        <w:tabs>
          <w:tab w:val="left" w:pos="540"/>
        </w:tabs>
        <w:ind w:left="0"/>
      </w:pPr>
    </w:p>
    <w:p w14:paraId="75163474"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E12A1E">
        <w:rPr>
          <w:b/>
          <w:lang w:val="fi-FI"/>
        </w:rPr>
        <w:t>2.</w:t>
      </w:r>
      <w:r w:rsidRPr="00E12A1E">
        <w:rPr>
          <w:b/>
          <w:lang w:val="fi-FI"/>
        </w:rPr>
        <w:tab/>
        <w:t>ANTOTAPA</w:t>
      </w:r>
    </w:p>
    <w:p w14:paraId="6FE74178" w14:textId="77777777" w:rsidR="003B7027" w:rsidRPr="0028514E" w:rsidRDefault="003B7027" w:rsidP="006E5F9A">
      <w:pPr>
        <w:pStyle w:val="a4"/>
        <w:tabs>
          <w:tab w:val="left" w:pos="540"/>
        </w:tabs>
        <w:ind w:left="0"/>
      </w:pPr>
    </w:p>
    <w:p w14:paraId="15C79833" w14:textId="77777777" w:rsidR="003B7027" w:rsidRPr="0028514E" w:rsidRDefault="003B7027" w:rsidP="006E5F9A">
      <w:pPr>
        <w:pStyle w:val="a4"/>
        <w:tabs>
          <w:tab w:val="left" w:pos="540"/>
        </w:tabs>
        <w:ind w:left="0"/>
      </w:pPr>
    </w:p>
    <w:p w14:paraId="25269CE5"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3.</w:t>
      </w:r>
      <w:r w:rsidRPr="00E12A1E">
        <w:rPr>
          <w:b/>
          <w:lang w:val="fi-FI"/>
        </w:rPr>
        <w:tab/>
        <w:t>VIIMEINEN KÄYTTÖPÄIVÄMÄÄRÄ</w:t>
      </w:r>
    </w:p>
    <w:p w14:paraId="555DB1CA" w14:textId="77777777" w:rsidR="003B7027" w:rsidRPr="0028514E" w:rsidRDefault="003B7027" w:rsidP="006E5F9A">
      <w:pPr>
        <w:pStyle w:val="a4"/>
        <w:tabs>
          <w:tab w:val="left" w:pos="540"/>
        </w:tabs>
        <w:ind w:left="0"/>
      </w:pPr>
    </w:p>
    <w:p w14:paraId="067A7FDB" w14:textId="77777777" w:rsidR="003B7027" w:rsidRPr="0028514E" w:rsidRDefault="00296A74" w:rsidP="006E5F9A">
      <w:pPr>
        <w:pStyle w:val="a4"/>
        <w:tabs>
          <w:tab w:val="left" w:pos="540"/>
        </w:tabs>
        <w:ind w:left="0"/>
      </w:pPr>
      <w:r w:rsidRPr="0028514E">
        <w:t>EXP</w:t>
      </w:r>
    </w:p>
    <w:p w14:paraId="2487B67F" w14:textId="77777777" w:rsidR="003B7027" w:rsidRPr="0028514E" w:rsidRDefault="003B7027" w:rsidP="006E5F9A">
      <w:pPr>
        <w:pStyle w:val="a4"/>
        <w:tabs>
          <w:tab w:val="left" w:pos="540"/>
        </w:tabs>
        <w:ind w:left="0"/>
      </w:pPr>
    </w:p>
    <w:p w14:paraId="0570F9FC" w14:textId="77777777" w:rsidR="00997012" w:rsidRPr="0028514E" w:rsidRDefault="00997012" w:rsidP="006E5F9A">
      <w:pPr>
        <w:pStyle w:val="a4"/>
        <w:tabs>
          <w:tab w:val="left" w:pos="540"/>
        </w:tabs>
        <w:ind w:left="0"/>
      </w:pPr>
    </w:p>
    <w:p w14:paraId="5A32F5D6"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E12A1E">
        <w:rPr>
          <w:b/>
          <w:lang w:val="fi-FI"/>
        </w:rPr>
        <w:t>4.</w:t>
      </w:r>
      <w:r w:rsidRPr="00E12A1E">
        <w:rPr>
          <w:b/>
          <w:lang w:val="fi-FI"/>
        </w:rPr>
        <w:tab/>
        <w:t>ERÄNUMERO</w:t>
      </w:r>
    </w:p>
    <w:p w14:paraId="700E02E8" w14:textId="77777777" w:rsidR="003B7027" w:rsidRPr="0028514E" w:rsidRDefault="003B7027" w:rsidP="006E5F9A">
      <w:pPr>
        <w:pStyle w:val="a4"/>
        <w:tabs>
          <w:tab w:val="left" w:pos="540"/>
        </w:tabs>
        <w:ind w:left="0"/>
      </w:pPr>
    </w:p>
    <w:p w14:paraId="64927B42" w14:textId="77777777" w:rsidR="003B7027" w:rsidRPr="0028514E" w:rsidRDefault="00296A74" w:rsidP="006E5F9A">
      <w:pPr>
        <w:pStyle w:val="a4"/>
        <w:tabs>
          <w:tab w:val="left" w:pos="540"/>
        </w:tabs>
        <w:ind w:left="0"/>
      </w:pPr>
      <w:r w:rsidRPr="0028514E">
        <w:t>Lot</w:t>
      </w:r>
    </w:p>
    <w:p w14:paraId="628F9247" w14:textId="77777777" w:rsidR="003B7027" w:rsidRPr="0028514E" w:rsidRDefault="003B7027" w:rsidP="006E5F9A">
      <w:pPr>
        <w:pStyle w:val="a4"/>
        <w:tabs>
          <w:tab w:val="left" w:pos="540"/>
        </w:tabs>
        <w:ind w:left="0"/>
      </w:pPr>
    </w:p>
    <w:p w14:paraId="38EB9EEF" w14:textId="77777777" w:rsidR="00997012" w:rsidRPr="0028514E" w:rsidRDefault="00997012" w:rsidP="006E5F9A">
      <w:pPr>
        <w:pStyle w:val="a4"/>
        <w:tabs>
          <w:tab w:val="left" w:pos="540"/>
        </w:tabs>
        <w:ind w:left="0"/>
      </w:pPr>
    </w:p>
    <w:p w14:paraId="423D1B4E"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5.</w:t>
      </w:r>
      <w:r w:rsidRPr="00E12A1E">
        <w:rPr>
          <w:b/>
          <w:lang w:val="fi-FI"/>
        </w:rPr>
        <w:tab/>
        <w:t>SISÄLLÖN MÄÄRÄ PAINONA, TILAVUUTENA TAI YKSIKKÖINÄ</w:t>
      </w:r>
    </w:p>
    <w:p w14:paraId="3D4D4911" w14:textId="77777777" w:rsidR="003B7027" w:rsidRPr="0028514E" w:rsidRDefault="003B7027" w:rsidP="006E5F9A">
      <w:pPr>
        <w:pStyle w:val="a4"/>
        <w:tabs>
          <w:tab w:val="left" w:pos="540"/>
        </w:tabs>
        <w:ind w:left="0"/>
      </w:pPr>
    </w:p>
    <w:p w14:paraId="58F8E0D3" w14:textId="77777777" w:rsidR="003B7027" w:rsidRPr="0028514E" w:rsidRDefault="00296A74" w:rsidP="006E5F9A">
      <w:pPr>
        <w:pStyle w:val="a4"/>
        <w:tabs>
          <w:tab w:val="left" w:pos="540"/>
        </w:tabs>
        <w:ind w:left="0"/>
      </w:pPr>
      <w:r w:rsidRPr="0028514E">
        <w:t>162 mg/0,9 ml</w:t>
      </w:r>
    </w:p>
    <w:p w14:paraId="5ED5DBB6" w14:textId="77777777" w:rsidR="003B7027" w:rsidRPr="0028514E" w:rsidRDefault="003B7027" w:rsidP="006E5F9A">
      <w:pPr>
        <w:pStyle w:val="a4"/>
        <w:tabs>
          <w:tab w:val="left" w:pos="540"/>
        </w:tabs>
        <w:ind w:left="0"/>
      </w:pPr>
    </w:p>
    <w:p w14:paraId="4D5AC5E2" w14:textId="77777777" w:rsidR="00997012" w:rsidRPr="0028514E" w:rsidRDefault="00997012" w:rsidP="006E5F9A">
      <w:pPr>
        <w:pStyle w:val="a4"/>
        <w:tabs>
          <w:tab w:val="left" w:pos="540"/>
        </w:tabs>
        <w:ind w:left="0"/>
      </w:pPr>
    </w:p>
    <w:p w14:paraId="2E66571A"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6.</w:t>
      </w:r>
      <w:r w:rsidRPr="00E12A1E">
        <w:rPr>
          <w:b/>
          <w:lang w:val="fi-FI"/>
        </w:rPr>
        <w:tab/>
        <w:t>MUUTA</w:t>
      </w:r>
    </w:p>
    <w:p w14:paraId="27285EC8" w14:textId="77777777" w:rsidR="003B7027" w:rsidRPr="0028514E" w:rsidRDefault="003B7027" w:rsidP="006E5F9A">
      <w:pPr>
        <w:pStyle w:val="a4"/>
        <w:tabs>
          <w:tab w:val="left" w:pos="540"/>
        </w:tabs>
        <w:ind w:left="0"/>
      </w:pPr>
    </w:p>
    <w:p w14:paraId="012326A2" w14:textId="27B98D71" w:rsidR="00EB5DDD" w:rsidRPr="00E12A1E" w:rsidRDefault="00997012" w:rsidP="009A6115">
      <w:pPr>
        <w:widowControl w:val="0"/>
        <w:pBdr>
          <w:top w:val="single" w:sz="4" w:space="1" w:color="000000"/>
          <w:left w:val="single" w:sz="4" w:space="1" w:color="000000"/>
          <w:bottom w:val="single" w:sz="4" w:space="1" w:color="000000"/>
          <w:right w:val="single" w:sz="4" w:space="1" w:color="000000"/>
        </w:pBdr>
        <w:autoSpaceDE w:val="0"/>
        <w:autoSpaceDN w:val="0"/>
        <w:rPr>
          <w:b/>
          <w:lang w:val="fi-FI"/>
        </w:rPr>
      </w:pPr>
      <w:r w:rsidRPr="00E12A1E">
        <w:rPr>
          <w:sz w:val="20"/>
          <w:lang w:val="fi-FI"/>
        </w:rPr>
        <w:br w:type="page"/>
      </w:r>
      <w:r w:rsidR="00EB5DDD" w:rsidRPr="00E12A1E">
        <w:rPr>
          <w:b/>
          <w:lang w:val="fi-FI"/>
        </w:rPr>
        <w:lastRenderedPageBreak/>
        <w:t>PIENISSÄ SISÄPAKKAUKSISSA ON OLTAVA VÄHINTÄÄN SEURAAVAT MERKINNÄT</w:t>
      </w:r>
    </w:p>
    <w:p w14:paraId="3C8DD331" w14:textId="77777777" w:rsidR="00EB5DDD" w:rsidRPr="0028514E" w:rsidRDefault="00EB5DDD" w:rsidP="009A6115">
      <w:pPr>
        <w:pStyle w:val="a4"/>
        <w:pBdr>
          <w:top w:val="single" w:sz="4" w:space="1" w:color="000000"/>
          <w:left w:val="single" w:sz="4" w:space="1" w:color="000000"/>
          <w:bottom w:val="single" w:sz="4" w:space="1" w:color="000000"/>
          <w:right w:val="single" w:sz="4" w:space="1" w:color="000000"/>
        </w:pBdr>
        <w:tabs>
          <w:tab w:val="left" w:pos="540"/>
        </w:tabs>
        <w:ind w:left="0"/>
        <w:rPr>
          <w:b/>
        </w:rPr>
      </w:pPr>
    </w:p>
    <w:p w14:paraId="27EBDD70" w14:textId="77777777" w:rsidR="00EB5DDD" w:rsidRPr="00E12A1E" w:rsidRDefault="00EB5DDD" w:rsidP="009A6115">
      <w:pPr>
        <w:pBdr>
          <w:top w:val="single" w:sz="4" w:space="1" w:color="000000"/>
          <w:left w:val="single" w:sz="4" w:space="1" w:color="000000"/>
          <w:bottom w:val="single" w:sz="4" w:space="1" w:color="000000"/>
          <w:right w:val="single" w:sz="4" w:space="1" w:color="000000"/>
        </w:pBdr>
        <w:tabs>
          <w:tab w:val="left" w:pos="540"/>
        </w:tabs>
        <w:rPr>
          <w:b/>
          <w:lang w:val="fi-FI"/>
        </w:rPr>
      </w:pPr>
      <w:r w:rsidRPr="00E12A1E">
        <w:rPr>
          <w:b/>
          <w:lang w:val="fi-FI"/>
        </w:rPr>
        <w:t>ESITÄYTETYN KYNÄN ETIKETTI</w:t>
      </w:r>
    </w:p>
    <w:p w14:paraId="1E9AE071" w14:textId="77777777" w:rsidR="003B7027" w:rsidRPr="0028514E" w:rsidRDefault="003B7027" w:rsidP="006E5F9A">
      <w:pPr>
        <w:pStyle w:val="a4"/>
        <w:tabs>
          <w:tab w:val="left" w:pos="540"/>
        </w:tabs>
        <w:ind w:left="0"/>
      </w:pPr>
    </w:p>
    <w:p w14:paraId="36A0FEDB" w14:textId="77777777" w:rsidR="00997012" w:rsidRPr="0028514E" w:rsidRDefault="00997012" w:rsidP="006E5F9A">
      <w:pPr>
        <w:pStyle w:val="a4"/>
        <w:tabs>
          <w:tab w:val="left" w:pos="540"/>
        </w:tabs>
        <w:ind w:left="0"/>
      </w:pPr>
    </w:p>
    <w:p w14:paraId="595DED0D"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1.</w:t>
      </w:r>
      <w:r w:rsidRPr="00E12A1E">
        <w:rPr>
          <w:b/>
          <w:lang w:val="fi-FI"/>
        </w:rPr>
        <w:tab/>
        <w:t>LÄÄKEVALMISTEEN NIMI JA TARVITTAESSA ANTOREITTI (ANTOREITIT)</w:t>
      </w:r>
    </w:p>
    <w:p w14:paraId="035BEF3B" w14:textId="77777777" w:rsidR="003B7027" w:rsidRPr="0028514E" w:rsidRDefault="003B7027" w:rsidP="006E5F9A">
      <w:pPr>
        <w:pStyle w:val="a4"/>
        <w:tabs>
          <w:tab w:val="left" w:pos="540"/>
        </w:tabs>
        <w:ind w:left="0"/>
      </w:pPr>
    </w:p>
    <w:p w14:paraId="78F5664C" w14:textId="393BD55C" w:rsidR="00615DE1" w:rsidRDefault="00383DD9" w:rsidP="006E5F9A">
      <w:pPr>
        <w:pStyle w:val="a4"/>
        <w:tabs>
          <w:tab w:val="left" w:pos="540"/>
        </w:tabs>
        <w:ind w:left="0"/>
      </w:pPr>
      <w:r>
        <w:t>Avtozma</w:t>
      </w:r>
      <w:r w:rsidRPr="0028514E">
        <w:t xml:space="preserve"> </w:t>
      </w:r>
      <w:r w:rsidR="00296A74" w:rsidRPr="0028514E">
        <w:t xml:space="preserve">162 mg injektio </w:t>
      </w:r>
    </w:p>
    <w:p w14:paraId="796276D4" w14:textId="77777777" w:rsidR="003B7027" w:rsidRPr="0028514E" w:rsidRDefault="00296A74" w:rsidP="006E5F9A">
      <w:pPr>
        <w:pStyle w:val="a4"/>
        <w:tabs>
          <w:tab w:val="left" w:pos="540"/>
        </w:tabs>
        <w:ind w:left="0"/>
      </w:pPr>
      <w:r w:rsidRPr="0028514E">
        <w:t>tosilitsumabi</w:t>
      </w:r>
    </w:p>
    <w:p w14:paraId="5175A1B8" w14:textId="77777777" w:rsidR="003B7027" w:rsidRPr="0028514E" w:rsidRDefault="00296A74" w:rsidP="006E5F9A">
      <w:pPr>
        <w:pStyle w:val="a4"/>
        <w:tabs>
          <w:tab w:val="left" w:pos="540"/>
        </w:tabs>
        <w:ind w:left="0"/>
      </w:pPr>
      <w:r w:rsidRPr="0028514E">
        <w:t>s.c.</w:t>
      </w:r>
    </w:p>
    <w:p w14:paraId="28C9EFAE" w14:textId="77777777" w:rsidR="003B7027" w:rsidRPr="0028514E" w:rsidRDefault="003B7027" w:rsidP="006E5F9A">
      <w:pPr>
        <w:pStyle w:val="a4"/>
        <w:tabs>
          <w:tab w:val="left" w:pos="540"/>
        </w:tabs>
        <w:ind w:left="0"/>
      </w:pPr>
    </w:p>
    <w:p w14:paraId="65FCA5E6" w14:textId="77777777" w:rsidR="00997012" w:rsidRPr="0028514E" w:rsidRDefault="00997012" w:rsidP="006E5F9A">
      <w:pPr>
        <w:pStyle w:val="a4"/>
        <w:tabs>
          <w:tab w:val="left" w:pos="540"/>
        </w:tabs>
        <w:ind w:left="0"/>
      </w:pPr>
    </w:p>
    <w:p w14:paraId="28755188"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before="1"/>
        <w:rPr>
          <w:b/>
          <w:lang w:val="fi-FI"/>
        </w:rPr>
      </w:pPr>
      <w:r w:rsidRPr="00E12A1E">
        <w:rPr>
          <w:b/>
          <w:lang w:val="fi-FI"/>
        </w:rPr>
        <w:t>2.</w:t>
      </w:r>
      <w:r w:rsidRPr="00E12A1E">
        <w:rPr>
          <w:b/>
          <w:lang w:val="fi-FI"/>
        </w:rPr>
        <w:tab/>
        <w:t>ANTOTAPA</w:t>
      </w:r>
    </w:p>
    <w:p w14:paraId="37C5943E" w14:textId="77777777" w:rsidR="003B7027" w:rsidRPr="0028514E" w:rsidRDefault="003B7027" w:rsidP="006E5F9A">
      <w:pPr>
        <w:pStyle w:val="a4"/>
        <w:tabs>
          <w:tab w:val="left" w:pos="540"/>
        </w:tabs>
        <w:ind w:left="0"/>
      </w:pPr>
    </w:p>
    <w:p w14:paraId="31D4CD17" w14:textId="77777777" w:rsidR="003B7027" w:rsidRPr="0028514E" w:rsidRDefault="003B7027" w:rsidP="006E5F9A">
      <w:pPr>
        <w:pStyle w:val="a4"/>
        <w:tabs>
          <w:tab w:val="left" w:pos="540"/>
        </w:tabs>
        <w:ind w:left="0"/>
      </w:pPr>
    </w:p>
    <w:p w14:paraId="4BCCB888"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3.</w:t>
      </w:r>
      <w:r w:rsidRPr="00E12A1E">
        <w:rPr>
          <w:b/>
          <w:lang w:val="fi-FI"/>
        </w:rPr>
        <w:tab/>
        <w:t>VIIMEINEN KÄYTTÖPÄIVÄMÄÄRÄ</w:t>
      </w:r>
    </w:p>
    <w:p w14:paraId="07D016B2" w14:textId="77777777" w:rsidR="003B7027" w:rsidRPr="0028514E" w:rsidRDefault="003B7027" w:rsidP="006E5F9A">
      <w:pPr>
        <w:pStyle w:val="a4"/>
        <w:tabs>
          <w:tab w:val="left" w:pos="540"/>
        </w:tabs>
        <w:ind w:left="0"/>
      </w:pPr>
    </w:p>
    <w:p w14:paraId="5503639C" w14:textId="77777777" w:rsidR="003B7027" w:rsidRPr="0028514E" w:rsidRDefault="00296A74" w:rsidP="006E5F9A">
      <w:pPr>
        <w:pStyle w:val="a4"/>
        <w:tabs>
          <w:tab w:val="left" w:pos="540"/>
        </w:tabs>
        <w:ind w:left="0"/>
      </w:pPr>
      <w:r w:rsidRPr="0028514E">
        <w:t>EXP</w:t>
      </w:r>
    </w:p>
    <w:p w14:paraId="7E11334E" w14:textId="77777777" w:rsidR="003B7027" w:rsidRPr="0028514E" w:rsidRDefault="003B7027" w:rsidP="006E5F9A">
      <w:pPr>
        <w:pStyle w:val="a4"/>
        <w:tabs>
          <w:tab w:val="left" w:pos="540"/>
        </w:tabs>
        <w:ind w:left="0"/>
      </w:pPr>
    </w:p>
    <w:p w14:paraId="74EA3D28" w14:textId="77777777" w:rsidR="00997012" w:rsidRPr="0028514E" w:rsidRDefault="00997012" w:rsidP="006E5F9A">
      <w:pPr>
        <w:pStyle w:val="a4"/>
        <w:tabs>
          <w:tab w:val="left" w:pos="540"/>
        </w:tabs>
        <w:ind w:left="0"/>
      </w:pPr>
    </w:p>
    <w:p w14:paraId="59391141"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4.</w:t>
      </w:r>
      <w:r w:rsidRPr="00E12A1E">
        <w:rPr>
          <w:b/>
          <w:lang w:val="fi-FI"/>
        </w:rPr>
        <w:tab/>
        <w:t>ERÄNUMERO</w:t>
      </w:r>
    </w:p>
    <w:p w14:paraId="7D57CFD7" w14:textId="77777777" w:rsidR="003B7027" w:rsidRPr="0028514E" w:rsidRDefault="003B7027" w:rsidP="006E5F9A">
      <w:pPr>
        <w:pStyle w:val="a4"/>
        <w:tabs>
          <w:tab w:val="left" w:pos="540"/>
        </w:tabs>
        <w:ind w:left="0"/>
      </w:pPr>
    </w:p>
    <w:p w14:paraId="2CCD5428" w14:textId="77777777" w:rsidR="003B7027" w:rsidRPr="0028514E" w:rsidRDefault="00296A74" w:rsidP="006E5F9A">
      <w:pPr>
        <w:pStyle w:val="a4"/>
        <w:tabs>
          <w:tab w:val="left" w:pos="540"/>
        </w:tabs>
        <w:ind w:left="0"/>
      </w:pPr>
      <w:r w:rsidRPr="0028514E">
        <w:t>Lot</w:t>
      </w:r>
    </w:p>
    <w:p w14:paraId="5C224F7B" w14:textId="77777777" w:rsidR="003B7027" w:rsidRPr="0028514E" w:rsidRDefault="003B7027" w:rsidP="006E5F9A">
      <w:pPr>
        <w:pStyle w:val="a4"/>
        <w:tabs>
          <w:tab w:val="left" w:pos="540"/>
        </w:tabs>
        <w:ind w:left="0"/>
      </w:pPr>
    </w:p>
    <w:p w14:paraId="2B50106E" w14:textId="77777777" w:rsidR="00997012" w:rsidRPr="0028514E" w:rsidRDefault="00997012" w:rsidP="006E5F9A">
      <w:pPr>
        <w:pStyle w:val="a4"/>
        <w:tabs>
          <w:tab w:val="left" w:pos="540"/>
        </w:tabs>
        <w:ind w:left="0"/>
      </w:pPr>
    </w:p>
    <w:p w14:paraId="39931145"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5.</w:t>
      </w:r>
      <w:r w:rsidRPr="00E12A1E">
        <w:rPr>
          <w:b/>
          <w:lang w:val="fi-FI"/>
        </w:rPr>
        <w:tab/>
        <w:t>SISÄLLÖN MÄÄRÄ PAINONA, TILAVUUTENA TAI YKSIKKÖINÄ</w:t>
      </w:r>
    </w:p>
    <w:p w14:paraId="5A0A5E94" w14:textId="77777777" w:rsidR="003B7027" w:rsidRPr="0028514E" w:rsidRDefault="003B7027" w:rsidP="006E5F9A">
      <w:pPr>
        <w:pStyle w:val="a4"/>
        <w:tabs>
          <w:tab w:val="left" w:pos="540"/>
        </w:tabs>
        <w:ind w:left="0"/>
      </w:pPr>
    </w:p>
    <w:p w14:paraId="5ADB3DCA" w14:textId="77777777" w:rsidR="003B7027" w:rsidRPr="0028514E" w:rsidRDefault="00296A74" w:rsidP="006E5F9A">
      <w:pPr>
        <w:pStyle w:val="a4"/>
        <w:tabs>
          <w:tab w:val="left" w:pos="540"/>
        </w:tabs>
        <w:ind w:left="0"/>
      </w:pPr>
      <w:r w:rsidRPr="0028514E">
        <w:t>162 mg/0,9 ml</w:t>
      </w:r>
    </w:p>
    <w:p w14:paraId="27DE490C" w14:textId="77777777" w:rsidR="003B7027" w:rsidRPr="0028514E" w:rsidRDefault="003B7027" w:rsidP="006E5F9A">
      <w:pPr>
        <w:pStyle w:val="a4"/>
        <w:tabs>
          <w:tab w:val="left" w:pos="540"/>
        </w:tabs>
        <w:ind w:left="0"/>
      </w:pPr>
    </w:p>
    <w:p w14:paraId="15A522F6" w14:textId="77777777" w:rsidR="00997012" w:rsidRPr="0028514E" w:rsidRDefault="00997012" w:rsidP="006E5F9A">
      <w:pPr>
        <w:pStyle w:val="a4"/>
        <w:tabs>
          <w:tab w:val="left" w:pos="540"/>
        </w:tabs>
        <w:ind w:left="0"/>
      </w:pPr>
    </w:p>
    <w:p w14:paraId="7B3AE36C" w14:textId="77777777" w:rsidR="00EB5DDD" w:rsidRPr="00E12A1E" w:rsidRDefault="00EB5DDD" w:rsidP="006E5F9A">
      <w:pPr>
        <w:pBdr>
          <w:top w:val="single" w:sz="4" w:space="1" w:color="auto"/>
          <w:left w:val="single" w:sz="4" w:space="4" w:color="auto"/>
          <w:bottom w:val="single" w:sz="4" w:space="1" w:color="auto"/>
          <w:right w:val="single" w:sz="4" w:space="4" w:color="auto"/>
        </w:pBdr>
        <w:tabs>
          <w:tab w:val="left" w:pos="540"/>
        </w:tabs>
        <w:spacing w:line="252" w:lineRule="exact"/>
        <w:rPr>
          <w:b/>
          <w:lang w:val="fi-FI"/>
        </w:rPr>
      </w:pPr>
      <w:r w:rsidRPr="00E12A1E">
        <w:rPr>
          <w:b/>
          <w:lang w:val="fi-FI"/>
        </w:rPr>
        <w:t>6.</w:t>
      </w:r>
      <w:r w:rsidRPr="00E12A1E">
        <w:rPr>
          <w:b/>
          <w:lang w:val="fi-FI"/>
        </w:rPr>
        <w:tab/>
        <w:t>MUUTA</w:t>
      </w:r>
    </w:p>
    <w:p w14:paraId="1D339EF2" w14:textId="77777777" w:rsidR="003B7027" w:rsidRPr="0028514E" w:rsidRDefault="003B7027" w:rsidP="006E5F9A">
      <w:pPr>
        <w:pStyle w:val="a4"/>
        <w:tabs>
          <w:tab w:val="left" w:pos="540"/>
        </w:tabs>
        <w:ind w:left="0"/>
        <w:rPr>
          <w:sz w:val="20"/>
        </w:rPr>
      </w:pPr>
    </w:p>
    <w:p w14:paraId="6065755D" w14:textId="77777777" w:rsidR="00EB5DDD" w:rsidRPr="0028514E" w:rsidRDefault="00EB5DDD" w:rsidP="00EC0612">
      <w:pPr>
        <w:widowControl w:val="0"/>
        <w:autoSpaceDE w:val="0"/>
        <w:autoSpaceDN w:val="0"/>
        <w:jc w:val="center"/>
        <w:rPr>
          <w:rFonts w:eastAsia="Times New Roman"/>
          <w:sz w:val="20"/>
          <w:lang w:val="fi-FI" w:eastAsia="en-US"/>
        </w:rPr>
      </w:pPr>
      <w:r w:rsidRPr="00E12A1E">
        <w:rPr>
          <w:sz w:val="20"/>
          <w:lang w:val="fi-FI"/>
        </w:rPr>
        <w:br w:type="page"/>
      </w:r>
    </w:p>
    <w:p w14:paraId="54FE1167" w14:textId="77777777" w:rsidR="00997012" w:rsidRPr="00E12A1E" w:rsidRDefault="00997012" w:rsidP="00EC0612">
      <w:pPr>
        <w:jc w:val="center"/>
        <w:rPr>
          <w:lang w:val="fi-FI"/>
        </w:rPr>
      </w:pPr>
      <w:bookmarkStart w:id="36" w:name="B._PAKKAUSSELOSTE"/>
      <w:bookmarkEnd w:id="36"/>
    </w:p>
    <w:p w14:paraId="31EE6F71" w14:textId="77777777" w:rsidR="00997012" w:rsidRPr="00E12A1E" w:rsidRDefault="00997012" w:rsidP="00EC0612">
      <w:pPr>
        <w:jc w:val="center"/>
        <w:rPr>
          <w:lang w:val="fi-FI"/>
        </w:rPr>
      </w:pPr>
    </w:p>
    <w:p w14:paraId="2335FF6B" w14:textId="77777777" w:rsidR="00997012" w:rsidRPr="00E12A1E" w:rsidRDefault="00997012" w:rsidP="00EC0612">
      <w:pPr>
        <w:jc w:val="center"/>
        <w:rPr>
          <w:lang w:val="fi-FI"/>
        </w:rPr>
      </w:pPr>
    </w:p>
    <w:p w14:paraId="69947CA4" w14:textId="77777777" w:rsidR="00997012" w:rsidRPr="00E12A1E" w:rsidRDefault="00997012" w:rsidP="00EC0612">
      <w:pPr>
        <w:jc w:val="center"/>
        <w:rPr>
          <w:lang w:val="fi-FI"/>
        </w:rPr>
      </w:pPr>
    </w:p>
    <w:p w14:paraId="007E9871" w14:textId="77777777" w:rsidR="00997012" w:rsidRPr="00E12A1E" w:rsidRDefault="00997012" w:rsidP="00EC0612">
      <w:pPr>
        <w:jc w:val="center"/>
        <w:rPr>
          <w:lang w:val="fi-FI"/>
        </w:rPr>
      </w:pPr>
    </w:p>
    <w:p w14:paraId="13AADA01" w14:textId="77777777" w:rsidR="00997012" w:rsidRPr="00E12A1E" w:rsidRDefault="00997012" w:rsidP="00EC0612">
      <w:pPr>
        <w:jc w:val="center"/>
        <w:rPr>
          <w:lang w:val="fi-FI"/>
        </w:rPr>
      </w:pPr>
    </w:p>
    <w:p w14:paraId="1C7A1FA0" w14:textId="77777777" w:rsidR="00997012" w:rsidRPr="00E12A1E" w:rsidRDefault="00997012" w:rsidP="00EC0612">
      <w:pPr>
        <w:jc w:val="center"/>
        <w:rPr>
          <w:lang w:val="fi-FI"/>
        </w:rPr>
      </w:pPr>
    </w:p>
    <w:p w14:paraId="141BF224" w14:textId="77777777" w:rsidR="00997012" w:rsidRPr="00E12A1E" w:rsidRDefault="00997012" w:rsidP="00EC0612">
      <w:pPr>
        <w:jc w:val="center"/>
        <w:rPr>
          <w:lang w:val="fi-FI"/>
        </w:rPr>
      </w:pPr>
    </w:p>
    <w:p w14:paraId="0F2502F8" w14:textId="77777777" w:rsidR="00997012" w:rsidRPr="00E12A1E" w:rsidRDefault="00997012" w:rsidP="00EC0612">
      <w:pPr>
        <w:jc w:val="center"/>
        <w:rPr>
          <w:lang w:val="fi-FI"/>
        </w:rPr>
      </w:pPr>
    </w:p>
    <w:p w14:paraId="19EFA28D" w14:textId="77777777" w:rsidR="00997012" w:rsidRPr="00E12A1E" w:rsidRDefault="00997012" w:rsidP="00EC0612">
      <w:pPr>
        <w:jc w:val="center"/>
        <w:rPr>
          <w:lang w:val="fi-FI"/>
        </w:rPr>
      </w:pPr>
    </w:p>
    <w:p w14:paraId="193BAAC4" w14:textId="77777777" w:rsidR="00997012" w:rsidRPr="00E12A1E" w:rsidRDefault="00997012" w:rsidP="00EC0612">
      <w:pPr>
        <w:jc w:val="center"/>
        <w:rPr>
          <w:lang w:val="fi-FI"/>
        </w:rPr>
      </w:pPr>
    </w:p>
    <w:p w14:paraId="2112F17E" w14:textId="77777777" w:rsidR="00997012" w:rsidRPr="00E12A1E" w:rsidRDefault="00997012" w:rsidP="00EC0612">
      <w:pPr>
        <w:jc w:val="center"/>
        <w:rPr>
          <w:lang w:val="fi-FI"/>
        </w:rPr>
      </w:pPr>
    </w:p>
    <w:p w14:paraId="6EC72728" w14:textId="77777777" w:rsidR="00997012" w:rsidRPr="00E12A1E" w:rsidRDefault="00997012" w:rsidP="00EC0612">
      <w:pPr>
        <w:jc w:val="center"/>
        <w:rPr>
          <w:lang w:val="fi-FI"/>
        </w:rPr>
      </w:pPr>
    </w:p>
    <w:p w14:paraId="69360A73" w14:textId="77777777" w:rsidR="00997012" w:rsidRPr="00E12A1E" w:rsidRDefault="00997012" w:rsidP="00EC0612">
      <w:pPr>
        <w:jc w:val="center"/>
        <w:rPr>
          <w:lang w:val="fi-FI"/>
        </w:rPr>
      </w:pPr>
    </w:p>
    <w:p w14:paraId="593BC900" w14:textId="77777777" w:rsidR="00997012" w:rsidRPr="00E12A1E" w:rsidRDefault="00997012" w:rsidP="00EC0612">
      <w:pPr>
        <w:jc w:val="center"/>
        <w:rPr>
          <w:lang w:val="fi-FI"/>
        </w:rPr>
      </w:pPr>
    </w:p>
    <w:p w14:paraId="659ADC11" w14:textId="77777777" w:rsidR="00997012" w:rsidRPr="00E12A1E" w:rsidRDefault="00997012" w:rsidP="00EC0612">
      <w:pPr>
        <w:jc w:val="center"/>
        <w:rPr>
          <w:lang w:val="fi-FI"/>
        </w:rPr>
      </w:pPr>
    </w:p>
    <w:p w14:paraId="00F95491" w14:textId="77777777" w:rsidR="00997012" w:rsidRPr="00E12A1E" w:rsidRDefault="00997012" w:rsidP="00EC0612">
      <w:pPr>
        <w:jc w:val="center"/>
        <w:rPr>
          <w:lang w:val="fi-FI"/>
        </w:rPr>
      </w:pPr>
    </w:p>
    <w:p w14:paraId="782DF0BA" w14:textId="77777777" w:rsidR="00997012" w:rsidRPr="00E12A1E" w:rsidRDefault="00997012" w:rsidP="00EC0612">
      <w:pPr>
        <w:jc w:val="center"/>
        <w:rPr>
          <w:lang w:val="fi-FI"/>
        </w:rPr>
      </w:pPr>
    </w:p>
    <w:p w14:paraId="1578F64D" w14:textId="77777777" w:rsidR="00997012" w:rsidRPr="00E12A1E" w:rsidRDefault="00997012" w:rsidP="00EC0612">
      <w:pPr>
        <w:jc w:val="center"/>
        <w:rPr>
          <w:lang w:val="fi-FI"/>
        </w:rPr>
      </w:pPr>
    </w:p>
    <w:p w14:paraId="5C8DA82F" w14:textId="77777777" w:rsidR="00997012" w:rsidRPr="00E12A1E" w:rsidRDefault="00997012" w:rsidP="00EC0612">
      <w:pPr>
        <w:jc w:val="center"/>
        <w:rPr>
          <w:lang w:val="fi-FI"/>
        </w:rPr>
      </w:pPr>
    </w:p>
    <w:p w14:paraId="417A0677" w14:textId="77777777" w:rsidR="00997012" w:rsidRPr="00E12A1E" w:rsidRDefault="00997012" w:rsidP="00EC0612">
      <w:pPr>
        <w:jc w:val="center"/>
        <w:rPr>
          <w:lang w:val="fi-FI"/>
        </w:rPr>
      </w:pPr>
    </w:p>
    <w:p w14:paraId="0156D295" w14:textId="77777777" w:rsidR="00997012" w:rsidRPr="00E12A1E" w:rsidRDefault="00997012" w:rsidP="00EC0612">
      <w:pPr>
        <w:jc w:val="center"/>
        <w:rPr>
          <w:lang w:val="fi-FI"/>
        </w:rPr>
      </w:pPr>
    </w:p>
    <w:p w14:paraId="7AD95F50" w14:textId="77777777" w:rsidR="003B7027" w:rsidRPr="0028514E" w:rsidRDefault="00296A74" w:rsidP="00EC0612">
      <w:pPr>
        <w:pStyle w:val="1"/>
        <w:jc w:val="center"/>
      </w:pPr>
      <w:r w:rsidRPr="0028514E">
        <w:t>B.</w:t>
      </w:r>
      <w:r w:rsidR="00615DE1">
        <w:t xml:space="preserve"> </w:t>
      </w:r>
      <w:r w:rsidRPr="0028514E">
        <w:t>PAKKAUSSELOSTE</w:t>
      </w:r>
    </w:p>
    <w:p w14:paraId="002A8152" w14:textId="77777777" w:rsidR="00EB5DDD" w:rsidRPr="0028514E" w:rsidRDefault="00EB5DDD" w:rsidP="00DD705A"/>
    <w:p w14:paraId="66116B34" w14:textId="1FB71F46" w:rsidR="003B7027" w:rsidRPr="00CA43F5" w:rsidRDefault="00EB5DDD" w:rsidP="006E4E50">
      <w:pPr>
        <w:keepNext/>
        <w:widowControl w:val="0"/>
        <w:autoSpaceDE w:val="0"/>
        <w:autoSpaceDN w:val="0"/>
        <w:jc w:val="center"/>
        <w:rPr>
          <w:b/>
          <w:bCs/>
          <w:lang w:val="fi-FI"/>
        </w:rPr>
      </w:pPr>
      <w:r w:rsidRPr="00CA43F5">
        <w:rPr>
          <w:lang w:val="fi-FI"/>
        </w:rPr>
        <w:br w:type="page"/>
      </w:r>
      <w:r w:rsidR="00296A74" w:rsidRPr="00CA43F5">
        <w:rPr>
          <w:b/>
          <w:bCs/>
          <w:lang w:val="fi-FI"/>
        </w:rPr>
        <w:lastRenderedPageBreak/>
        <w:t>Pakkausseloste: Tietoa käyttäjälle</w:t>
      </w:r>
    </w:p>
    <w:p w14:paraId="454A9FFA" w14:textId="77777777" w:rsidR="003B7027" w:rsidRPr="00F37774" w:rsidRDefault="003B7027" w:rsidP="006E5F9A">
      <w:pPr>
        <w:pStyle w:val="a4"/>
        <w:ind w:left="0"/>
        <w:jc w:val="center"/>
        <w:rPr>
          <w:b/>
        </w:rPr>
      </w:pPr>
    </w:p>
    <w:p w14:paraId="5AE81DD9" w14:textId="4774EA09" w:rsidR="003B7027" w:rsidRPr="00CA43F5" w:rsidRDefault="00383DD9" w:rsidP="006E5F9A">
      <w:pPr>
        <w:jc w:val="center"/>
        <w:rPr>
          <w:b/>
          <w:lang w:val="fi-FI"/>
        </w:rPr>
      </w:pPr>
      <w:r w:rsidRPr="00CA43F5">
        <w:rPr>
          <w:b/>
          <w:lang w:val="fi-FI"/>
        </w:rPr>
        <w:t>Avtozma</w:t>
      </w:r>
      <w:r w:rsidR="00296A74" w:rsidRPr="00CA43F5">
        <w:rPr>
          <w:b/>
          <w:lang w:val="fi-FI"/>
        </w:rPr>
        <w:t>, 20 mg/ml, infuusiokonsentraatti, liuosta varten</w:t>
      </w:r>
    </w:p>
    <w:p w14:paraId="15CDFA7B" w14:textId="77777777" w:rsidR="003B7027" w:rsidRPr="00F37774" w:rsidRDefault="00296A74" w:rsidP="006E5F9A">
      <w:pPr>
        <w:pStyle w:val="a4"/>
        <w:ind w:left="0"/>
        <w:jc w:val="center"/>
      </w:pPr>
      <w:r w:rsidRPr="00F37774">
        <w:t>tosilitsumabi</w:t>
      </w:r>
    </w:p>
    <w:p w14:paraId="1A0F02B3" w14:textId="77777777" w:rsidR="003B7027" w:rsidRPr="00F37774" w:rsidRDefault="003B7027" w:rsidP="006E5F9A">
      <w:pPr>
        <w:pStyle w:val="a4"/>
        <w:ind w:left="0"/>
      </w:pPr>
    </w:p>
    <w:p w14:paraId="10E2B6A5" w14:textId="77CBC5F0" w:rsidR="00383DD9" w:rsidRPr="00AF361E" w:rsidRDefault="0086716C" w:rsidP="00383DD9">
      <w:pPr>
        <w:rPr>
          <w:rFonts w:eastAsia="Times New Roman"/>
          <w:b/>
          <w:bCs/>
          <w:lang w:val="fi-FI"/>
        </w:rPr>
      </w:pPr>
      <w:r>
        <w:rPr>
          <w:noProof/>
          <w:lang w:val="en-US" w:eastAsia="ko-KR"/>
        </w:rPr>
        <w:drawing>
          <wp:inline distT="0" distB="0" distL="0" distR="0" wp14:anchorId="1BDA53B3" wp14:editId="0F6D8674">
            <wp:extent cx="223520" cy="138430"/>
            <wp:effectExtent l="0" t="0" r="0" b="0"/>
            <wp:docPr id="4"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520" cy="138430"/>
                    </a:xfrm>
                    <a:prstGeom prst="rect">
                      <a:avLst/>
                    </a:prstGeom>
                    <a:noFill/>
                    <a:ln>
                      <a:noFill/>
                    </a:ln>
                  </pic:spPr>
                </pic:pic>
              </a:graphicData>
            </a:graphic>
          </wp:inline>
        </w:drawing>
      </w:r>
      <w:r w:rsidR="00383DD9" w:rsidRPr="002C4630">
        <w:rPr>
          <w:lang w:val="fi-FI"/>
        </w:rPr>
        <w:t>Tähän lääkevalmisteeseen kohdistuu lisäseuranta. Tällä tavalla voidaan havaita nopeasti turvallisuutta koskevaa uutta tietoa. Voit auttaa ilmoittamalla kaikista mahdollisesti saamistasi haittavaikutuksista. Ks. kohdan</w:t>
      </w:r>
      <w:r w:rsidR="00383DD9" w:rsidRPr="00AF361E">
        <w:rPr>
          <w:lang w:val="fi-FI"/>
        </w:rPr>
        <w:t> </w:t>
      </w:r>
      <w:r w:rsidR="00383DD9" w:rsidRPr="002C4630">
        <w:rPr>
          <w:lang w:val="fi-FI"/>
        </w:rPr>
        <w:t>4 lopusta, miten haittavaikutuksista ilmoitetaan.</w:t>
      </w:r>
    </w:p>
    <w:p w14:paraId="6F941264" w14:textId="77777777" w:rsidR="00383DD9" w:rsidRPr="009A3CB5" w:rsidRDefault="00383DD9" w:rsidP="00DD705A">
      <w:pPr>
        <w:rPr>
          <w:lang w:val="fi-FI"/>
        </w:rPr>
      </w:pPr>
    </w:p>
    <w:p w14:paraId="4CE7417A" w14:textId="7F3A030D" w:rsidR="003B7027" w:rsidRPr="009A3CB5" w:rsidRDefault="00296A74" w:rsidP="009A3CB5">
      <w:pPr>
        <w:rPr>
          <w:b/>
          <w:bCs/>
          <w:lang w:val="fi-FI"/>
        </w:rPr>
      </w:pPr>
      <w:r w:rsidRPr="009A3CB5">
        <w:rPr>
          <w:b/>
          <w:bCs/>
          <w:lang w:val="fi-FI"/>
        </w:rPr>
        <w:t>Lue tämä pakkausseloste huolellisesti ennen kuin saat tätä lääkettä, sillä se sisältää sinulle tärkeitä tietoja.</w:t>
      </w:r>
    </w:p>
    <w:p w14:paraId="5EC7C4DA" w14:textId="77777777" w:rsidR="00997012" w:rsidRPr="009A3CB5" w:rsidRDefault="00997012" w:rsidP="00DD705A">
      <w:pPr>
        <w:rPr>
          <w:lang w:val="fi-FI"/>
        </w:rPr>
      </w:pPr>
    </w:p>
    <w:p w14:paraId="30D7CFBD" w14:textId="1A733EBF" w:rsidR="003B7027" w:rsidRPr="00F37774" w:rsidRDefault="00296A74" w:rsidP="001327AB">
      <w:pPr>
        <w:pStyle w:val="a"/>
      </w:pPr>
      <w:r w:rsidRPr="00F37774">
        <w:t>Säilytä tämä pakkausseloste. Voit tarvita sitä myöhemmin.</w:t>
      </w:r>
    </w:p>
    <w:p w14:paraId="624958C1" w14:textId="3A507A03" w:rsidR="003B7027" w:rsidRPr="00F37774" w:rsidRDefault="00296A74" w:rsidP="001327AB">
      <w:pPr>
        <w:pStyle w:val="a"/>
      </w:pPr>
      <w:r w:rsidRPr="00F37774">
        <w:t>Jos sinulla on kysyttävää, käänny lääkärin tai sairaanhoitajan puoleen.</w:t>
      </w:r>
    </w:p>
    <w:p w14:paraId="32DECED0" w14:textId="1F1C3E54" w:rsidR="003B7027" w:rsidRPr="00F37774" w:rsidRDefault="00296A74" w:rsidP="001327AB">
      <w:pPr>
        <w:pStyle w:val="a"/>
      </w:pPr>
      <w:r w:rsidRPr="00F37774">
        <w:t>Tämä lääke on määrätty vain sinulle eikä sitä pidä antaa muiden käyttöön. Se voi aiheuttaa haittaa muille, vaikka heillä olisikin samanlaiset oireet kuin sinulla.</w:t>
      </w:r>
    </w:p>
    <w:p w14:paraId="28B0CE37" w14:textId="3F80FA0C" w:rsidR="003B7027" w:rsidRPr="00F37774" w:rsidRDefault="00296A74" w:rsidP="001327AB">
      <w:pPr>
        <w:pStyle w:val="a"/>
      </w:pPr>
      <w:r w:rsidRPr="00F37774">
        <w:t>Jos havaitset haittavaikutuksia, kerro niistä lääkärille tai sairaanhoitajalle. Tämä koskee myös sellaisia mahdollisia haittavaikutuksia, joita ei ole mainittu tässä pakkausselosteessa. Ks. kohta 4.</w:t>
      </w:r>
    </w:p>
    <w:p w14:paraId="21E3E6DA" w14:textId="77777777" w:rsidR="00997012" w:rsidRPr="00F37774" w:rsidRDefault="00997012" w:rsidP="00B8051F">
      <w:pPr>
        <w:tabs>
          <w:tab w:val="left" w:pos="1605"/>
        </w:tabs>
      </w:pPr>
    </w:p>
    <w:p w14:paraId="3F1C0EFD" w14:textId="6B433D46" w:rsidR="003B7027" w:rsidRPr="00F37774" w:rsidRDefault="00296A74" w:rsidP="006E5F9A">
      <w:pPr>
        <w:pStyle w:val="a4"/>
        <w:ind w:left="0"/>
      </w:pPr>
      <w:r w:rsidRPr="00F37774">
        <w:t xml:space="preserve">Tämän pakkausselosteen lisäksi saat </w:t>
      </w:r>
      <w:r w:rsidRPr="00F37774">
        <w:rPr>
          <w:b/>
        </w:rPr>
        <w:t>potilaskortin</w:t>
      </w:r>
      <w:r w:rsidRPr="00F37774">
        <w:t xml:space="preserve">. Se sisältää tärkeitä turvallisuustietoja, jotka sinun on hyvä tietää, ennen </w:t>
      </w:r>
      <w:r w:rsidR="00F70FEB">
        <w:t>Avtozma</w:t>
      </w:r>
      <w:r w:rsidRPr="00F37774">
        <w:t>-hoitoa ja sen aikana.</w:t>
      </w:r>
    </w:p>
    <w:p w14:paraId="3277D8ED" w14:textId="77777777" w:rsidR="003B7027" w:rsidRPr="00F37774" w:rsidRDefault="003B7027" w:rsidP="00B8051F">
      <w:pPr>
        <w:pStyle w:val="a4"/>
        <w:ind w:left="0"/>
      </w:pPr>
    </w:p>
    <w:p w14:paraId="3AC9CDD8" w14:textId="77777777" w:rsidR="003B7027" w:rsidRPr="009A3CB5" w:rsidRDefault="00296A74" w:rsidP="009A3CB5">
      <w:pPr>
        <w:rPr>
          <w:b/>
          <w:bCs/>
          <w:lang w:val="fi-FI"/>
        </w:rPr>
      </w:pPr>
      <w:r w:rsidRPr="009A3CB5">
        <w:rPr>
          <w:b/>
          <w:bCs/>
          <w:lang w:val="fi-FI"/>
        </w:rPr>
        <w:t>Tässä pakkausselosteessa kerrotaan:</w:t>
      </w:r>
    </w:p>
    <w:p w14:paraId="6AEAB7D3" w14:textId="0D9296C0" w:rsidR="003B7027" w:rsidRPr="00CA43F5" w:rsidRDefault="00296A74" w:rsidP="00615DE1">
      <w:pPr>
        <w:tabs>
          <w:tab w:val="left" w:pos="1604"/>
        </w:tabs>
        <w:ind w:left="567" w:hanging="567"/>
        <w:rPr>
          <w:lang w:val="fi-FI"/>
        </w:rPr>
      </w:pPr>
      <w:r w:rsidRPr="00F37774">
        <w:rPr>
          <w:rFonts w:eastAsia="Times New Roman"/>
          <w:lang w:val="fi-FI" w:eastAsia="en-US"/>
        </w:rPr>
        <w:t>1.</w:t>
      </w:r>
      <w:r w:rsidRPr="00F37774">
        <w:rPr>
          <w:rFonts w:eastAsia="Times New Roman"/>
          <w:lang w:val="fi-FI" w:eastAsia="en-US"/>
        </w:rPr>
        <w:tab/>
      </w:r>
      <w:r w:rsidRPr="00CA43F5">
        <w:rPr>
          <w:lang w:val="fi-FI"/>
        </w:rPr>
        <w:t xml:space="preserve">Mitä </w:t>
      </w:r>
      <w:r w:rsidR="00F70FEB" w:rsidRPr="00CA43F5">
        <w:rPr>
          <w:lang w:val="fi-FI"/>
        </w:rPr>
        <w:t>Avtozma</w:t>
      </w:r>
      <w:r w:rsidRPr="00CA43F5">
        <w:rPr>
          <w:lang w:val="fi-FI"/>
        </w:rPr>
        <w:t xml:space="preserve"> on ja mihin sitä käytetään</w:t>
      </w:r>
    </w:p>
    <w:p w14:paraId="499B0A1F" w14:textId="4BAE0204" w:rsidR="003B7027" w:rsidRPr="00CA43F5" w:rsidRDefault="00296A74" w:rsidP="00615DE1">
      <w:pPr>
        <w:tabs>
          <w:tab w:val="left" w:pos="1604"/>
        </w:tabs>
        <w:ind w:left="567" w:hanging="567"/>
        <w:rPr>
          <w:lang w:val="fi-FI"/>
        </w:rPr>
      </w:pPr>
      <w:r w:rsidRPr="00F37774">
        <w:rPr>
          <w:rFonts w:eastAsia="Times New Roman"/>
          <w:lang w:val="fi-FI" w:eastAsia="en-US"/>
        </w:rPr>
        <w:t>2.</w:t>
      </w:r>
      <w:r w:rsidRPr="00F37774">
        <w:rPr>
          <w:rFonts w:eastAsia="Times New Roman"/>
          <w:lang w:val="fi-FI" w:eastAsia="en-US"/>
        </w:rPr>
        <w:tab/>
      </w:r>
      <w:r w:rsidRPr="00CA43F5">
        <w:rPr>
          <w:lang w:val="fi-FI"/>
        </w:rPr>
        <w:t xml:space="preserve">Mitä sinun on tiedettävä, ennen kuin saat </w:t>
      </w:r>
      <w:r w:rsidR="00F70FEB" w:rsidRPr="00CA43F5">
        <w:rPr>
          <w:lang w:val="fi-FI"/>
        </w:rPr>
        <w:t>Avtozma</w:t>
      </w:r>
      <w:r w:rsidRPr="00CA43F5">
        <w:rPr>
          <w:lang w:val="fi-FI"/>
        </w:rPr>
        <w:t>a</w:t>
      </w:r>
    </w:p>
    <w:p w14:paraId="5BE01376" w14:textId="6D902B1E" w:rsidR="003B7027" w:rsidRPr="00CA43F5" w:rsidRDefault="00296A74" w:rsidP="00615DE1">
      <w:pPr>
        <w:tabs>
          <w:tab w:val="left" w:pos="1604"/>
        </w:tabs>
        <w:ind w:left="567" w:hanging="567"/>
        <w:rPr>
          <w:lang w:val="fi-FI"/>
        </w:rPr>
      </w:pPr>
      <w:r w:rsidRPr="00F37774">
        <w:rPr>
          <w:rFonts w:eastAsia="Times New Roman"/>
          <w:lang w:val="fi-FI" w:eastAsia="en-US"/>
        </w:rPr>
        <w:t>3.</w:t>
      </w:r>
      <w:r w:rsidRPr="00F37774">
        <w:rPr>
          <w:rFonts w:eastAsia="Times New Roman"/>
          <w:lang w:val="fi-FI" w:eastAsia="en-US"/>
        </w:rPr>
        <w:tab/>
      </w:r>
      <w:r w:rsidRPr="00CA43F5">
        <w:rPr>
          <w:lang w:val="fi-FI"/>
        </w:rPr>
        <w:t xml:space="preserve">Miten </w:t>
      </w:r>
      <w:r w:rsidR="00F70FEB" w:rsidRPr="00CA43F5">
        <w:rPr>
          <w:lang w:val="fi-FI"/>
        </w:rPr>
        <w:t>Avtozma</w:t>
      </w:r>
      <w:r w:rsidRPr="00CA43F5">
        <w:rPr>
          <w:lang w:val="fi-FI"/>
        </w:rPr>
        <w:t>a käytetään</w:t>
      </w:r>
    </w:p>
    <w:p w14:paraId="3E578BA8" w14:textId="77777777" w:rsidR="003B7027" w:rsidRPr="00CA43F5" w:rsidRDefault="00296A74" w:rsidP="00615DE1">
      <w:pPr>
        <w:tabs>
          <w:tab w:val="left" w:pos="1604"/>
        </w:tabs>
        <w:ind w:left="567" w:hanging="567"/>
        <w:rPr>
          <w:lang w:val="fi-FI"/>
        </w:rPr>
      </w:pPr>
      <w:r w:rsidRPr="00F37774">
        <w:rPr>
          <w:rFonts w:eastAsia="Times New Roman"/>
          <w:lang w:val="fi-FI" w:eastAsia="en-US"/>
        </w:rPr>
        <w:t>4.</w:t>
      </w:r>
      <w:r w:rsidRPr="00F37774">
        <w:rPr>
          <w:rFonts w:eastAsia="Times New Roman"/>
          <w:lang w:val="fi-FI" w:eastAsia="en-US"/>
        </w:rPr>
        <w:tab/>
      </w:r>
      <w:r w:rsidRPr="00CA43F5">
        <w:rPr>
          <w:lang w:val="fi-FI"/>
        </w:rPr>
        <w:t>Mahdolliset haittavaikutukset</w:t>
      </w:r>
    </w:p>
    <w:p w14:paraId="3F957430" w14:textId="4ED30BAB" w:rsidR="003B7027" w:rsidRPr="00A34EAB" w:rsidRDefault="00296A74" w:rsidP="00615DE1">
      <w:pPr>
        <w:tabs>
          <w:tab w:val="left" w:pos="1604"/>
        </w:tabs>
        <w:ind w:left="567" w:hanging="567"/>
        <w:rPr>
          <w:lang w:val="fi-FI"/>
        </w:rPr>
      </w:pPr>
      <w:r w:rsidRPr="00F37774">
        <w:rPr>
          <w:rFonts w:eastAsia="Times New Roman"/>
          <w:lang w:val="fi-FI" w:eastAsia="en-US"/>
        </w:rPr>
        <w:t>5.</w:t>
      </w:r>
      <w:r w:rsidRPr="00F37774">
        <w:rPr>
          <w:rFonts w:eastAsia="Times New Roman"/>
          <w:lang w:val="fi-FI" w:eastAsia="en-US"/>
        </w:rPr>
        <w:tab/>
      </w:r>
      <w:r w:rsidR="00F70FEB" w:rsidRPr="00A34EAB">
        <w:rPr>
          <w:lang w:val="fi-FI"/>
        </w:rPr>
        <w:t>Avtozma</w:t>
      </w:r>
      <w:r w:rsidRPr="00A34EAB">
        <w:rPr>
          <w:lang w:val="fi-FI"/>
        </w:rPr>
        <w:t>n säilyttäminen</w:t>
      </w:r>
    </w:p>
    <w:p w14:paraId="63972C34" w14:textId="77777777" w:rsidR="003B7027" w:rsidRPr="00CA43F5" w:rsidRDefault="00296A74" w:rsidP="00615DE1">
      <w:pPr>
        <w:tabs>
          <w:tab w:val="left" w:pos="1604"/>
        </w:tabs>
        <w:ind w:left="567" w:hanging="567"/>
        <w:rPr>
          <w:lang w:val="fi-FI"/>
        </w:rPr>
      </w:pPr>
      <w:r w:rsidRPr="00F37774">
        <w:rPr>
          <w:rFonts w:eastAsia="Times New Roman"/>
          <w:lang w:val="fi-FI" w:eastAsia="en-US"/>
        </w:rPr>
        <w:t>6.</w:t>
      </w:r>
      <w:r w:rsidRPr="00F37774">
        <w:rPr>
          <w:rFonts w:eastAsia="Times New Roman"/>
          <w:lang w:val="fi-FI" w:eastAsia="en-US"/>
        </w:rPr>
        <w:tab/>
      </w:r>
      <w:r w:rsidRPr="00CA43F5">
        <w:rPr>
          <w:lang w:val="fi-FI"/>
        </w:rPr>
        <w:t>Pakkauksen sisältö ja muuta tietoa</w:t>
      </w:r>
    </w:p>
    <w:p w14:paraId="3987ADC5" w14:textId="77777777" w:rsidR="003B7027" w:rsidRPr="00F37774" w:rsidRDefault="003B7027" w:rsidP="006E5F9A">
      <w:pPr>
        <w:pStyle w:val="a4"/>
        <w:ind w:left="0"/>
      </w:pPr>
    </w:p>
    <w:p w14:paraId="2522211B" w14:textId="77777777" w:rsidR="003B7027" w:rsidRPr="00F37774" w:rsidRDefault="003B7027" w:rsidP="006E5F9A">
      <w:pPr>
        <w:pStyle w:val="a4"/>
        <w:ind w:left="0"/>
      </w:pPr>
    </w:p>
    <w:p w14:paraId="295CC7AD" w14:textId="11737D02" w:rsidR="003B7027" w:rsidRPr="00F37774" w:rsidRDefault="00296A74" w:rsidP="006E5F9A">
      <w:pPr>
        <w:pStyle w:val="2"/>
      </w:pPr>
      <w:r w:rsidRPr="00F37774">
        <w:t>1.</w:t>
      </w:r>
      <w:r w:rsidRPr="00F37774">
        <w:tab/>
        <w:t xml:space="preserve">Mitä </w:t>
      </w:r>
      <w:r w:rsidR="00F70FEB">
        <w:t>Avtozma</w:t>
      </w:r>
      <w:r w:rsidRPr="00F37774">
        <w:t xml:space="preserve"> on ja mihin sitä käytetään</w:t>
      </w:r>
    </w:p>
    <w:p w14:paraId="6764FA88" w14:textId="77777777" w:rsidR="00997012" w:rsidRPr="009A3CB5" w:rsidRDefault="00997012" w:rsidP="00DD705A">
      <w:pPr>
        <w:rPr>
          <w:lang w:val="fi-FI"/>
        </w:rPr>
      </w:pPr>
    </w:p>
    <w:p w14:paraId="27EC2693" w14:textId="50C9B35A" w:rsidR="003B7027" w:rsidRPr="00F37774" w:rsidRDefault="00F70FEB" w:rsidP="006E5F9A">
      <w:pPr>
        <w:pStyle w:val="a4"/>
        <w:ind w:left="0"/>
      </w:pPr>
      <w:r>
        <w:t>Avtozma</w:t>
      </w:r>
      <w:r w:rsidR="00296A74" w:rsidRPr="00F37774">
        <w:t xml:space="preserve">n vaikuttavana aineena on tosilitsumabi. Se on proteiini (monoklonaalinen vasta-aine), joka on valmistettu elävissä soluissa ja estää tietyn, elimistön tulehdusprosesseihin osallistuvan proteiinin, interleukiini-6 sytokiinin, toimintaa. Tämän proteiinin toimintaa estämällä voidaan vähentää elimistön tulehdusreaktioita. </w:t>
      </w:r>
      <w:r>
        <w:t>Avtozma</w:t>
      </w:r>
      <w:r w:rsidR="00296A74" w:rsidRPr="00F37774">
        <w:t xml:space="preserve"> lievittää nivelreuman oireita, kuten nivelkipua ja -turvotusta ja voi siten parantaa toimintakykyäsi päivittäisissä toiminnoissa. </w:t>
      </w:r>
      <w:r>
        <w:t>Avtozma</w:t>
      </w:r>
      <w:r w:rsidR="00296A74" w:rsidRPr="00F37774">
        <w:t>n on osoitettu hidastavan taudin aiheuttamia nivel- ja rustovaurioita ja lisäävän kykyäsi selviytyä päivittäisistä askareista.</w:t>
      </w:r>
    </w:p>
    <w:p w14:paraId="29908FD9" w14:textId="77777777" w:rsidR="003B7027" w:rsidRPr="00F37774" w:rsidRDefault="003B7027" w:rsidP="006E5F9A">
      <w:pPr>
        <w:pStyle w:val="a4"/>
        <w:ind w:left="0"/>
      </w:pPr>
    </w:p>
    <w:p w14:paraId="29EB4562" w14:textId="0890409D" w:rsidR="003B7027" w:rsidRPr="00F37774" w:rsidRDefault="00F70FEB" w:rsidP="00F37774">
      <w:pPr>
        <w:pStyle w:val="a"/>
      </w:pPr>
      <w:r>
        <w:rPr>
          <w:b/>
        </w:rPr>
        <w:t>Avtozma</w:t>
      </w:r>
      <w:r w:rsidR="00296A74" w:rsidRPr="00F37774">
        <w:rPr>
          <w:b/>
        </w:rPr>
        <w:t xml:space="preserve">a käytetään </w:t>
      </w:r>
      <w:r w:rsidR="00296A74" w:rsidRPr="00F37774">
        <w:t xml:space="preserve">kohtalaisen tai vaikean aktiivisen autoimmuunisairauden nivelreuman hoidossa </w:t>
      </w:r>
      <w:r w:rsidR="00296A74" w:rsidRPr="00F37774">
        <w:rPr>
          <w:b/>
        </w:rPr>
        <w:t>aikuispotilaille</w:t>
      </w:r>
      <w:r w:rsidR="00296A74" w:rsidRPr="00F37774">
        <w:t xml:space="preserve">, jotka eivät ole saaneet riittävää apua aikaisemmasta hoidosta. </w:t>
      </w:r>
      <w:r>
        <w:t>Avtozma</w:t>
      </w:r>
      <w:r w:rsidR="00296A74" w:rsidRPr="00F37774">
        <w:t xml:space="preserve">-hoitoa annetaan yleensä yhdessä metotreksaatin kanssa. </w:t>
      </w:r>
      <w:r>
        <w:t>Avtozma</w:t>
      </w:r>
      <w:r w:rsidR="00296A74" w:rsidRPr="00F37774">
        <w:t>a voidaan antaa myös yksin, jos lääkäri toteaa, että metotreksaatti ei sovi sinulle.</w:t>
      </w:r>
    </w:p>
    <w:p w14:paraId="41D19A5E" w14:textId="77777777" w:rsidR="00997012" w:rsidRPr="00CA43F5" w:rsidRDefault="00997012" w:rsidP="00615DE1">
      <w:pPr>
        <w:tabs>
          <w:tab w:val="left" w:pos="1599"/>
        </w:tabs>
        <w:ind w:left="567" w:hanging="567"/>
        <w:rPr>
          <w:lang w:val="fi-FI"/>
        </w:rPr>
      </w:pPr>
    </w:p>
    <w:p w14:paraId="211BD2DB" w14:textId="210B7D6F" w:rsidR="003B7027" w:rsidRPr="00F37774" w:rsidRDefault="00F70FEB" w:rsidP="00F37774">
      <w:pPr>
        <w:pStyle w:val="a"/>
      </w:pPr>
      <w:r>
        <w:t>Avtozma</w:t>
      </w:r>
      <w:r w:rsidR="00296A74" w:rsidRPr="00F37774">
        <w:t>a voidaan myös käyttää vaikean aktiivisen ja etenevän nivelreuman hoitoon aikuispotilaille, jotka eivät ole aiemmin käyttäneet metotreksaattia.</w:t>
      </w:r>
    </w:p>
    <w:p w14:paraId="4374D2B5" w14:textId="77777777" w:rsidR="00997012" w:rsidRPr="00CA43F5" w:rsidRDefault="00997012" w:rsidP="00615DE1">
      <w:pPr>
        <w:tabs>
          <w:tab w:val="left" w:pos="1597"/>
          <w:tab w:val="left" w:pos="1599"/>
        </w:tabs>
        <w:ind w:left="567" w:hanging="567"/>
        <w:rPr>
          <w:lang w:val="fi-FI"/>
        </w:rPr>
      </w:pPr>
    </w:p>
    <w:p w14:paraId="73C4379A" w14:textId="11B63012" w:rsidR="003B7027" w:rsidRPr="00F37774" w:rsidRDefault="00F70FEB" w:rsidP="00F37774">
      <w:pPr>
        <w:pStyle w:val="a"/>
      </w:pPr>
      <w:r>
        <w:rPr>
          <w:b/>
        </w:rPr>
        <w:t>Avtozma</w:t>
      </w:r>
      <w:r w:rsidR="00296A74" w:rsidRPr="00F37774">
        <w:rPr>
          <w:b/>
        </w:rPr>
        <w:t xml:space="preserve">a käytetään lapsille aktiivisen yleisoireisen lastenreuman hoitoon. </w:t>
      </w:r>
      <w:r>
        <w:t>Avtozma</w:t>
      </w:r>
      <w:r w:rsidR="00296A74" w:rsidRPr="00F37774">
        <w:t xml:space="preserve">a käytetään 2-vuotiaille ja sitä vanhemmille lapsille, jotka sairastavat </w:t>
      </w:r>
      <w:r w:rsidR="00296A74" w:rsidRPr="00F37774">
        <w:rPr>
          <w:b/>
          <w:i/>
        </w:rPr>
        <w:t xml:space="preserve">yleisoireiseksi lastenreumaksi </w:t>
      </w:r>
      <w:r w:rsidR="00296A74" w:rsidRPr="00F37774">
        <w:t xml:space="preserve">kutsuttua tulehdussairautta, joka aiheuttaa kipua ja turvotusta yhdessä tai useammassa nivelessä sekä kuumetta ja ihottumaa. </w:t>
      </w:r>
      <w:r>
        <w:t>Avtozma</w:t>
      </w:r>
      <w:r w:rsidR="00296A74" w:rsidRPr="00F37774">
        <w:t>a annetaan yleisoireisen lastenreuman oireiden lievittämiseksi ja sitä voidaan antaa yksin tai yhdessä metotreksaatin kanssa.</w:t>
      </w:r>
    </w:p>
    <w:p w14:paraId="49960495" w14:textId="77777777" w:rsidR="003B7027" w:rsidRPr="00F37774" w:rsidRDefault="003B7027" w:rsidP="00615DE1">
      <w:pPr>
        <w:pStyle w:val="a4"/>
        <w:ind w:left="567" w:hanging="567"/>
      </w:pPr>
    </w:p>
    <w:p w14:paraId="1B3AA8DD" w14:textId="03B4B511" w:rsidR="003B7027" w:rsidRDefault="00F70FEB" w:rsidP="00F37774">
      <w:pPr>
        <w:pStyle w:val="a"/>
      </w:pPr>
      <w:r>
        <w:rPr>
          <w:b/>
        </w:rPr>
        <w:lastRenderedPageBreak/>
        <w:t>Avtozma</w:t>
      </w:r>
      <w:r w:rsidR="00296A74" w:rsidRPr="00F37774">
        <w:rPr>
          <w:b/>
        </w:rPr>
        <w:t xml:space="preserve">a käytetään lapsille polyartriitin hoitoon. </w:t>
      </w:r>
      <w:r>
        <w:t>Avtozma</w:t>
      </w:r>
      <w:r w:rsidR="00296A74" w:rsidRPr="00F37774">
        <w:t xml:space="preserve">a käytetään 2-vuotiaille ja sitä vanhemmille lapsille, jotka sairastavat </w:t>
      </w:r>
      <w:r w:rsidR="00296A74" w:rsidRPr="00F37774">
        <w:rPr>
          <w:b/>
          <w:i/>
        </w:rPr>
        <w:t xml:space="preserve">polyartriitiksi </w:t>
      </w:r>
      <w:r w:rsidR="00296A74" w:rsidRPr="00F37774">
        <w:t xml:space="preserve">kutsuttua tulehdussairautta, joka aiheuttaa kipua ja turvotusta yhdessä tai useammassa nivelessä. </w:t>
      </w:r>
      <w:r>
        <w:t>Avtozma</w:t>
      </w:r>
      <w:r w:rsidR="00296A74" w:rsidRPr="00F37774">
        <w:t xml:space="preserve">a annetaan </w:t>
      </w:r>
      <w:r w:rsidR="00296A74" w:rsidRPr="0028514E">
        <w:t>polyartriitin oireiden lievittämiseksi ja sitä voidaan antaa yksin tai yhdessä metotreksaatin kanssa.</w:t>
      </w:r>
    </w:p>
    <w:p w14:paraId="346CECDE" w14:textId="77777777" w:rsidR="00F37774" w:rsidRPr="0028514E" w:rsidRDefault="00F37774" w:rsidP="00B8051F">
      <w:pPr>
        <w:pStyle w:val="a"/>
        <w:numPr>
          <w:ilvl w:val="0"/>
          <w:numId w:val="0"/>
        </w:numPr>
        <w:ind w:left="567" w:hanging="567"/>
      </w:pPr>
    </w:p>
    <w:p w14:paraId="51C7DE88" w14:textId="4692FF27" w:rsidR="003B7027" w:rsidRPr="00F37774" w:rsidRDefault="00F70FEB" w:rsidP="00F37774">
      <w:pPr>
        <w:pStyle w:val="a"/>
      </w:pPr>
      <w:r>
        <w:rPr>
          <w:b/>
        </w:rPr>
        <w:t>Avtozma</w:t>
      </w:r>
      <w:r w:rsidR="00296A74" w:rsidRPr="00F37774">
        <w:rPr>
          <w:b/>
        </w:rPr>
        <w:t xml:space="preserve">a käytetään aikuisille ja 2-vuotiaille ja sitä vanhemmille lapsille </w:t>
      </w:r>
      <w:r w:rsidR="00296A74" w:rsidRPr="00F37774">
        <w:t xml:space="preserve">vaikea-asteisen tai hengenvaarallisen </w:t>
      </w:r>
      <w:r w:rsidR="00296A74" w:rsidRPr="00F37774">
        <w:rPr>
          <w:b/>
        </w:rPr>
        <w:t xml:space="preserve">sytokiinien vapautumisoireyhtymän </w:t>
      </w:r>
      <w:r w:rsidR="00296A74" w:rsidRPr="00F37774">
        <w:t>hoitoon. Sytokiinien vapautumisoireyhtymä on tiettyjen syöpätyyppien hoitoon käytettävästä CAR-T-soluhoidosta (kimeeristä antigeenireseptoria ilmentävistä T-soluhoidoista) aiheutuva haittavaikutus.</w:t>
      </w:r>
    </w:p>
    <w:p w14:paraId="7BB0F818" w14:textId="77777777" w:rsidR="00997012" w:rsidRPr="00CA43F5" w:rsidRDefault="00997012" w:rsidP="00615DE1">
      <w:pPr>
        <w:tabs>
          <w:tab w:val="left" w:pos="1598"/>
          <w:tab w:val="left" w:pos="1600"/>
        </w:tabs>
        <w:ind w:left="567" w:hanging="567"/>
        <w:rPr>
          <w:lang w:val="fi-FI"/>
        </w:rPr>
      </w:pPr>
    </w:p>
    <w:p w14:paraId="4F2AB81D" w14:textId="10535AEE" w:rsidR="003B7027" w:rsidRPr="00F37774" w:rsidRDefault="00F70FEB" w:rsidP="00F37774">
      <w:pPr>
        <w:pStyle w:val="a"/>
      </w:pPr>
      <w:r>
        <w:rPr>
          <w:b/>
        </w:rPr>
        <w:t>Avtozma</w:t>
      </w:r>
      <w:r w:rsidR="00296A74" w:rsidRPr="00F37774">
        <w:rPr>
          <w:b/>
        </w:rPr>
        <w:t xml:space="preserve">a käytetään </w:t>
      </w:r>
      <w:r w:rsidR="00296A74" w:rsidRPr="00F37774">
        <w:t xml:space="preserve">koronavirustaudin 2019 (covid-19) hoitoon </w:t>
      </w:r>
      <w:r w:rsidR="00296A74" w:rsidRPr="00F37774">
        <w:rPr>
          <w:b/>
        </w:rPr>
        <w:t>aikuisille</w:t>
      </w:r>
      <w:r w:rsidR="00296A74" w:rsidRPr="00F37774">
        <w:t>, jotka saavat systeemistä kortikosteroidihoitoa ja tarvitsevat lisähappea tai hengityskonehoitoa.</w:t>
      </w:r>
    </w:p>
    <w:p w14:paraId="34E61311" w14:textId="77777777" w:rsidR="003B7027" w:rsidRDefault="003B7027" w:rsidP="00615DE1">
      <w:pPr>
        <w:pStyle w:val="a4"/>
        <w:ind w:left="567" w:hanging="567"/>
      </w:pPr>
    </w:p>
    <w:p w14:paraId="223A6558" w14:textId="77777777" w:rsidR="006E4E50" w:rsidRPr="00F37774" w:rsidRDefault="006E4E50" w:rsidP="00615DE1">
      <w:pPr>
        <w:pStyle w:val="a4"/>
        <w:ind w:left="567" w:hanging="567"/>
      </w:pPr>
    </w:p>
    <w:p w14:paraId="7976478B" w14:textId="68D4152E" w:rsidR="00615DE1" w:rsidRPr="00F37774" w:rsidRDefault="00296A74" w:rsidP="00615DE1">
      <w:pPr>
        <w:pStyle w:val="2"/>
      </w:pPr>
      <w:r w:rsidRPr="00F37774">
        <w:t>2.</w:t>
      </w:r>
      <w:r w:rsidRPr="00F37774">
        <w:tab/>
        <w:t xml:space="preserve">Mitä sinun on tiedettävä, ennen kuin saat </w:t>
      </w:r>
      <w:r w:rsidR="00F70FEB">
        <w:t>Avtozma</w:t>
      </w:r>
      <w:r w:rsidRPr="00F37774">
        <w:t xml:space="preserve">a </w:t>
      </w:r>
    </w:p>
    <w:p w14:paraId="49A38D91" w14:textId="77777777" w:rsidR="00615DE1" w:rsidRPr="00F37774" w:rsidRDefault="00615DE1" w:rsidP="00DD705A"/>
    <w:p w14:paraId="227AC713" w14:textId="2B3D72CF" w:rsidR="003B7027" w:rsidRPr="00F37774" w:rsidRDefault="00296A74" w:rsidP="009A3CB5">
      <w:r w:rsidRPr="009A3CB5">
        <w:rPr>
          <w:b/>
          <w:bCs/>
          <w:lang w:val="fi-FI"/>
        </w:rPr>
        <w:t xml:space="preserve">Sinulle ei saa antaa </w:t>
      </w:r>
      <w:r w:rsidR="00F70FEB" w:rsidRPr="009A3CB5">
        <w:rPr>
          <w:b/>
          <w:bCs/>
          <w:lang w:val="fi-FI"/>
        </w:rPr>
        <w:t>Avtozma</w:t>
      </w:r>
      <w:r w:rsidRPr="009A3CB5">
        <w:rPr>
          <w:b/>
          <w:bCs/>
          <w:lang w:val="fi-FI"/>
        </w:rPr>
        <w:t>a</w:t>
      </w:r>
    </w:p>
    <w:p w14:paraId="5B33DDBF" w14:textId="3C27AD5D" w:rsidR="003B7027" w:rsidRPr="00F37774" w:rsidRDefault="00296A74" w:rsidP="00F37774">
      <w:pPr>
        <w:pStyle w:val="a"/>
      </w:pPr>
      <w:r w:rsidRPr="00F37774">
        <w:t xml:space="preserve">jos olet </w:t>
      </w:r>
      <w:r w:rsidRPr="00F37774">
        <w:rPr>
          <w:b/>
        </w:rPr>
        <w:t xml:space="preserve">allerginen </w:t>
      </w:r>
      <w:r w:rsidRPr="00F37774">
        <w:t>tosilitsumabille tai tämän lääkkeen jollekin muulle aineelle (lueteltu kohdassa 6)</w:t>
      </w:r>
      <w:r w:rsidR="008C5D3A">
        <w:t xml:space="preserve"> (ks. </w:t>
      </w:r>
      <w:r w:rsidR="00C75C9D">
        <w:t>erityiset varoitukse</w:t>
      </w:r>
      <w:r w:rsidR="00500902">
        <w:t>t tämän kohdan lopussa olevan otsikon</w:t>
      </w:r>
      <w:r w:rsidR="00C75C9D">
        <w:t xml:space="preserve"> </w:t>
      </w:r>
      <w:r w:rsidR="00500902">
        <w:t>”Avtozma sisältää polysorbaattia” alta)</w:t>
      </w:r>
    </w:p>
    <w:p w14:paraId="6FCECAEA" w14:textId="77777777" w:rsidR="003B7027" w:rsidRPr="00F37774" w:rsidRDefault="00296A74" w:rsidP="00F37774">
      <w:pPr>
        <w:pStyle w:val="a"/>
      </w:pPr>
      <w:r w:rsidRPr="00F37774">
        <w:t>jos sinulla on aktiivinen vaikea infektio.</w:t>
      </w:r>
    </w:p>
    <w:p w14:paraId="6B4B6DBD" w14:textId="77777777" w:rsidR="003B7027" w:rsidRPr="00F37774" w:rsidRDefault="00296A74" w:rsidP="00615DE1">
      <w:pPr>
        <w:pStyle w:val="a4"/>
        <w:ind w:left="567" w:hanging="567"/>
      </w:pPr>
      <w:r w:rsidRPr="00F37774">
        <w:t>Jos jokin näistä koskee sinua, kerro siitä infuusion antavalle lääkärille tai sairaanhoitajalle.</w:t>
      </w:r>
    </w:p>
    <w:p w14:paraId="47BDD9E1" w14:textId="77777777" w:rsidR="003B7027" w:rsidRPr="00F37774" w:rsidRDefault="003B7027" w:rsidP="00615DE1">
      <w:pPr>
        <w:pStyle w:val="a4"/>
        <w:ind w:left="567" w:hanging="567"/>
      </w:pPr>
    </w:p>
    <w:p w14:paraId="595C6E12" w14:textId="77777777" w:rsidR="003B7027" w:rsidRPr="009A3CB5" w:rsidRDefault="00296A74" w:rsidP="009A3CB5">
      <w:pPr>
        <w:rPr>
          <w:b/>
          <w:bCs/>
          <w:lang w:val="fi-FI"/>
        </w:rPr>
      </w:pPr>
      <w:r w:rsidRPr="009A3CB5">
        <w:rPr>
          <w:b/>
          <w:bCs/>
          <w:lang w:val="fi-FI"/>
        </w:rPr>
        <w:t>Varoitukset ja varotoimet</w:t>
      </w:r>
    </w:p>
    <w:p w14:paraId="49F78081" w14:textId="6F6A34A8" w:rsidR="003B7027" w:rsidRPr="00F37774" w:rsidRDefault="00296A74" w:rsidP="00615DE1">
      <w:pPr>
        <w:pStyle w:val="a4"/>
        <w:ind w:left="567" w:hanging="567"/>
      </w:pPr>
      <w:r w:rsidRPr="00F37774">
        <w:t xml:space="preserve">Keskustele lääkärin tai sairaanhoitajan kanssa ennen kuin sinulle annetaan </w:t>
      </w:r>
      <w:r w:rsidR="00F70FEB">
        <w:t>Avtozma</w:t>
      </w:r>
      <w:r w:rsidRPr="00F37774">
        <w:t>a</w:t>
      </w:r>
    </w:p>
    <w:p w14:paraId="3709B825" w14:textId="77777777" w:rsidR="003B7027" w:rsidRPr="00F37774" w:rsidRDefault="003B7027" w:rsidP="00615DE1">
      <w:pPr>
        <w:pStyle w:val="a4"/>
        <w:ind w:left="567" w:hanging="567"/>
      </w:pPr>
    </w:p>
    <w:p w14:paraId="0AEA30C5" w14:textId="77777777" w:rsidR="003B7027" w:rsidRPr="00F37774" w:rsidRDefault="00296A74" w:rsidP="00F37774">
      <w:pPr>
        <w:pStyle w:val="a"/>
      </w:pPr>
      <w:r w:rsidRPr="00F37774">
        <w:rPr>
          <w:b/>
        </w:rPr>
        <w:t>Kerro heti lääkärille</w:t>
      </w:r>
      <w:r w:rsidRPr="00F37774">
        <w:t xml:space="preserve">, jos havaitset </w:t>
      </w:r>
      <w:r w:rsidRPr="00F37774">
        <w:rPr>
          <w:b/>
        </w:rPr>
        <w:t>allergisia reaktioita</w:t>
      </w:r>
      <w:r w:rsidRPr="00F37774">
        <w:t>, kuten puristavaa tunnetta rintakehässä, hengityksen vinkumista, voimakasta huimausta tai pyörrytystä, huulien turvotusta tai ihottumaa lääkkeen antamisen (infuusion) aikana tai sen jälkeen.</w:t>
      </w:r>
    </w:p>
    <w:p w14:paraId="555DBA6D" w14:textId="77777777" w:rsidR="003B7027" w:rsidRPr="0028514E" w:rsidRDefault="003B7027" w:rsidP="00615DE1">
      <w:pPr>
        <w:pStyle w:val="a4"/>
        <w:ind w:left="567" w:hanging="567"/>
      </w:pPr>
    </w:p>
    <w:p w14:paraId="07C5BEAB" w14:textId="5872F97B" w:rsidR="003B7027" w:rsidRPr="0028514E" w:rsidRDefault="00296A74" w:rsidP="00F37774">
      <w:pPr>
        <w:pStyle w:val="a"/>
      </w:pPr>
      <w:r w:rsidRPr="0028514E">
        <w:t xml:space="preserve">Jos sinulla on jokin </w:t>
      </w:r>
      <w:r w:rsidRPr="0028514E">
        <w:rPr>
          <w:b/>
        </w:rPr>
        <w:t>infektio</w:t>
      </w:r>
      <w:r w:rsidRPr="0028514E">
        <w:t xml:space="preserve">, lyhyt- tai pitkäaikainen, tai jos sairastat usein infektiotauteja. </w:t>
      </w:r>
      <w:r w:rsidRPr="0028514E">
        <w:rPr>
          <w:b/>
        </w:rPr>
        <w:t>Kerro heti lääkärille</w:t>
      </w:r>
      <w:r w:rsidRPr="0028514E">
        <w:t xml:space="preserve">, jos tunnet itsesi sairaaksi. </w:t>
      </w:r>
      <w:r w:rsidR="00F70FEB">
        <w:t>Avtozma</w:t>
      </w:r>
      <w:r w:rsidRPr="0028514E">
        <w:t xml:space="preserve"> voi heikentää elimistön kykyä puolustautua infektioita vastaan, ja se voi pahentaa jo olemassa olevia infektioita tai lisätä uusien infektioiden riskiä.</w:t>
      </w:r>
    </w:p>
    <w:p w14:paraId="48305C25" w14:textId="77777777" w:rsidR="003B7027" w:rsidRPr="00F37774" w:rsidRDefault="003B7027" w:rsidP="00615DE1">
      <w:pPr>
        <w:pStyle w:val="a4"/>
        <w:ind w:left="567" w:hanging="567"/>
      </w:pPr>
    </w:p>
    <w:p w14:paraId="024BCFDC" w14:textId="367F0163" w:rsidR="003B7027" w:rsidRPr="00F37774" w:rsidRDefault="00296A74" w:rsidP="00F37774">
      <w:pPr>
        <w:pStyle w:val="a"/>
      </w:pPr>
      <w:r w:rsidRPr="00F37774">
        <w:t xml:space="preserve">Kerro lääkärille, jos sinulla on ollut </w:t>
      </w:r>
      <w:r w:rsidRPr="00F37774">
        <w:rPr>
          <w:b/>
        </w:rPr>
        <w:t>tuberkuloosi</w:t>
      </w:r>
      <w:r w:rsidRPr="00F37774">
        <w:t xml:space="preserve">. Ennen </w:t>
      </w:r>
      <w:r w:rsidR="00F70FEB">
        <w:t>Avtozma</w:t>
      </w:r>
      <w:r w:rsidRPr="00F37774">
        <w:t xml:space="preserve">-hoidon aloittamista lääkäri tutkii, onko sinulla tuberkuloosiin viittaavia merkkejä tai oireita. Kerro heti lääkärille, jos havaitset tuberkuloosiin viittaavia oireita (esim. itsepintainen yskä, painon lasku, voimattomuus, lievä lämmönnousu) tai saat minkä tahansa infektion </w:t>
      </w:r>
      <w:r w:rsidR="00F70FEB">
        <w:t>Avtozma</w:t>
      </w:r>
      <w:r w:rsidRPr="00F37774">
        <w:t>-hoidon aikana tai sen jälkeen.</w:t>
      </w:r>
    </w:p>
    <w:p w14:paraId="3171EB49" w14:textId="77777777" w:rsidR="00EB5DDD" w:rsidRPr="00CA43F5" w:rsidRDefault="00EB5DDD" w:rsidP="00615DE1">
      <w:pPr>
        <w:tabs>
          <w:tab w:val="left" w:pos="1604"/>
        </w:tabs>
        <w:ind w:left="567" w:hanging="567"/>
        <w:rPr>
          <w:lang w:val="fi-FI"/>
        </w:rPr>
      </w:pPr>
    </w:p>
    <w:p w14:paraId="7A5C2A7B" w14:textId="77777777" w:rsidR="003B7027" w:rsidRPr="00F37774" w:rsidRDefault="00296A74" w:rsidP="00F37774">
      <w:pPr>
        <w:pStyle w:val="a"/>
      </w:pPr>
      <w:r w:rsidRPr="00F37774">
        <w:t xml:space="preserve">Kerro lääkärille, jos sinulla on ollut </w:t>
      </w:r>
      <w:r w:rsidRPr="00F37774">
        <w:rPr>
          <w:b/>
        </w:rPr>
        <w:t xml:space="preserve">suolistohaavaumia </w:t>
      </w:r>
      <w:r w:rsidRPr="00F37774">
        <w:t xml:space="preserve">tai </w:t>
      </w:r>
      <w:r w:rsidRPr="00F37774">
        <w:rPr>
          <w:b/>
        </w:rPr>
        <w:t>divertikuliittia</w:t>
      </w:r>
      <w:r w:rsidRPr="00F37774">
        <w:t>. Oireita voivat olla vatsakipu, selittämättömät muutokset suoliston toiminnassa ja samanaikainen kuume.</w:t>
      </w:r>
    </w:p>
    <w:p w14:paraId="3CD6B528" w14:textId="77777777" w:rsidR="00EB5DDD" w:rsidRPr="00CA43F5" w:rsidRDefault="00EB5DDD" w:rsidP="00615DE1">
      <w:pPr>
        <w:tabs>
          <w:tab w:val="left" w:pos="1605"/>
        </w:tabs>
        <w:ind w:left="567" w:hanging="567"/>
        <w:rPr>
          <w:lang w:val="fi-FI"/>
        </w:rPr>
      </w:pPr>
    </w:p>
    <w:p w14:paraId="13F09EC5" w14:textId="4164F547" w:rsidR="003B7027" w:rsidRPr="00F37774" w:rsidRDefault="00296A74" w:rsidP="00F37774">
      <w:pPr>
        <w:pStyle w:val="a"/>
      </w:pPr>
      <w:r w:rsidRPr="00F37774">
        <w:t xml:space="preserve">Kerro lääkärille, jos sinulla on </w:t>
      </w:r>
      <w:r w:rsidRPr="00F37774">
        <w:rPr>
          <w:b/>
        </w:rPr>
        <w:t xml:space="preserve">maksasairaus. </w:t>
      </w:r>
      <w:r w:rsidRPr="00F37774">
        <w:t xml:space="preserve">Lääkäri voi määrätä sinut verikokeeseen selvittääkseen maksasi toimintaa ennen </w:t>
      </w:r>
      <w:r w:rsidR="00F70FEB">
        <w:t>Avtozma</w:t>
      </w:r>
      <w:r w:rsidRPr="00F37774">
        <w:t>-hoidon aloittamista.</w:t>
      </w:r>
    </w:p>
    <w:p w14:paraId="110799E0" w14:textId="77777777" w:rsidR="003B7027" w:rsidRPr="00CA43F5" w:rsidRDefault="003B7027" w:rsidP="00F37774">
      <w:pPr>
        <w:rPr>
          <w:lang w:val="fi-FI"/>
        </w:rPr>
      </w:pPr>
    </w:p>
    <w:p w14:paraId="6BA6E397" w14:textId="19F3CEF3" w:rsidR="003B7027" w:rsidRPr="00F37774" w:rsidRDefault="00296A74" w:rsidP="00F37774">
      <w:pPr>
        <w:pStyle w:val="a"/>
      </w:pPr>
      <w:r w:rsidRPr="00F37774">
        <w:rPr>
          <w:b/>
        </w:rPr>
        <w:t xml:space="preserve">Kerro lääkärille, jos potilas </w:t>
      </w:r>
      <w:r w:rsidRPr="00F37774">
        <w:t xml:space="preserve">(joko aikuinen tai lapsi) </w:t>
      </w:r>
      <w:r w:rsidRPr="00F37774">
        <w:rPr>
          <w:b/>
        </w:rPr>
        <w:t xml:space="preserve">on hiljattain saanut jonkin rokotuksen </w:t>
      </w:r>
      <w:r w:rsidRPr="00F37774">
        <w:t>tai hänelle suunnitellaan rokotuksen antamista</w:t>
      </w:r>
      <w:r w:rsidRPr="00F37774">
        <w:rPr>
          <w:b/>
        </w:rPr>
        <w:t xml:space="preserve">. </w:t>
      </w:r>
      <w:r w:rsidRPr="00F37774">
        <w:t xml:space="preserve">Kaikille potilaille, erityisesti lapsille, suositellaan rokotusten antamista voimassa olevien rokotussuositusten mukaisesti ennen </w:t>
      </w:r>
      <w:r w:rsidR="00F70FEB">
        <w:t>Avtozma</w:t>
      </w:r>
      <w:r w:rsidRPr="00F37774">
        <w:t xml:space="preserve">-hoidon aloittamista, paitsi jos tarvitaan kiireellistä hoitoa. Tietyntyyppisiä rokotteita ei pidä antaa </w:t>
      </w:r>
      <w:r w:rsidR="00F70FEB">
        <w:t>Avtozma</w:t>
      </w:r>
      <w:r w:rsidRPr="00F37774">
        <w:t xml:space="preserve"> hoidon aikana.</w:t>
      </w:r>
    </w:p>
    <w:p w14:paraId="7C76010D" w14:textId="77777777" w:rsidR="003B7027" w:rsidRPr="00A34EAB" w:rsidRDefault="003B7027" w:rsidP="00F37774">
      <w:pPr>
        <w:rPr>
          <w:lang w:val="fi-FI"/>
        </w:rPr>
      </w:pPr>
    </w:p>
    <w:p w14:paraId="561350D3" w14:textId="39570BF5" w:rsidR="003B7027" w:rsidRPr="0028514E" w:rsidRDefault="00296A74" w:rsidP="00F37774">
      <w:pPr>
        <w:pStyle w:val="a"/>
      </w:pPr>
      <w:r w:rsidRPr="0028514E">
        <w:t xml:space="preserve">Kerro lääkärille, jos sairastat </w:t>
      </w:r>
      <w:r w:rsidRPr="0028514E">
        <w:rPr>
          <w:b/>
        </w:rPr>
        <w:t>syöpää</w:t>
      </w:r>
      <w:r w:rsidRPr="0028514E">
        <w:t xml:space="preserve">. Lääkäri päättää, sopiiko </w:t>
      </w:r>
      <w:r w:rsidR="00F70FEB">
        <w:t>Avtozma</w:t>
      </w:r>
      <w:r w:rsidRPr="0028514E">
        <w:t>-hoito sinulle.</w:t>
      </w:r>
    </w:p>
    <w:p w14:paraId="3E10874B" w14:textId="77777777" w:rsidR="00EB5DDD" w:rsidRPr="00CA43F5" w:rsidRDefault="00EB5DDD" w:rsidP="00615DE1">
      <w:pPr>
        <w:tabs>
          <w:tab w:val="left" w:pos="1605"/>
        </w:tabs>
        <w:ind w:left="567" w:hanging="567"/>
        <w:rPr>
          <w:lang w:val="fi-FI"/>
        </w:rPr>
      </w:pPr>
    </w:p>
    <w:p w14:paraId="1B231D84" w14:textId="5B727B03" w:rsidR="003B7027" w:rsidRPr="0028514E" w:rsidRDefault="00296A74" w:rsidP="00F37774">
      <w:pPr>
        <w:pStyle w:val="a"/>
      </w:pPr>
      <w:r w:rsidRPr="0028514E">
        <w:lastRenderedPageBreak/>
        <w:t xml:space="preserve">Kerro lääkärille, jos sinulla on todettu </w:t>
      </w:r>
      <w:r w:rsidRPr="0028514E">
        <w:rPr>
          <w:b/>
        </w:rPr>
        <w:t>sydän- ja verisuonisairauksien riskitekijöitä</w:t>
      </w:r>
      <w:r w:rsidRPr="0028514E">
        <w:t xml:space="preserve">, kuten kohonnut verenpaine ja kohonneet kolesterolitasot. Näitä riskitekijöitä tulee seurata </w:t>
      </w:r>
      <w:r w:rsidR="00F70FEB">
        <w:t>Avtozma</w:t>
      </w:r>
      <w:r w:rsidRPr="0028514E">
        <w:t>- hoidon aikana.</w:t>
      </w:r>
    </w:p>
    <w:p w14:paraId="2D301F8E" w14:textId="77777777" w:rsidR="003B7027" w:rsidRPr="0028514E" w:rsidRDefault="003B7027" w:rsidP="00615DE1">
      <w:pPr>
        <w:pStyle w:val="a4"/>
        <w:ind w:left="567" w:hanging="567"/>
      </w:pPr>
    </w:p>
    <w:p w14:paraId="2A3752D2" w14:textId="77777777" w:rsidR="003B7027" w:rsidRPr="00F37774" w:rsidRDefault="00296A74" w:rsidP="00F37774">
      <w:pPr>
        <w:pStyle w:val="a"/>
        <w:rPr>
          <w:b/>
        </w:rPr>
      </w:pPr>
      <w:r w:rsidRPr="00F37774">
        <w:t xml:space="preserve">Jos sinulla on todettu kohtalainen tai vaikea </w:t>
      </w:r>
      <w:r w:rsidRPr="00F37774">
        <w:rPr>
          <w:b/>
        </w:rPr>
        <w:t>munuaisten vajaatoiminta</w:t>
      </w:r>
      <w:r w:rsidRPr="00F37774">
        <w:t>, lääkäri seuraa munuaistesi toimintaa</w:t>
      </w:r>
      <w:r w:rsidRPr="00F37774">
        <w:rPr>
          <w:bCs/>
        </w:rPr>
        <w:t>.</w:t>
      </w:r>
    </w:p>
    <w:p w14:paraId="2770F9AA" w14:textId="77777777" w:rsidR="003B7027" w:rsidRPr="00F37774" w:rsidRDefault="00296A74" w:rsidP="00F37774">
      <w:pPr>
        <w:pStyle w:val="a"/>
        <w:rPr>
          <w:b/>
        </w:rPr>
      </w:pPr>
      <w:r w:rsidRPr="00F37774">
        <w:t xml:space="preserve">Kerro lääkärille, jos sinulla on </w:t>
      </w:r>
      <w:r w:rsidRPr="00F37774">
        <w:rPr>
          <w:b/>
        </w:rPr>
        <w:t>jatkuvaa päänsärkyä.</w:t>
      </w:r>
    </w:p>
    <w:p w14:paraId="3426AB27" w14:textId="77777777" w:rsidR="00EB5DDD" w:rsidRPr="00CA43F5" w:rsidRDefault="00EB5DDD" w:rsidP="00F37774">
      <w:pPr>
        <w:rPr>
          <w:lang w:val="fi-FI"/>
        </w:rPr>
      </w:pPr>
    </w:p>
    <w:p w14:paraId="4A80BA14" w14:textId="51E60718" w:rsidR="003B7027" w:rsidRPr="00F37774" w:rsidRDefault="00296A74" w:rsidP="006E5F9A">
      <w:pPr>
        <w:pStyle w:val="a4"/>
        <w:ind w:left="0"/>
      </w:pPr>
      <w:r w:rsidRPr="00F37774">
        <w:t xml:space="preserve">Lääkäri määrää sinut verikokeeseen ennen </w:t>
      </w:r>
      <w:r w:rsidR="00F70FEB">
        <w:t>Avtozma</w:t>
      </w:r>
      <w:r w:rsidRPr="00F37774">
        <w:t>-hoidon aloittamista ja hoidon aikana alhaisen valkosolu- tai verihiutalemäärän tai liian korkeiden maksaentsyymiarvojen selvittämiseksi.</w:t>
      </w:r>
    </w:p>
    <w:p w14:paraId="476F72F9" w14:textId="77777777" w:rsidR="003B7027" w:rsidRPr="00F37774" w:rsidRDefault="003B7027" w:rsidP="006E5F9A">
      <w:pPr>
        <w:pStyle w:val="a4"/>
        <w:ind w:left="0"/>
      </w:pPr>
    </w:p>
    <w:p w14:paraId="199A8EE7" w14:textId="77777777" w:rsidR="003B7027" w:rsidRPr="009A3CB5" w:rsidRDefault="00296A74" w:rsidP="009A3CB5">
      <w:pPr>
        <w:rPr>
          <w:b/>
          <w:bCs/>
          <w:lang w:val="fi-FI"/>
        </w:rPr>
      </w:pPr>
      <w:r w:rsidRPr="009A3CB5">
        <w:rPr>
          <w:b/>
          <w:bCs/>
          <w:lang w:val="fi-FI"/>
        </w:rPr>
        <w:t>Lapset ja nuoret</w:t>
      </w:r>
    </w:p>
    <w:p w14:paraId="59690297" w14:textId="00AAF7DE" w:rsidR="003B7027" w:rsidRPr="00F37774" w:rsidRDefault="00F70FEB" w:rsidP="006E5F9A">
      <w:pPr>
        <w:pStyle w:val="a4"/>
        <w:ind w:left="0"/>
      </w:pPr>
      <w:r>
        <w:t>Avtozma</w:t>
      </w:r>
      <w:r w:rsidR="00296A74" w:rsidRPr="00F37774">
        <w:t>a ei suositella alle 2-vuotiaille lapsille.</w:t>
      </w:r>
    </w:p>
    <w:p w14:paraId="2C95506B" w14:textId="77777777" w:rsidR="003B7027" w:rsidRPr="00F37774" w:rsidRDefault="003B7027" w:rsidP="006E5F9A">
      <w:pPr>
        <w:pStyle w:val="a4"/>
        <w:ind w:left="0"/>
      </w:pPr>
    </w:p>
    <w:p w14:paraId="773AF27B" w14:textId="39F3B273" w:rsidR="003B7027" w:rsidRPr="0028514E" w:rsidRDefault="00296A74" w:rsidP="006E5F9A">
      <w:pPr>
        <w:pStyle w:val="a4"/>
        <w:ind w:left="0"/>
      </w:pPr>
      <w:r w:rsidRPr="00F37774">
        <w:t xml:space="preserve">Kerro lääkärille, jos lapsi on aiemmin sairastanut </w:t>
      </w:r>
      <w:r w:rsidRPr="00F37774">
        <w:rPr>
          <w:b/>
          <w:i/>
        </w:rPr>
        <w:t>makrofagia</w:t>
      </w:r>
      <w:r w:rsidRPr="0028514E">
        <w:rPr>
          <w:b/>
          <w:i/>
        </w:rPr>
        <w:t xml:space="preserve">ktivaatio-oireyhtymää </w:t>
      </w:r>
      <w:r w:rsidRPr="0028514E">
        <w:t>(tietynlaisten verisolujen hallitsematonta lisääntymistä)</w:t>
      </w:r>
      <w:r w:rsidRPr="0028514E">
        <w:rPr>
          <w:b/>
          <w:i/>
        </w:rPr>
        <w:t xml:space="preserve">. </w:t>
      </w:r>
      <w:r w:rsidRPr="0028514E">
        <w:t xml:space="preserve">Lääkäri päättää, sopiiko </w:t>
      </w:r>
      <w:r w:rsidR="00F70FEB">
        <w:t>Avtozma</w:t>
      </w:r>
      <w:r w:rsidRPr="0028514E">
        <w:t>-hoito hänelle.</w:t>
      </w:r>
    </w:p>
    <w:p w14:paraId="2B75622E" w14:textId="77777777" w:rsidR="003B7027" w:rsidRPr="0028514E" w:rsidRDefault="003B7027" w:rsidP="006E5F9A">
      <w:pPr>
        <w:pStyle w:val="a4"/>
        <w:ind w:left="0"/>
      </w:pPr>
    </w:p>
    <w:p w14:paraId="51443E2D" w14:textId="5511C576" w:rsidR="003B7027" w:rsidRPr="009A3CB5" w:rsidRDefault="00296A74" w:rsidP="009A3CB5">
      <w:pPr>
        <w:rPr>
          <w:b/>
          <w:bCs/>
          <w:lang w:val="fi-FI"/>
        </w:rPr>
      </w:pPr>
      <w:r w:rsidRPr="009A3CB5">
        <w:rPr>
          <w:b/>
          <w:bCs/>
          <w:lang w:val="fi-FI"/>
        </w:rPr>
        <w:t xml:space="preserve">Muut lääkevalmisteet ja </w:t>
      </w:r>
      <w:r w:rsidR="00F70FEB" w:rsidRPr="009A3CB5">
        <w:rPr>
          <w:b/>
          <w:bCs/>
          <w:lang w:val="fi-FI"/>
        </w:rPr>
        <w:t>Avtozma</w:t>
      </w:r>
    </w:p>
    <w:p w14:paraId="4212186B" w14:textId="25D12373" w:rsidR="003B7027" w:rsidRPr="0028514E" w:rsidRDefault="00296A74" w:rsidP="006E5F9A">
      <w:pPr>
        <w:pStyle w:val="a4"/>
        <w:ind w:left="0"/>
      </w:pPr>
      <w:r w:rsidRPr="0028514E">
        <w:t xml:space="preserve">Kerro lääkärille, jos parhaillaan käytät (tai lapsesi on käyttänyt, jos hän on potilas) tai olet äskettäin käyttänyt muita lääkkeitä. Tämä koskee myös ilman lääkemääräystä saatavia lääkkeitä. </w:t>
      </w:r>
      <w:r w:rsidR="00F70FEB">
        <w:t>Avtozma</w:t>
      </w:r>
      <w:r w:rsidRPr="0028514E">
        <w:t xml:space="preserve"> voi vaikuttaa muiden lääkkeiden tehoon, jolloin niiden annosta voi olla tarpeen muuttaa. </w:t>
      </w:r>
      <w:r w:rsidRPr="0028514E">
        <w:rPr>
          <w:b/>
        </w:rPr>
        <w:t>Kerro lääkärille</w:t>
      </w:r>
      <w:r w:rsidRPr="0028514E">
        <w:t>, jos käytät lääkkeitä, jotka sisältävät jonkin seuraavista vaikuttavista aineista:</w:t>
      </w:r>
    </w:p>
    <w:p w14:paraId="4B3F9311" w14:textId="77777777" w:rsidR="00997012" w:rsidRPr="0028514E" w:rsidRDefault="00997012" w:rsidP="006E5F9A">
      <w:pPr>
        <w:pStyle w:val="a4"/>
        <w:ind w:left="0"/>
      </w:pPr>
    </w:p>
    <w:p w14:paraId="60F9D6FB" w14:textId="77777777" w:rsidR="003B7027" w:rsidRPr="00F37774" w:rsidRDefault="00296A74" w:rsidP="00F37774">
      <w:pPr>
        <w:pStyle w:val="a"/>
      </w:pPr>
      <w:r w:rsidRPr="00F37774">
        <w:t>metyyliprednisoloni, deksametasoni (käytetään tulehduksen lievittämiseksi)</w:t>
      </w:r>
    </w:p>
    <w:p w14:paraId="6BB932EC" w14:textId="77777777" w:rsidR="003B7027" w:rsidRPr="00F37774" w:rsidRDefault="00296A74" w:rsidP="00F37774">
      <w:pPr>
        <w:pStyle w:val="a"/>
      </w:pPr>
      <w:r w:rsidRPr="00F37774">
        <w:t xml:space="preserve">simvastatiini tai atorvastatiini (käytetään alentamaan </w:t>
      </w:r>
      <w:r w:rsidRPr="00F37774">
        <w:rPr>
          <w:b/>
        </w:rPr>
        <w:t>kolesterolitasoja</w:t>
      </w:r>
      <w:r w:rsidRPr="00F37774">
        <w:t>)</w:t>
      </w:r>
    </w:p>
    <w:p w14:paraId="3AE37C79" w14:textId="77777777" w:rsidR="003B7027" w:rsidRPr="00F37774" w:rsidRDefault="00296A74" w:rsidP="00F37774">
      <w:pPr>
        <w:pStyle w:val="a"/>
      </w:pPr>
      <w:r w:rsidRPr="00F37774">
        <w:t xml:space="preserve">kalsiuminestäjät, esim. amlodipiini (käytetään </w:t>
      </w:r>
      <w:r w:rsidRPr="00F37774">
        <w:rPr>
          <w:b/>
        </w:rPr>
        <w:t xml:space="preserve">korkean verenpaineen </w:t>
      </w:r>
      <w:r w:rsidRPr="00F37774">
        <w:t>hoitoon)</w:t>
      </w:r>
    </w:p>
    <w:p w14:paraId="442B07CC" w14:textId="77777777" w:rsidR="003B7027" w:rsidRPr="00F37774" w:rsidRDefault="00296A74" w:rsidP="00F37774">
      <w:pPr>
        <w:pStyle w:val="a"/>
      </w:pPr>
      <w:r w:rsidRPr="00F37774">
        <w:t xml:space="preserve">teofylliini (käytetään </w:t>
      </w:r>
      <w:r w:rsidRPr="00F37774">
        <w:rPr>
          <w:b/>
        </w:rPr>
        <w:t xml:space="preserve">astman </w:t>
      </w:r>
      <w:r w:rsidRPr="00F37774">
        <w:t>hoitoon)</w:t>
      </w:r>
    </w:p>
    <w:p w14:paraId="41D6EEC8" w14:textId="77777777" w:rsidR="003B7027" w:rsidRPr="00F37774" w:rsidRDefault="00296A74" w:rsidP="00F37774">
      <w:pPr>
        <w:pStyle w:val="a"/>
      </w:pPr>
      <w:r w:rsidRPr="00F37774">
        <w:t xml:space="preserve">varfariini tai fenprokumoni (käytetään </w:t>
      </w:r>
      <w:r w:rsidRPr="00F37774">
        <w:rPr>
          <w:b/>
        </w:rPr>
        <w:t>verenohennuslääkkeinä</w:t>
      </w:r>
      <w:r w:rsidRPr="00F37774">
        <w:t>)</w:t>
      </w:r>
    </w:p>
    <w:p w14:paraId="6D93480B" w14:textId="77777777" w:rsidR="003B7027" w:rsidRPr="00F37774" w:rsidRDefault="00296A74" w:rsidP="00F37774">
      <w:pPr>
        <w:pStyle w:val="a"/>
      </w:pPr>
      <w:r w:rsidRPr="00F37774">
        <w:t xml:space="preserve">fenytoiini (käytetään </w:t>
      </w:r>
      <w:r w:rsidRPr="00F37774">
        <w:rPr>
          <w:b/>
        </w:rPr>
        <w:t>kouristus</w:t>
      </w:r>
      <w:r w:rsidRPr="00F37774">
        <w:t>lääkkeenä)</w:t>
      </w:r>
    </w:p>
    <w:p w14:paraId="463FC296" w14:textId="77777777" w:rsidR="003B7027" w:rsidRPr="00F37774" w:rsidRDefault="00296A74" w:rsidP="00F37774">
      <w:pPr>
        <w:pStyle w:val="a"/>
      </w:pPr>
      <w:r w:rsidRPr="00F37774">
        <w:t xml:space="preserve">siklosporiini (käytetään elinsiirtojen yhteydessä </w:t>
      </w:r>
      <w:r w:rsidRPr="00F37774">
        <w:rPr>
          <w:b/>
        </w:rPr>
        <w:t>vaimentamaan immuunijärjestelmää</w:t>
      </w:r>
      <w:r w:rsidRPr="00F37774">
        <w:t>)</w:t>
      </w:r>
    </w:p>
    <w:p w14:paraId="1718C03F" w14:textId="77777777" w:rsidR="003B7027" w:rsidRPr="00F37774" w:rsidRDefault="00296A74" w:rsidP="00F37774">
      <w:pPr>
        <w:pStyle w:val="a"/>
      </w:pPr>
      <w:r w:rsidRPr="00F37774">
        <w:t xml:space="preserve">bentsodiatsepiinit, esim. tematsepaami (käytetään </w:t>
      </w:r>
      <w:r w:rsidRPr="00F37774">
        <w:rPr>
          <w:b/>
        </w:rPr>
        <w:t>ahdistuksen lievittämiseen</w:t>
      </w:r>
      <w:r w:rsidRPr="00F37774">
        <w:t>).</w:t>
      </w:r>
    </w:p>
    <w:p w14:paraId="2B93FCDE" w14:textId="77777777" w:rsidR="00997012" w:rsidRPr="00CA43F5" w:rsidRDefault="00997012" w:rsidP="00F37774">
      <w:pPr>
        <w:rPr>
          <w:lang w:val="fi-FI"/>
        </w:rPr>
      </w:pPr>
    </w:p>
    <w:p w14:paraId="67588B2A" w14:textId="1DC922C7" w:rsidR="003B7027" w:rsidRPr="0028514E" w:rsidRDefault="00296A74" w:rsidP="006E5F9A">
      <w:pPr>
        <w:pStyle w:val="a4"/>
        <w:ind w:left="0"/>
      </w:pPr>
      <w:r w:rsidRPr="0028514E">
        <w:t xml:space="preserve">Riittämättömän kliinisen kokemuksen takia </w:t>
      </w:r>
      <w:r w:rsidR="0005547E">
        <w:t>tosilitsumabia</w:t>
      </w:r>
      <w:r w:rsidRPr="0028514E">
        <w:t xml:space="preserve"> ei suositella käytettäväksi yhdessä muiden biologisten nivelreumalääkkeiden kanssa nivelreuman, yleisoireisen lastenreuman tai polyartriitin hoitoon.</w:t>
      </w:r>
    </w:p>
    <w:p w14:paraId="4ADFC524" w14:textId="77777777" w:rsidR="003B7027" w:rsidRPr="0028514E" w:rsidRDefault="003B7027" w:rsidP="00F37774">
      <w:pPr>
        <w:pStyle w:val="a4"/>
        <w:ind w:left="0"/>
      </w:pPr>
    </w:p>
    <w:p w14:paraId="059ACBBA" w14:textId="77777777" w:rsidR="003B7027" w:rsidRPr="003B2CC6" w:rsidRDefault="00296A74" w:rsidP="009A3CB5">
      <w:pPr>
        <w:rPr>
          <w:lang w:val="fi-FI"/>
          <w:rPrChange w:id="37" w:author="만든 이">
            <w:rPr/>
          </w:rPrChange>
        </w:rPr>
      </w:pPr>
      <w:r w:rsidRPr="009A3CB5">
        <w:rPr>
          <w:b/>
          <w:bCs/>
          <w:lang w:val="fi-FI"/>
        </w:rPr>
        <w:t>Raskaus, imetys ja hedelmällisyys</w:t>
      </w:r>
    </w:p>
    <w:p w14:paraId="1E86434A" w14:textId="4847DE7F" w:rsidR="003B7027" w:rsidRPr="00CA43F5" w:rsidRDefault="00F70FEB" w:rsidP="00F37774">
      <w:pPr>
        <w:rPr>
          <w:lang w:val="fi-FI"/>
        </w:rPr>
      </w:pPr>
      <w:r w:rsidRPr="00CA43F5">
        <w:rPr>
          <w:b/>
          <w:lang w:val="fi-FI"/>
        </w:rPr>
        <w:t>Avtozma</w:t>
      </w:r>
      <w:r w:rsidR="00296A74" w:rsidRPr="00CA43F5">
        <w:rPr>
          <w:b/>
          <w:lang w:val="fi-FI"/>
        </w:rPr>
        <w:t>a ei pidä käyttää raskauden aikana</w:t>
      </w:r>
      <w:r w:rsidR="00296A74" w:rsidRPr="00CA43F5">
        <w:rPr>
          <w:lang w:val="fi-FI"/>
        </w:rPr>
        <w:t>, ellei se ole ehdottoman välttämätöntä. Kerro lääkärille, jos olet tai epäilet olevasi raskaana tai suunnittelet raskautta.</w:t>
      </w:r>
    </w:p>
    <w:p w14:paraId="1FD02183" w14:textId="77777777" w:rsidR="00997012" w:rsidRPr="00CA43F5" w:rsidRDefault="00997012" w:rsidP="00F37774">
      <w:pPr>
        <w:rPr>
          <w:lang w:val="fi-FI"/>
        </w:rPr>
      </w:pPr>
    </w:p>
    <w:p w14:paraId="0EA257D7" w14:textId="77777777" w:rsidR="003B7027" w:rsidRPr="00CA43F5" w:rsidRDefault="00296A74" w:rsidP="00F37774">
      <w:pPr>
        <w:rPr>
          <w:lang w:val="fi-FI"/>
        </w:rPr>
      </w:pPr>
      <w:r w:rsidRPr="00CA43F5">
        <w:rPr>
          <w:b/>
          <w:lang w:val="fi-FI"/>
        </w:rPr>
        <w:t xml:space="preserve">Hedelmällisessä iässä olevien naisten </w:t>
      </w:r>
      <w:r w:rsidRPr="00CA43F5">
        <w:rPr>
          <w:lang w:val="fi-FI"/>
        </w:rPr>
        <w:t>on käytettävä luotettavaa ehkäisyä hoidon aikana ja vähintään kolmen kuukauden ajan hoidon päättymisen jälkeen.</w:t>
      </w:r>
    </w:p>
    <w:p w14:paraId="05107DE5" w14:textId="77777777" w:rsidR="003B7027" w:rsidRPr="0028514E" w:rsidRDefault="003B7027" w:rsidP="00F37774">
      <w:pPr>
        <w:pStyle w:val="a4"/>
        <w:ind w:left="0"/>
      </w:pPr>
    </w:p>
    <w:p w14:paraId="64BA62CD" w14:textId="20C5A769" w:rsidR="003B7027" w:rsidRPr="00CA43F5" w:rsidRDefault="00296A74" w:rsidP="00F37774">
      <w:pPr>
        <w:rPr>
          <w:lang w:val="fi-FI"/>
        </w:rPr>
      </w:pPr>
      <w:r w:rsidRPr="00CA43F5">
        <w:rPr>
          <w:b/>
          <w:lang w:val="fi-FI"/>
        </w:rPr>
        <w:t xml:space="preserve">Lopeta imettäminen, jos sinulle suunnitellaan </w:t>
      </w:r>
      <w:r w:rsidR="00F70FEB" w:rsidRPr="00CA43F5">
        <w:rPr>
          <w:b/>
          <w:lang w:val="fi-FI"/>
        </w:rPr>
        <w:t>Avtozma</w:t>
      </w:r>
      <w:r w:rsidRPr="00CA43F5">
        <w:rPr>
          <w:b/>
          <w:lang w:val="fi-FI"/>
        </w:rPr>
        <w:t xml:space="preserve">n antamista </w:t>
      </w:r>
      <w:r w:rsidRPr="00CA43F5">
        <w:rPr>
          <w:lang w:val="fi-FI"/>
        </w:rPr>
        <w:t xml:space="preserve">ja keskustele asiasta lääkärin kanssa. Odota viimeisen hoitokerran jälkeen vähintään 3 kuukautta ennen kuin aloitat imettämisen. Ei tiedetä, erittyykö </w:t>
      </w:r>
      <w:r w:rsidR="00F70FEB" w:rsidRPr="00CA43F5">
        <w:rPr>
          <w:lang w:val="fi-FI"/>
        </w:rPr>
        <w:t>Avtozma</w:t>
      </w:r>
      <w:r w:rsidRPr="00CA43F5">
        <w:rPr>
          <w:lang w:val="fi-FI"/>
        </w:rPr>
        <w:t xml:space="preserve"> äidinmaitoon.</w:t>
      </w:r>
    </w:p>
    <w:p w14:paraId="5D6D3D8B" w14:textId="77777777" w:rsidR="00997012" w:rsidRPr="00CA43F5" w:rsidRDefault="00997012" w:rsidP="00F37774">
      <w:pPr>
        <w:rPr>
          <w:lang w:val="fi-FI"/>
        </w:rPr>
      </w:pPr>
    </w:p>
    <w:p w14:paraId="42DEECFD" w14:textId="77777777" w:rsidR="003B7027" w:rsidRPr="0028514E" w:rsidRDefault="00296A74" w:rsidP="00F37774">
      <w:pPr>
        <w:pStyle w:val="a4"/>
        <w:ind w:left="0"/>
      </w:pPr>
      <w:r w:rsidRPr="0028514E">
        <w:t>Tähän mennessä saadut tiedot eivät viittaa siihen, että tämä hoito vaikuttaisi hedelmällisyyteen.</w:t>
      </w:r>
    </w:p>
    <w:p w14:paraId="7D368A89" w14:textId="77777777" w:rsidR="003B7027" w:rsidRPr="0028514E" w:rsidRDefault="003B7027" w:rsidP="00F37774">
      <w:pPr>
        <w:pStyle w:val="a4"/>
        <w:ind w:left="0"/>
      </w:pPr>
    </w:p>
    <w:p w14:paraId="306DA7CD" w14:textId="77777777" w:rsidR="003B7027" w:rsidRPr="009A3CB5" w:rsidRDefault="00296A74" w:rsidP="009A3CB5">
      <w:pPr>
        <w:rPr>
          <w:b/>
          <w:bCs/>
          <w:lang w:val="fi-FI"/>
        </w:rPr>
      </w:pPr>
      <w:r w:rsidRPr="009A3CB5">
        <w:rPr>
          <w:b/>
          <w:bCs/>
          <w:lang w:val="fi-FI"/>
        </w:rPr>
        <w:t>Ajaminen ja koneiden käyttö</w:t>
      </w:r>
    </w:p>
    <w:p w14:paraId="79CB2B07" w14:textId="77777777" w:rsidR="003B7027" w:rsidRPr="0028514E" w:rsidRDefault="00296A74" w:rsidP="00F37774">
      <w:pPr>
        <w:pStyle w:val="a4"/>
        <w:ind w:left="0"/>
      </w:pPr>
      <w:r w:rsidRPr="0028514E">
        <w:t>Tämä lääke voi aiheuttaa huimausta. Jos tunnet huimausta, älä aja autoa tai käytä koneita.</w:t>
      </w:r>
    </w:p>
    <w:p w14:paraId="023E974B" w14:textId="77777777" w:rsidR="003B7027" w:rsidRPr="0028514E" w:rsidRDefault="003B7027" w:rsidP="00F37774">
      <w:pPr>
        <w:pStyle w:val="a4"/>
        <w:ind w:left="0"/>
      </w:pPr>
    </w:p>
    <w:p w14:paraId="363ED384" w14:textId="707BF441" w:rsidR="003B7027" w:rsidRPr="009A3CB5" w:rsidRDefault="00F70FEB" w:rsidP="009A3CB5">
      <w:pPr>
        <w:rPr>
          <w:b/>
          <w:bCs/>
          <w:lang w:val="fi-FI"/>
        </w:rPr>
      </w:pPr>
      <w:r w:rsidRPr="009A3CB5">
        <w:rPr>
          <w:b/>
          <w:bCs/>
          <w:lang w:val="fi-FI"/>
        </w:rPr>
        <w:t>Avtozma</w:t>
      </w:r>
      <w:r w:rsidR="00296A74" w:rsidRPr="009A3CB5">
        <w:rPr>
          <w:b/>
          <w:bCs/>
          <w:lang w:val="fi-FI"/>
        </w:rPr>
        <w:t xml:space="preserve"> sisältää </w:t>
      </w:r>
      <w:r w:rsidRPr="009A3CB5">
        <w:rPr>
          <w:b/>
          <w:bCs/>
          <w:lang w:val="fi-FI"/>
        </w:rPr>
        <w:t>polysorbaattia</w:t>
      </w:r>
    </w:p>
    <w:p w14:paraId="23453C6F" w14:textId="16A47C5E" w:rsidR="003B7027" w:rsidRPr="0028514E" w:rsidRDefault="00296A74" w:rsidP="00F37774">
      <w:pPr>
        <w:pStyle w:val="a4"/>
        <w:ind w:left="0"/>
      </w:pPr>
      <w:r w:rsidRPr="0028514E">
        <w:t xml:space="preserve">Tämä lääke sisältää </w:t>
      </w:r>
      <w:r w:rsidR="00F70FEB">
        <w:t>0,5 mg polysorbaatti 80</w:t>
      </w:r>
      <w:r w:rsidR="00461828">
        <w:t>:tä</w:t>
      </w:r>
      <w:r w:rsidR="00F70FEB">
        <w:t xml:space="preserve"> per millilitra. Polysorbaatit saattavat aiheuttaa allergisia reaktioita. Jos sinulla on allergioita, kerro asiasta lääkärille.</w:t>
      </w:r>
    </w:p>
    <w:p w14:paraId="322C31C3" w14:textId="77777777" w:rsidR="00997012" w:rsidRPr="0028514E" w:rsidRDefault="00997012" w:rsidP="00F37774">
      <w:pPr>
        <w:pStyle w:val="a4"/>
        <w:ind w:left="0"/>
      </w:pPr>
    </w:p>
    <w:p w14:paraId="647DCB99" w14:textId="77777777" w:rsidR="00997012" w:rsidRPr="0028514E" w:rsidRDefault="00997012" w:rsidP="00F37774">
      <w:pPr>
        <w:pStyle w:val="a4"/>
        <w:ind w:left="0"/>
      </w:pPr>
    </w:p>
    <w:p w14:paraId="48F88A8B" w14:textId="31A02FEF" w:rsidR="003B7027" w:rsidRPr="0028514E" w:rsidRDefault="00296A74" w:rsidP="006679A7">
      <w:pPr>
        <w:pStyle w:val="2"/>
        <w:keepNext/>
      </w:pPr>
      <w:r w:rsidRPr="0028514E">
        <w:t>3.</w:t>
      </w:r>
      <w:r w:rsidRPr="0028514E">
        <w:tab/>
        <w:t xml:space="preserve">Miten </w:t>
      </w:r>
      <w:r w:rsidR="00F70FEB">
        <w:t>Avtozma</w:t>
      </w:r>
      <w:r w:rsidRPr="0028514E">
        <w:t>a käytetään</w:t>
      </w:r>
    </w:p>
    <w:p w14:paraId="01E7C7CC" w14:textId="77777777" w:rsidR="00997012" w:rsidRPr="009A3CB5" w:rsidRDefault="00997012" w:rsidP="00DD705A">
      <w:pPr>
        <w:rPr>
          <w:lang w:val="fi-FI"/>
        </w:rPr>
      </w:pPr>
    </w:p>
    <w:p w14:paraId="33E893A9" w14:textId="77777777" w:rsidR="003B7027" w:rsidRPr="0028514E" w:rsidRDefault="00296A74" w:rsidP="006E5F9A">
      <w:pPr>
        <w:pStyle w:val="a4"/>
        <w:ind w:left="0"/>
      </w:pPr>
      <w:r w:rsidRPr="0028514E">
        <w:t>Tämä lääke on lääkärin määräämä reseptilääke.</w:t>
      </w:r>
    </w:p>
    <w:p w14:paraId="7C7576DC" w14:textId="77777777" w:rsidR="003B7027" w:rsidRPr="0028514E" w:rsidRDefault="003B7027" w:rsidP="006E5F9A">
      <w:pPr>
        <w:pStyle w:val="a4"/>
        <w:ind w:left="0"/>
      </w:pPr>
    </w:p>
    <w:p w14:paraId="415DDD2B" w14:textId="695BB7BE" w:rsidR="003B7027" w:rsidRPr="00CA43F5" w:rsidRDefault="00296A74" w:rsidP="006E5F9A">
      <w:pPr>
        <w:rPr>
          <w:lang w:val="fi-FI"/>
        </w:rPr>
      </w:pPr>
      <w:r w:rsidRPr="00CA43F5">
        <w:rPr>
          <w:b/>
          <w:lang w:val="fi-FI"/>
        </w:rPr>
        <w:t xml:space="preserve">Lääkäri tai sairaanhoitaja antaa </w:t>
      </w:r>
      <w:r w:rsidR="00F70FEB" w:rsidRPr="00CA43F5">
        <w:rPr>
          <w:b/>
          <w:lang w:val="fi-FI"/>
        </w:rPr>
        <w:t>Avtozma</w:t>
      </w:r>
      <w:r w:rsidRPr="00CA43F5">
        <w:rPr>
          <w:b/>
          <w:lang w:val="fi-FI"/>
        </w:rPr>
        <w:t xml:space="preserve">n tiputuksena laskimoon. </w:t>
      </w:r>
      <w:r w:rsidRPr="00CA43F5">
        <w:rPr>
          <w:lang w:val="fi-FI"/>
        </w:rPr>
        <w:t>Liuos laimennetaan, annetaan infuusiona laskimoon ja sinun tilaasi seurataan hoidon aikana ja sen jälkeen.</w:t>
      </w:r>
    </w:p>
    <w:p w14:paraId="48FA8F37" w14:textId="77777777" w:rsidR="003B7027" w:rsidRPr="0028514E" w:rsidRDefault="003B7027" w:rsidP="006E5F9A">
      <w:pPr>
        <w:pStyle w:val="a4"/>
        <w:ind w:left="0"/>
      </w:pPr>
    </w:p>
    <w:p w14:paraId="4F550D97" w14:textId="77777777" w:rsidR="003B7027" w:rsidRPr="0028514E" w:rsidRDefault="00296A74" w:rsidP="009A3CB5">
      <w:r w:rsidRPr="009A3CB5">
        <w:rPr>
          <w:b/>
          <w:bCs/>
          <w:lang w:val="fi-FI"/>
        </w:rPr>
        <w:t>Aikuiset nivelreumapotilaat</w:t>
      </w:r>
    </w:p>
    <w:p w14:paraId="0CF7472E" w14:textId="7EA4DEA5" w:rsidR="003B7027" w:rsidRPr="0028514E" w:rsidRDefault="00296A74" w:rsidP="006E5F9A">
      <w:pPr>
        <w:pStyle w:val="a4"/>
        <w:ind w:left="0"/>
      </w:pPr>
      <w:r w:rsidRPr="0028514E">
        <w:t xml:space="preserve">Aikuisten tavallinen </w:t>
      </w:r>
      <w:r w:rsidR="00F70FEB">
        <w:t>Avtozma</w:t>
      </w:r>
      <w:r w:rsidRPr="0028514E">
        <w:t>-annos on 8 milligrammaa painokiloa (mg/kg) kohti. Hoitovasteestasi riippuen lääkäri voi pienentää annoksen 4 mg:aan/kg. Annos voidaan nostaa takaisin annokseen</w:t>
      </w:r>
    </w:p>
    <w:p w14:paraId="057263B7" w14:textId="77777777" w:rsidR="003B7027" w:rsidRPr="0028514E" w:rsidRDefault="00296A74" w:rsidP="006E5F9A">
      <w:pPr>
        <w:pStyle w:val="a4"/>
        <w:ind w:left="0"/>
      </w:pPr>
      <w:r w:rsidRPr="0028514E">
        <w:t>8 mg/kg, jos se on tarpeen.</w:t>
      </w:r>
    </w:p>
    <w:p w14:paraId="10681935" w14:textId="77777777" w:rsidR="00997012" w:rsidRPr="0028514E" w:rsidRDefault="00997012" w:rsidP="006E5F9A">
      <w:pPr>
        <w:pStyle w:val="a4"/>
        <w:ind w:left="0"/>
      </w:pPr>
    </w:p>
    <w:p w14:paraId="049BC2CD" w14:textId="15FE4BFE" w:rsidR="003B7027" w:rsidRPr="00F37774" w:rsidRDefault="00F70FEB" w:rsidP="006E5F9A">
      <w:pPr>
        <w:pStyle w:val="a4"/>
        <w:ind w:left="0"/>
      </w:pPr>
      <w:r>
        <w:t>Avtozma</w:t>
      </w:r>
      <w:r w:rsidR="00296A74" w:rsidRPr="00F37774">
        <w:t xml:space="preserve"> annetaan aikuisille neljän (4) viikon välein tiputuksena laskimoon (laskimonsisäinen infuusio) yhden tunnin kuluessa.</w:t>
      </w:r>
    </w:p>
    <w:p w14:paraId="668CDCF4" w14:textId="77777777" w:rsidR="003B7027" w:rsidRPr="00F37774" w:rsidRDefault="003B7027" w:rsidP="006E5F9A">
      <w:pPr>
        <w:pStyle w:val="a4"/>
        <w:ind w:left="0"/>
      </w:pPr>
    </w:p>
    <w:p w14:paraId="45057C78" w14:textId="77777777" w:rsidR="003B7027" w:rsidRPr="00CA43F5" w:rsidRDefault="00296A74" w:rsidP="006E5F9A">
      <w:pPr>
        <w:rPr>
          <w:b/>
          <w:lang w:val="fi-FI"/>
        </w:rPr>
      </w:pPr>
      <w:r w:rsidRPr="00CA43F5">
        <w:rPr>
          <w:b/>
          <w:u w:val="single"/>
          <w:lang w:val="fi-FI"/>
        </w:rPr>
        <w:t>Yleisoireista lastenreumaa sairastavat potilaat (iältään 2-vuotiaat ja sitä vanhemmat)</w:t>
      </w:r>
    </w:p>
    <w:p w14:paraId="7E84DCC9" w14:textId="57B6000D" w:rsidR="003B7027" w:rsidRPr="00F37774" w:rsidRDefault="00296A74" w:rsidP="006E5F9A">
      <w:pPr>
        <w:pStyle w:val="a4"/>
        <w:ind w:left="0"/>
      </w:pPr>
      <w:r w:rsidRPr="00F37774">
        <w:t xml:space="preserve">Tavanomainen </w:t>
      </w:r>
      <w:r w:rsidR="00F70FEB">
        <w:t>Avtozma</w:t>
      </w:r>
      <w:r w:rsidRPr="00F37774">
        <w:t>-annos on painonmukainen.</w:t>
      </w:r>
    </w:p>
    <w:p w14:paraId="4A16F904" w14:textId="77777777" w:rsidR="003B7027" w:rsidRPr="00F37774" w:rsidRDefault="00296A74" w:rsidP="00F37774">
      <w:pPr>
        <w:pStyle w:val="a"/>
      </w:pPr>
      <w:r w:rsidRPr="00F37774">
        <w:t xml:space="preserve">Jos painat alle 30 kg: annos on </w:t>
      </w:r>
      <w:r w:rsidRPr="00F37774">
        <w:rPr>
          <w:b/>
          <w:bCs/>
        </w:rPr>
        <w:t>12 milligrammaa painokiloa (mg/kg) kohti</w:t>
      </w:r>
    </w:p>
    <w:p w14:paraId="6E5BDACD" w14:textId="77777777" w:rsidR="00605EB4" w:rsidRPr="00F37774" w:rsidRDefault="00296A74" w:rsidP="00F37774">
      <w:pPr>
        <w:pStyle w:val="a"/>
      </w:pPr>
      <w:r w:rsidRPr="00F37774">
        <w:t xml:space="preserve">jos painat 30 kg tai enemmän: annos on </w:t>
      </w:r>
      <w:r w:rsidRPr="00F37774">
        <w:rPr>
          <w:b/>
        </w:rPr>
        <w:t>8 milligrammaa painokiloa (mg/kg) kohti</w:t>
      </w:r>
      <w:r w:rsidRPr="00F37774">
        <w:t>.</w:t>
      </w:r>
    </w:p>
    <w:p w14:paraId="54E5EE32" w14:textId="77777777" w:rsidR="003B7027" w:rsidRPr="00CA43F5" w:rsidRDefault="00296A74" w:rsidP="00615DE1">
      <w:pPr>
        <w:tabs>
          <w:tab w:val="left" w:pos="1038"/>
          <w:tab w:val="left" w:pos="1398"/>
        </w:tabs>
        <w:ind w:left="567" w:hanging="567"/>
        <w:rPr>
          <w:lang w:val="fi-FI"/>
        </w:rPr>
      </w:pPr>
      <w:r w:rsidRPr="00CA43F5">
        <w:rPr>
          <w:lang w:val="fi-FI"/>
        </w:rPr>
        <w:t>Annos lasketaan joka antokerralla potilaan painon mukaan.</w:t>
      </w:r>
    </w:p>
    <w:p w14:paraId="13EFDA98" w14:textId="77777777" w:rsidR="00605EB4" w:rsidRPr="00CA43F5" w:rsidRDefault="00605EB4" w:rsidP="00F37774">
      <w:pPr>
        <w:rPr>
          <w:lang w:val="fi-FI"/>
        </w:rPr>
      </w:pPr>
    </w:p>
    <w:p w14:paraId="73A1B84E" w14:textId="7C2CD613" w:rsidR="003B7027" w:rsidRPr="00F37774" w:rsidRDefault="00F70FEB" w:rsidP="006E5F9A">
      <w:pPr>
        <w:pStyle w:val="a4"/>
        <w:ind w:left="0"/>
      </w:pPr>
      <w:r>
        <w:t>Avtozma</w:t>
      </w:r>
      <w:r w:rsidR="00296A74" w:rsidRPr="00F37774">
        <w:t xml:space="preserve"> annetaan yleisoireista lastenreumaa sairastaville lapsipotilaille kahden (2) viikon välein tiputuksena laskimoon (laskimonsisäinen infuusio) yhden tunnin kuluessa.</w:t>
      </w:r>
    </w:p>
    <w:p w14:paraId="1E28864B" w14:textId="77777777" w:rsidR="003B7027" w:rsidRPr="00F37774" w:rsidRDefault="003B7027" w:rsidP="006E5F9A">
      <w:pPr>
        <w:pStyle w:val="a4"/>
        <w:ind w:left="0"/>
      </w:pPr>
    </w:p>
    <w:p w14:paraId="13B4ABC3" w14:textId="77777777" w:rsidR="003B7027" w:rsidRPr="00CA43F5" w:rsidRDefault="00296A74" w:rsidP="006E5F9A">
      <w:pPr>
        <w:rPr>
          <w:b/>
          <w:lang w:val="fi-FI"/>
        </w:rPr>
      </w:pPr>
      <w:r w:rsidRPr="00CA43F5">
        <w:rPr>
          <w:b/>
          <w:u w:val="single"/>
          <w:lang w:val="fi-FI"/>
        </w:rPr>
        <w:t>Polyartriittipotilaat (iältään 2-vuotiaat ja sitä vanhemmat)</w:t>
      </w:r>
    </w:p>
    <w:p w14:paraId="152E1A61" w14:textId="5F1D918F" w:rsidR="003B7027" w:rsidRPr="00F37774" w:rsidRDefault="00296A74" w:rsidP="006E5F9A">
      <w:pPr>
        <w:pStyle w:val="a4"/>
        <w:ind w:left="0"/>
      </w:pPr>
      <w:r w:rsidRPr="00F37774">
        <w:t xml:space="preserve">Tavanomainen </w:t>
      </w:r>
      <w:r w:rsidR="00F70FEB">
        <w:t>Avtozma</w:t>
      </w:r>
      <w:r w:rsidRPr="00F37774">
        <w:t>-annos on painonmukainen.</w:t>
      </w:r>
    </w:p>
    <w:p w14:paraId="24B6BA1B" w14:textId="77777777" w:rsidR="003B7027" w:rsidRPr="00F37774" w:rsidRDefault="00296A74" w:rsidP="00F37774">
      <w:pPr>
        <w:pStyle w:val="a"/>
        <w:rPr>
          <w:b/>
        </w:rPr>
      </w:pPr>
      <w:r w:rsidRPr="00F37774">
        <w:t xml:space="preserve">Jos painat alle 30 kg: annos on </w:t>
      </w:r>
      <w:r w:rsidRPr="00F37774">
        <w:rPr>
          <w:b/>
        </w:rPr>
        <w:t>10 mg painokiloa (mg/kg) kohti</w:t>
      </w:r>
    </w:p>
    <w:p w14:paraId="110E607F" w14:textId="77777777" w:rsidR="003B7027" w:rsidRPr="00F37774" w:rsidRDefault="00296A74" w:rsidP="00F37774">
      <w:pPr>
        <w:pStyle w:val="a"/>
      </w:pPr>
      <w:r w:rsidRPr="00F37774">
        <w:t xml:space="preserve">jos painat 30 kg tai enemmän: annos on </w:t>
      </w:r>
      <w:r w:rsidRPr="00F37774">
        <w:rPr>
          <w:b/>
        </w:rPr>
        <w:t>8 mg painokiloa (mg/kg) kohti</w:t>
      </w:r>
      <w:r w:rsidRPr="00F37774">
        <w:t>. Annos lasketaan joka antokerralla potilaan painon mukaan.</w:t>
      </w:r>
    </w:p>
    <w:p w14:paraId="6F98B4F0" w14:textId="77777777" w:rsidR="00605EB4" w:rsidRPr="00F37774" w:rsidRDefault="00605EB4" w:rsidP="00F37774"/>
    <w:p w14:paraId="50623BFF" w14:textId="0C660221" w:rsidR="003B7027" w:rsidRPr="00F37774" w:rsidRDefault="00F70FEB" w:rsidP="006E5F9A">
      <w:pPr>
        <w:pStyle w:val="a4"/>
        <w:ind w:left="0"/>
      </w:pPr>
      <w:r>
        <w:t>Avtozma</w:t>
      </w:r>
      <w:r w:rsidR="00296A74" w:rsidRPr="00F37774">
        <w:t xml:space="preserve"> annetaan polyartriittia sairastaville lapsipotilaille neljän (4) viikon välein tiputuksena laskimoon (laskimonsisäinen infuusio) yhden tunnin kuluessa.</w:t>
      </w:r>
    </w:p>
    <w:p w14:paraId="63A47330" w14:textId="77777777" w:rsidR="003B7027" w:rsidRPr="0028514E" w:rsidRDefault="003B7027" w:rsidP="006E5F9A">
      <w:pPr>
        <w:pStyle w:val="a4"/>
        <w:ind w:left="0"/>
      </w:pPr>
    </w:p>
    <w:p w14:paraId="36E3D234" w14:textId="77777777" w:rsidR="003B7027" w:rsidRPr="009A3CB5" w:rsidRDefault="00296A74" w:rsidP="009A3CB5">
      <w:pPr>
        <w:rPr>
          <w:b/>
          <w:bCs/>
          <w:lang w:val="fi-FI"/>
        </w:rPr>
      </w:pPr>
      <w:r w:rsidRPr="009A3CB5">
        <w:rPr>
          <w:b/>
          <w:bCs/>
          <w:lang w:val="fi-FI"/>
        </w:rPr>
        <w:t>Potilaat, joilla on sytokiinien vapautumisoireyhtymä</w:t>
      </w:r>
    </w:p>
    <w:p w14:paraId="5D03DF98" w14:textId="406C6409" w:rsidR="003B7027" w:rsidRPr="00CA43F5" w:rsidRDefault="00296A74" w:rsidP="006E5F9A">
      <w:pPr>
        <w:rPr>
          <w:lang w:val="fi-FI"/>
        </w:rPr>
      </w:pPr>
      <w:r w:rsidRPr="00CA43F5">
        <w:rPr>
          <w:lang w:val="fi-FI"/>
        </w:rPr>
        <w:t xml:space="preserve">Tavanomainen </w:t>
      </w:r>
      <w:r w:rsidR="00F70FEB" w:rsidRPr="00CA43F5">
        <w:rPr>
          <w:lang w:val="fi-FI"/>
        </w:rPr>
        <w:t>Avtozma</w:t>
      </w:r>
      <w:r w:rsidRPr="00CA43F5">
        <w:rPr>
          <w:lang w:val="fi-FI"/>
        </w:rPr>
        <w:t xml:space="preserve">-annos on </w:t>
      </w:r>
      <w:r w:rsidRPr="00CA43F5">
        <w:rPr>
          <w:b/>
          <w:lang w:val="fi-FI"/>
        </w:rPr>
        <w:t>8 mg painokiloa (mg/kg) kohti, jos painat vähintään 30 kg</w:t>
      </w:r>
      <w:r w:rsidRPr="00CA43F5">
        <w:rPr>
          <w:lang w:val="fi-FI"/>
        </w:rPr>
        <w:t xml:space="preserve">. Annos on </w:t>
      </w:r>
      <w:r w:rsidRPr="00CA43F5">
        <w:rPr>
          <w:b/>
          <w:lang w:val="fi-FI"/>
        </w:rPr>
        <w:t>12 mg painokiloa (mg/kg) kohti, jos painat alle 30 kg</w:t>
      </w:r>
      <w:r w:rsidRPr="00CA43F5">
        <w:rPr>
          <w:lang w:val="fi-FI"/>
        </w:rPr>
        <w:t>.</w:t>
      </w:r>
    </w:p>
    <w:p w14:paraId="78A5A7BA" w14:textId="19468204" w:rsidR="003B7027" w:rsidRPr="0028514E" w:rsidRDefault="00F70FEB" w:rsidP="006E5F9A">
      <w:pPr>
        <w:pStyle w:val="a4"/>
        <w:ind w:left="0"/>
      </w:pPr>
      <w:r>
        <w:t>Avtozma</w:t>
      </w:r>
      <w:r w:rsidR="00296A74" w:rsidRPr="0028514E">
        <w:t xml:space="preserve"> voidaan antaa yksinään tai yhdistelmänä kortikosteroidien kanssa.</w:t>
      </w:r>
    </w:p>
    <w:p w14:paraId="06207ECA" w14:textId="77777777" w:rsidR="003B7027" w:rsidRPr="0028514E" w:rsidRDefault="003B7027" w:rsidP="006E5F9A">
      <w:pPr>
        <w:pStyle w:val="a4"/>
        <w:ind w:left="0"/>
      </w:pPr>
    </w:p>
    <w:p w14:paraId="27ACB45F" w14:textId="77777777" w:rsidR="003B7027" w:rsidRPr="0028514E" w:rsidRDefault="00296A74" w:rsidP="009A3CB5">
      <w:r w:rsidRPr="009A3CB5">
        <w:rPr>
          <w:b/>
          <w:bCs/>
          <w:lang w:val="fi-FI"/>
        </w:rPr>
        <w:t>Potilaat, joilla on koronavirustauti (covid-19)</w:t>
      </w:r>
    </w:p>
    <w:p w14:paraId="279061B3" w14:textId="40F697A3" w:rsidR="003B7027" w:rsidRPr="00CA43F5" w:rsidRDefault="00296A74" w:rsidP="006E5F9A">
      <w:pPr>
        <w:rPr>
          <w:lang w:val="fi-FI"/>
        </w:rPr>
      </w:pPr>
      <w:r w:rsidRPr="00CA43F5">
        <w:rPr>
          <w:lang w:val="fi-FI"/>
        </w:rPr>
        <w:t xml:space="preserve">Tavanomainen </w:t>
      </w:r>
      <w:r w:rsidR="00F70FEB" w:rsidRPr="00CA43F5">
        <w:rPr>
          <w:lang w:val="fi-FI"/>
        </w:rPr>
        <w:t>Avtozma</w:t>
      </w:r>
      <w:r w:rsidRPr="00CA43F5">
        <w:rPr>
          <w:lang w:val="fi-FI"/>
        </w:rPr>
        <w:t xml:space="preserve">-annos on </w:t>
      </w:r>
      <w:r w:rsidRPr="00CA43F5">
        <w:rPr>
          <w:b/>
          <w:lang w:val="fi-FI"/>
        </w:rPr>
        <w:t>8 mg painokiloa (mg/kg) kohti</w:t>
      </w:r>
      <w:r w:rsidRPr="00CA43F5">
        <w:rPr>
          <w:lang w:val="fi-FI"/>
        </w:rPr>
        <w:t>. Toinen annos voi olla tarpeen.</w:t>
      </w:r>
    </w:p>
    <w:p w14:paraId="6900EAEA" w14:textId="77777777" w:rsidR="003B7027" w:rsidRPr="0028514E" w:rsidRDefault="003B7027" w:rsidP="006E5F9A">
      <w:pPr>
        <w:pStyle w:val="a4"/>
        <w:ind w:left="0"/>
      </w:pPr>
    </w:p>
    <w:p w14:paraId="6340F982" w14:textId="4F242D4B" w:rsidR="003B7027" w:rsidRPr="009A3CB5" w:rsidRDefault="00296A74" w:rsidP="009A3CB5">
      <w:pPr>
        <w:rPr>
          <w:b/>
          <w:bCs/>
          <w:lang w:val="fi-FI"/>
        </w:rPr>
      </w:pPr>
      <w:r w:rsidRPr="009A3CB5">
        <w:rPr>
          <w:b/>
          <w:bCs/>
          <w:lang w:val="fi-FI"/>
        </w:rPr>
        <w:t xml:space="preserve">Jos sinulle annetaan enemmän </w:t>
      </w:r>
      <w:r w:rsidR="00F70FEB" w:rsidRPr="009A3CB5">
        <w:rPr>
          <w:b/>
          <w:bCs/>
          <w:lang w:val="fi-FI"/>
        </w:rPr>
        <w:t>Avtozma</w:t>
      </w:r>
      <w:r w:rsidRPr="009A3CB5">
        <w:rPr>
          <w:b/>
          <w:bCs/>
          <w:lang w:val="fi-FI"/>
        </w:rPr>
        <w:t>a kuin pitäisi</w:t>
      </w:r>
    </w:p>
    <w:p w14:paraId="4EB0DCA6" w14:textId="39EA715C" w:rsidR="003B7027" w:rsidRPr="0028514E" w:rsidRDefault="00F70FEB" w:rsidP="006E5F9A">
      <w:pPr>
        <w:pStyle w:val="a4"/>
        <w:ind w:left="0"/>
      </w:pPr>
      <w:r>
        <w:t>Avtozma</w:t>
      </w:r>
      <w:r w:rsidR="00296A74" w:rsidRPr="0028514E">
        <w:t>-hoidon antaa lääkäri tai sairaanhoitaja, joten on epätodennäköistä, että lääkettä annettaisiin liikaa. Jos kuitenkin olet huolissasi tästä, keskustele asiasta lääkärin kanssa.</w:t>
      </w:r>
    </w:p>
    <w:p w14:paraId="720D9FC6" w14:textId="77777777" w:rsidR="00605EB4" w:rsidRPr="0028514E" w:rsidRDefault="00605EB4" w:rsidP="006E5F9A">
      <w:pPr>
        <w:pStyle w:val="a4"/>
        <w:ind w:left="0"/>
      </w:pPr>
    </w:p>
    <w:p w14:paraId="0FB7561C" w14:textId="720BAB76" w:rsidR="003B7027" w:rsidRPr="009A3CB5" w:rsidRDefault="00296A74" w:rsidP="009A3CB5">
      <w:pPr>
        <w:rPr>
          <w:b/>
          <w:bCs/>
          <w:lang w:val="fi-FI"/>
        </w:rPr>
      </w:pPr>
      <w:r w:rsidRPr="009A3CB5">
        <w:rPr>
          <w:b/>
          <w:bCs/>
          <w:lang w:val="fi-FI"/>
        </w:rPr>
        <w:t xml:space="preserve">Jos sinulta jää </w:t>
      </w:r>
      <w:r w:rsidR="00F70FEB" w:rsidRPr="009A3CB5">
        <w:rPr>
          <w:b/>
          <w:bCs/>
          <w:lang w:val="fi-FI"/>
        </w:rPr>
        <w:t>Avtozma</w:t>
      </w:r>
      <w:r w:rsidRPr="009A3CB5">
        <w:rPr>
          <w:b/>
          <w:bCs/>
          <w:lang w:val="fi-FI"/>
        </w:rPr>
        <w:t>-annos saamatta</w:t>
      </w:r>
    </w:p>
    <w:p w14:paraId="076F284C" w14:textId="44BDD44A" w:rsidR="003B7027" w:rsidRPr="0028514E" w:rsidRDefault="00F70FEB" w:rsidP="006E5F9A">
      <w:pPr>
        <w:pStyle w:val="a4"/>
        <w:ind w:left="0"/>
      </w:pPr>
      <w:r>
        <w:t>Avtozma</w:t>
      </w:r>
      <w:r w:rsidR="00296A74" w:rsidRPr="0028514E">
        <w:t>-hoidon antaa lääkäri tai sairaanhoitaja, joten on epätodennäköistä, että jokin annos jäisi väliin. Jos kuitenkin olet huolissasi tästä, keskustele asiasta lääkärin tai sairaanhoitajan kanssa.</w:t>
      </w:r>
    </w:p>
    <w:p w14:paraId="4E69A0F5" w14:textId="77777777" w:rsidR="003B7027" w:rsidRPr="0028514E" w:rsidRDefault="003B7027" w:rsidP="006E5F9A">
      <w:pPr>
        <w:pStyle w:val="a4"/>
        <w:ind w:left="0"/>
      </w:pPr>
    </w:p>
    <w:p w14:paraId="4550BD6E" w14:textId="4185EFA0" w:rsidR="003B7027" w:rsidRPr="009A3CB5" w:rsidRDefault="00296A74" w:rsidP="009A3CB5">
      <w:pPr>
        <w:rPr>
          <w:b/>
          <w:bCs/>
          <w:lang w:val="fi-FI"/>
        </w:rPr>
      </w:pPr>
      <w:r w:rsidRPr="009A3CB5">
        <w:rPr>
          <w:b/>
          <w:bCs/>
          <w:lang w:val="fi-FI"/>
        </w:rPr>
        <w:t xml:space="preserve">Jos lopetat </w:t>
      </w:r>
      <w:r w:rsidR="00F70FEB" w:rsidRPr="009A3CB5">
        <w:rPr>
          <w:b/>
          <w:bCs/>
          <w:lang w:val="fi-FI"/>
        </w:rPr>
        <w:t>Avtozma</w:t>
      </w:r>
      <w:r w:rsidRPr="009A3CB5">
        <w:rPr>
          <w:b/>
          <w:bCs/>
          <w:lang w:val="fi-FI"/>
        </w:rPr>
        <w:t>-hoidon</w:t>
      </w:r>
    </w:p>
    <w:p w14:paraId="45800A6A" w14:textId="4A46B7AC" w:rsidR="003B7027" w:rsidRPr="0028514E" w:rsidRDefault="00296A74" w:rsidP="006E5F9A">
      <w:pPr>
        <w:pStyle w:val="a4"/>
        <w:ind w:left="0"/>
      </w:pPr>
      <w:r w:rsidRPr="0028514E">
        <w:t xml:space="preserve">Älä lopeta </w:t>
      </w:r>
      <w:r w:rsidR="00F70FEB">
        <w:t>Avtozma</w:t>
      </w:r>
      <w:r w:rsidRPr="0028514E">
        <w:t>n käyttöä, ennen kuin olet keskustellut asiasta lääkärin kanssa.</w:t>
      </w:r>
    </w:p>
    <w:p w14:paraId="5C1C5C19" w14:textId="77777777" w:rsidR="003B7027" w:rsidRPr="0028514E" w:rsidRDefault="003B7027" w:rsidP="006E5F9A">
      <w:pPr>
        <w:pStyle w:val="a4"/>
        <w:ind w:left="0"/>
      </w:pPr>
    </w:p>
    <w:p w14:paraId="470611E2" w14:textId="77777777" w:rsidR="003B7027" w:rsidRPr="0028514E" w:rsidRDefault="00296A74" w:rsidP="006E5F9A">
      <w:pPr>
        <w:pStyle w:val="a4"/>
        <w:ind w:left="0"/>
      </w:pPr>
      <w:r w:rsidRPr="0028514E">
        <w:t>Jos sinulla on kysymyksiä tämän lääkkeen käytöstä, käänny lääkärin tai sairaanhoitajan puoleen.</w:t>
      </w:r>
    </w:p>
    <w:p w14:paraId="4EE8ED08" w14:textId="77777777" w:rsidR="00605EB4" w:rsidRPr="0028514E" w:rsidRDefault="00605EB4" w:rsidP="006E5F9A">
      <w:pPr>
        <w:pStyle w:val="a4"/>
        <w:ind w:left="0"/>
      </w:pPr>
    </w:p>
    <w:p w14:paraId="58DA3541" w14:textId="77777777" w:rsidR="00605EB4" w:rsidRPr="0028514E" w:rsidRDefault="00605EB4" w:rsidP="006E5F9A">
      <w:pPr>
        <w:pStyle w:val="a4"/>
        <w:ind w:left="0"/>
      </w:pPr>
    </w:p>
    <w:p w14:paraId="4639E74A" w14:textId="77777777" w:rsidR="003B7027" w:rsidRPr="0028514E" w:rsidRDefault="00296A74" w:rsidP="006679A7">
      <w:pPr>
        <w:pStyle w:val="2"/>
        <w:keepNext/>
      </w:pPr>
      <w:r w:rsidRPr="0028514E">
        <w:lastRenderedPageBreak/>
        <w:t>4.</w:t>
      </w:r>
      <w:r w:rsidRPr="0028514E">
        <w:tab/>
        <w:t>Mahdolliset haittavaikutukset</w:t>
      </w:r>
    </w:p>
    <w:p w14:paraId="366AD235" w14:textId="77777777" w:rsidR="00605EB4" w:rsidRPr="009A3CB5" w:rsidRDefault="00605EB4" w:rsidP="00DD705A">
      <w:pPr>
        <w:rPr>
          <w:lang w:val="fi-FI"/>
        </w:rPr>
      </w:pPr>
    </w:p>
    <w:p w14:paraId="3B0F0A4E" w14:textId="45313D6D" w:rsidR="003B7027" w:rsidRPr="00F37774" w:rsidRDefault="00296A74" w:rsidP="006E5F9A">
      <w:pPr>
        <w:pStyle w:val="a4"/>
        <w:ind w:left="0"/>
      </w:pPr>
      <w:r w:rsidRPr="00F37774">
        <w:t xml:space="preserve">Kuten kaikki lääkkeet, tämäkin lääke voi aiheuttaa haittavaikutuksia. Kaikki eivät kuitenkaan niitä saa. Haittavaikutuksia voi ilmaantua vielä kolmen (3) kuukauden jälkeenkin viimeisestä </w:t>
      </w:r>
      <w:r w:rsidR="00F70FEB">
        <w:t>Avtozma</w:t>
      </w:r>
      <w:r w:rsidRPr="00F37774">
        <w:t>-annoksesta.</w:t>
      </w:r>
    </w:p>
    <w:p w14:paraId="4B0B1E03" w14:textId="77777777" w:rsidR="003B7027" w:rsidRPr="00F37774" w:rsidRDefault="003B7027" w:rsidP="006E5F9A">
      <w:pPr>
        <w:pStyle w:val="a4"/>
        <w:ind w:left="0"/>
      </w:pPr>
    </w:p>
    <w:p w14:paraId="048B4477" w14:textId="77777777" w:rsidR="003B7027" w:rsidRPr="00CA43F5" w:rsidRDefault="00296A74" w:rsidP="006E5F9A">
      <w:pPr>
        <w:rPr>
          <w:lang w:val="fi-FI"/>
        </w:rPr>
      </w:pPr>
      <w:r w:rsidRPr="00CA43F5">
        <w:rPr>
          <w:b/>
          <w:lang w:val="fi-FI"/>
        </w:rPr>
        <w:t xml:space="preserve">Mahdolliset vakavat haittavaikutukset: </w:t>
      </w:r>
      <w:r w:rsidRPr="00CA43F5">
        <w:rPr>
          <w:lang w:val="fi-FI"/>
        </w:rPr>
        <w:t>ota heti yhteyttä lääkäriin.</w:t>
      </w:r>
    </w:p>
    <w:p w14:paraId="6DCE47DE" w14:textId="77777777" w:rsidR="003B7027" w:rsidRPr="00CA43F5" w:rsidRDefault="00296A74" w:rsidP="006E5F9A">
      <w:pPr>
        <w:rPr>
          <w:i/>
          <w:lang w:val="fi-FI"/>
        </w:rPr>
      </w:pPr>
      <w:r w:rsidRPr="00CA43F5">
        <w:rPr>
          <w:i/>
          <w:lang w:val="fi-FI"/>
        </w:rPr>
        <w:t>Nämä ovat yleisiä: niitä saattaa esiintyä enintään yhdellä potilaalla 10:stä</w:t>
      </w:r>
    </w:p>
    <w:p w14:paraId="1DA80A29" w14:textId="77777777" w:rsidR="003B7027" w:rsidRPr="00F37774" w:rsidRDefault="003B7027" w:rsidP="006E5F9A">
      <w:pPr>
        <w:pStyle w:val="a4"/>
        <w:ind w:left="0"/>
        <w:rPr>
          <w:i/>
        </w:rPr>
      </w:pPr>
    </w:p>
    <w:p w14:paraId="529A79C5" w14:textId="77777777" w:rsidR="003B7027" w:rsidRPr="00CA43F5" w:rsidRDefault="00296A74" w:rsidP="006E5F9A">
      <w:pPr>
        <w:rPr>
          <w:lang w:val="fi-FI"/>
        </w:rPr>
      </w:pPr>
      <w:r w:rsidRPr="00CA43F5">
        <w:rPr>
          <w:b/>
          <w:lang w:val="fi-FI"/>
        </w:rPr>
        <w:t xml:space="preserve">Allergiset reaktiot </w:t>
      </w:r>
      <w:r w:rsidRPr="00CA43F5">
        <w:rPr>
          <w:lang w:val="fi-FI"/>
        </w:rPr>
        <w:t>infuusion aikana tai infuusion jälkeen:</w:t>
      </w:r>
    </w:p>
    <w:p w14:paraId="0B3E6139" w14:textId="77777777" w:rsidR="003B7027" w:rsidRPr="00F37774" w:rsidRDefault="00296A74" w:rsidP="00F37774">
      <w:pPr>
        <w:pStyle w:val="a"/>
      </w:pPr>
      <w:r w:rsidRPr="00F37774">
        <w:t>hengitysvaikeudet, puristava tunne rintakehässä tai pyörrytys</w:t>
      </w:r>
    </w:p>
    <w:p w14:paraId="73247556" w14:textId="77777777" w:rsidR="003B7027" w:rsidRPr="00F37774" w:rsidRDefault="00296A74" w:rsidP="00F37774">
      <w:pPr>
        <w:pStyle w:val="a"/>
      </w:pPr>
      <w:r w:rsidRPr="00F37774">
        <w:t>ihottuma, kutina, nokkosrokko, huulten, kielen tai kasvojen turpoaminen.</w:t>
      </w:r>
    </w:p>
    <w:p w14:paraId="58B655D5" w14:textId="77777777" w:rsidR="003B7027" w:rsidRPr="00F37774" w:rsidRDefault="003B7027" w:rsidP="00615DE1">
      <w:pPr>
        <w:pStyle w:val="a4"/>
        <w:ind w:left="567" w:hanging="567"/>
      </w:pPr>
    </w:p>
    <w:p w14:paraId="6607B44D" w14:textId="77777777" w:rsidR="003B7027" w:rsidRPr="00F37774" w:rsidRDefault="00296A74" w:rsidP="00615DE1">
      <w:pPr>
        <w:pStyle w:val="a4"/>
        <w:ind w:left="567" w:hanging="567"/>
      </w:pPr>
      <w:r w:rsidRPr="00F37774">
        <w:t xml:space="preserve">Jos havaitset jotakin näistä, ota </w:t>
      </w:r>
      <w:r w:rsidRPr="00F37774">
        <w:rPr>
          <w:b/>
        </w:rPr>
        <w:t xml:space="preserve">välittömästi </w:t>
      </w:r>
      <w:r w:rsidRPr="00F37774">
        <w:t>yhteyttä lääkäriin.</w:t>
      </w:r>
    </w:p>
    <w:p w14:paraId="509CEBB4" w14:textId="77777777" w:rsidR="003B7027" w:rsidRPr="00F37774" w:rsidRDefault="003B7027" w:rsidP="00615DE1">
      <w:pPr>
        <w:pStyle w:val="a4"/>
        <w:ind w:left="567" w:hanging="567"/>
      </w:pPr>
    </w:p>
    <w:p w14:paraId="2F0B2A4A" w14:textId="77777777" w:rsidR="003B7027" w:rsidRPr="009A3CB5" w:rsidRDefault="00296A74" w:rsidP="009A3CB5">
      <w:pPr>
        <w:rPr>
          <w:b/>
          <w:bCs/>
          <w:lang w:val="fi-FI"/>
        </w:rPr>
      </w:pPr>
      <w:r w:rsidRPr="009A3CB5">
        <w:rPr>
          <w:b/>
          <w:bCs/>
          <w:lang w:val="fi-FI"/>
        </w:rPr>
        <w:t>Vakavan infektion oireet</w:t>
      </w:r>
    </w:p>
    <w:p w14:paraId="5A6220D0" w14:textId="77777777" w:rsidR="003B7027" w:rsidRPr="00F37774" w:rsidRDefault="00296A74" w:rsidP="00F37774">
      <w:pPr>
        <w:pStyle w:val="a"/>
      </w:pPr>
      <w:r w:rsidRPr="00F37774">
        <w:t>kuume ja vilunväristykset</w:t>
      </w:r>
    </w:p>
    <w:p w14:paraId="0191B3CB" w14:textId="77777777" w:rsidR="003B7027" w:rsidRPr="00F37774" w:rsidRDefault="00296A74" w:rsidP="00F37774">
      <w:pPr>
        <w:pStyle w:val="a"/>
      </w:pPr>
      <w:r w:rsidRPr="00F37774">
        <w:t>rakkulat suussa tai iholla</w:t>
      </w:r>
    </w:p>
    <w:p w14:paraId="4DAB1942" w14:textId="77777777" w:rsidR="003B7027" w:rsidRPr="00F37774" w:rsidRDefault="00296A74" w:rsidP="00F37774">
      <w:pPr>
        <w:pStyle w:val="a"/>
      </w:pPr>
      <w:r w:rsidRPr="00F37774">
        <w:t>vatsakipu.</w:t>
      </w:r>
    </w:p>
    <w:p w14:paraId="37F4E0C1" w14:textId="77777777" w:rsidR="003B7027" w:rsidRPr="0028514E" w:rsidRDefault="003B7027" w:rsidP="00615DE1">
      <w:pPr>
        <w:pStyle w:val="a4"/>
        <w:ind w:left="567" w:hanging="567"/>
      </w:pPr>
    </w:p>
    <w:p w14:paraId="485F2102" w14:textId="77777777" w:rsidR="003B7027" w:rsidRPr="009A3CB5" w:rsidRDefault="00296A74" w:rsidP="009A3CB5">
      <w:pPr>
        <w:rPr>
          <w:b/>
          <w:bCs/>
          <w:lang w:val="fi-FI"/>
        </w:rPr>
      </w:pPr>
      <w:r w:rsidRPr="009A3CB5">
        <w:rPr>
          <w:b/>
          <w:bCs/>
          <w:lang w:val="fi-FI"/>
        </w:rPr>
        <w:t>Maksatoksisuuden oireet</w:t>
      </w:r>
    </w:p>
    <w:p w14:paraId="04821BDA" w14:textId="77777777" w:rsidR="003B7027" w:rsidRPr="00CA43F5" w:rsidRDefault="00296A74" w:rsidP="00615DE1">
      <w:pPr>
        <w:ind w:left="567" w:hanging="567"/>
        <w:rPr>
          <w:i/>
          <w:lang w:val="fi-FI"/>
        </w:rPr>
      </w:pPr>
      <w:r w:rsidRPr="00CA43F5">
        <w:rPr>
          <w:i/>
          <w:lang w:val="fi-FI"/>
        </w:rPr>
        <w:t>Näitä saattaa esiintyä enintään yhdellä potilaalla 1000:sta</w:t>
      </w:r>
    </w:p>
    <w:p w14:paraId="0E7330AC" w14:textId="77777777" w:rsidR="003B7027" w:rsidRPr="0028514E" w:rsidRDefault="00296A74" w:rsidP="00F37774">
      <w:pPr>
        <w:pStyle w:val="a"/>
      </w:pPr>
      <w:r w:rsidRPr="0028514E">
        <w:t>väsymys</w:t>
      </w:r>
    </w:p>
    <w:p w14:paraId="741EEBFB" w14:textId="77777777" w:rsidR="003B7027" w:rsidRPr="0028514E" w:rsidRDefault="00296A74" w:rsidP="00F37774">
      <w:pPr>
        <w:pStyle w:val="a"/>
      </w:pPr>
      <w:r w:rsidRPr="0028514E">
        <w:t>vatsakipu</w:t>
      </w:r>
    </w:p>
    <w:p w14:paraId="614FF08C" w14:textId="77777777" w:rsidR="003B7027" w:rsidRPr="0028514E" w:rsidRDefault="00296A74" w:rsidP="00F37774">
      <w:pPr>
        <w:pStyle w:val="a"/>
      </w:pPr>
      <w:r w:rsidRPr="0028514E">
        <w:t>keltaisuus (ihon tai silmien keltaisuutta).</w:t>
      </w:r>
    </w:p>
    <w:p w14:paraId="52CC0825" w14:textId="77777777" w:rsidR="00605EB4" w:rsidRPr="00CA43F5" w:rsidRDefault="00605EB4" w:rsidP="00F37774">
      <w:pPr>
        <w:rPr>
          <w:lang w:val="fi-FI"/>
        </w:rPr>
      </w:pPr>
    </w:p>
    <w:p w14:paraId="786152BF" w14:textId="77777777" w:rsidR="003B7027" w:rsidRPr="00CA43F5" w:rsidRDefault="00296A74" w:rsidP="006E5F9A">
      <w:pPr>
        <w:rPr>
          <w:lang w:val="fi-FI"/>
        </w:rPr>
      </w:pPr>
      <w:r w:rsidRPr="00CA43F5">
        <w:rPr>
          <w:lang w:val="fi-FI"/>
        </w:rPr>
        <w:t xml:space="preserve">Jos havaitset jotakin näistä, ota </w:t>
      </w:r>
      <w:r w:rsidRPr="00CA43F5">
        <w:rPr>
          <w:b/>
          <w:lang w:val="fi-FI"/>
        </w:rPr>
        <w:t xml:space="preserve">mahdollisimman pian </w:t>
      </w:r>
      <w:r w:rsidRPr="00CA43F5">
        <w:rPr>
          <w:lang w:val="fi-FI"/>
        </w:rPr>
        <w:t>yhteyttä lääkäriin.</w:t>
      </w:r>
    </w:p>
    <w:p w14:paraId="48B06B63" w14:textId="77777777" w:rsidR="003B7027" w:rsidRPr="0028514E" w:rsidRDefault="003B7027" w:rsidP="006E5F9A">
      <w:pPr>
        <w:pStyle w:val="a4"/>
        <w:ind w:left="0"/>
      </w:pPr>
    </w:p>
    <w:p w14:paraId="33149480" w14:textId="77777777" w:rsidR="003B7027" w:rsidRPr="009A3CB5" w:rsidRDefault="00296A74" w:rsidP="009A3CB5">
      <w:pPr>
        <w:rPr>
          <w:b/>
          <w:bCs/>
          <w:lang w:val="fi-FI"/>
        </w:rPr>
      </w:pPr>
      <w:r w:rsidRPr="009A3CB5">
        <w:rPr>
          <w:b/>
          <w:bCs/>
          <w:lang w:val="fi-FI"/>
        </w:rPr>
        <w:t>Hyvin yleisiä haittavaikutuksia:</w:t>
      </w:r>
    </w:p>
    <w:p w14:paraId="3791BCAE" w14:textId="77777777" w:rsidR="003B7027" w:rsidRPr="00CA43F5" w:rsidRDefault="00296A74" w:rsidP="00615DE1">
      <w:pPr>
        <w:ind w:left="567" w:hanging="567"/>
        <w:rPr>
          <w:i/>
          <w:lang w:val="fi-FI"/>
        </w:rPr>
      </w:pPr>
      <w:r w:rsidRPr="00CA43F5">
        <w:rPr>
          <w:i/>
          <w:lang w:val="fi-FI"/>
        </w:rPr>
        <w:t>Näitä saattaa esiintyä useammalla kuin yhdellä potilaalla 10:stä</w:t>
      </w:r>
    </w:p>
    <w:p w14:paraId="6D00324E" w14:textId="77777777" w:rsidR="003B7027" w:rsidRPr="00F37774" w:rsidRDefault="00296A74" w:rsidP="00F37774">
      <w:pPr>
        <w:pStyle w:val="a"/>
      </w:pPr>
      <w:r w:rsidRPr="00F37774">
        <w:t>ylähengitystieinfektiot, joiden tyypilliset oireet ovat yskä, nenän tukkoisuus, nenän vuotaminen, kurkkukipu ja päänsärky</w:t>
      </w:r>
    </w:p>
    <w:p w14:paraId="3B96C509" w14:textId="77777777" w:rsidR="003B7027" w:rsidRPr="00F37774" w:rsidRDefault="00296A74" w:rsidP="00F37774">
      <w:pPr>
        <w:pStyle w:val="a"/>
      </w:pPr>
      <w:r w:rsidRPr="00F37774">
        <w:t>korkeat veren rasva-arvot (kolesteroliarvot).</w:t>
      </w:r>
    </w:p>
    <w:p w14:paraId="2211B6EC" w14:textId="77777777" w:rsidR="003B7027" w:rsidRPr="00F37774" w:rsidRDefault="003B7027" w:rsidP="00615DE1">
      <w:pPr>
        <w:pStyle w:val="a4"/>
        <w:ind w:left="567" w:hanging="567"/>
      </w:pPr>
    </w:p>
    <w:p w14:paraId="1CA34E9C" w14:textId="77777777" w:rsidR="003B7027" w:rsidRPr="009A3CB5" w:rsidRDefault="00296A74" w:rsidP="009A3CB5">
      <w:pPr>
        <w:rPr>
          <w:b/>
          <w:bCs/>
          <w:lang w:val="fi-FI"/>
        </w:rPr>
      </w:pPr>
      <w:r w:rsidRPr="009A3CB5">
        <w:rPr>
          <w:b/>
          <w:bCs/>
          <w:lang w:val="fi-FI"/>
        </w:rPr>
        <w:t>Yleisiä haittavaikutuksia:</w:t>
      </w:r>
    </w:p>
    <w:p w14:paraId="400B661A" w14:textId="77777777" w:rsidR="003B7027" w:rsidRPr="00CA43F5" w:rsidRDefault="00296A74" w:rsidP="00615DE1">
      <w:pPr>
        <w:ind w:left="567" w:hanging="567"/>
        <w:rPr>
          <w:i/>
          <w:lang w:val="fi-FI"/>
        </w:rPr>
      </w:pPr>
      <w:r w:rsidRPr="00CA43F5">
        <w:rPr>
          <w:i/>
          <w:lang w:val="fi-FI"/>
        </w:rPr>
        <w:t>Näitä saattaa esiintyä enintään yhdellä potilaalla 10:stä</w:t>
      </w:r>
    </w:p>
    <w:p w14:paraId="1058CC77" w14:textId="77777777" w:rsidR="003B7027" w:rsidRPr="00F37774" w:rsidRDefault="00296A74" w:rsidP="00F37774">
      <w:pPr>
        <w:pStyle w:val="a"/>
      </w:pPr>
      <w:r w:rsidRPr="00F37774">
        <w:t>keuhkoinfektio (keuhkokuume)</w:t>
      </w:r>
    </w:p>
    <w:p w14:paraId="39A89C9D" w14:textId="77777777" w:rsidR="003B7027" w:rsidRPr="00F37774" w:rsidRDefault="00296A74" w:rsidP="00F37774">
      <w:pPr>
        <w:pStyle w:val="a"/>
      </w:pPr>
      <w:r w:rsidRPr="00F37774">
        <w:t>vyöruusu (</w:t>
      </w:r>
      <w:r w:rsidRPr="00F37774">
        <w:rPr>
          <w:i/>
        </w:rPr>
        <w:t>herpes zoster</w:t>
      </w:r>
      <w:r w:rsidRPr="00F37774">
        <w:t>)</w:t>
      </w:r>
    </w:p>
    <w:p w14:paraId="148D1365" w14:textId="77777777" w:rsidR="003B7027" w:rsidRPr="00F37774" w:rsidRDefault="00296A74" w:rsidP="00F37774">
      <w:pPr>
        <w:pStyle w:val="a"/>
      </w:pPr>
      <w:r w:rsidRPr="00F37774">
        <w:t xml:space="preserve">yskänrokko eli huuliherpes (suun </w:t>
      </w:r>
      <w:r w:rsidRPr="00F37774">
        <w:rPr>
          <w:i/>
        </w:rPr>
        <w:t xml:space="preserve">herpes simplex </w:t>
      </w:r>
      <w:r w:rsidRPr="00F37774">
        <w:t>-infektio), rakkulat</w:t>
      </w:r>
    </w:p>
    <w:p w14:paraId="032DD3CD" w14:textId="77777777" w:rsidR="003B7027" w:rsidRPr="00F37774" w:rsidRDefault="00296A74" w:rsidP="00F37774">
      <w:pPr>
        <w:pStyle w:val="a"/>
      </w:pPr>
      <w:r w:rsidRPr="00F37774">
        <w:t>ihoinfektio (selluliitti), johon voi liittyä myös kuumetta ja vilunväristyksiä</w:t>
      </w:r>
    </w:p>
    <w:p w14:paraId="1023053D" w14:textId="77777777" w:rsidR="003B7027" w:rsidRPr="00F37774" w:rsidRDefault="00296A74" w:rsidP="00F37774">
      <w:pPr>
        <w:pStyle w:val="a"/>
      </w:pPr>
      <w:r w:rsidRPr="00F37774">
        <w:t>ihottuma ja kutina, nokkosrokko</w:t>
      </w:r>
    </w:p>
    <w:p w14:paraId="2A8CBD9F" w14:textId="77777777" w:rsidR="003B7027" w:rsidRPr="00F37774" w:rsidRDefault="00296A74" w:rsidP="00F37774">
      <w:pPr>
        <w:pStyle w:val="a"/>
      </w:pPr>
      <w:r w:rsidRPr="00F37774">
        <w:t>allergiset reaktiot (yliherkkyys)</w:t>
      </w:r>
    </w:p>
    <w:p w14:paraId="745339AD" w14:textId="77777777" w:rsidR="003B7027" w:rsidRPr="00F37774" w:rsidRDefault="00296A74" w:rsidP="00F37774">
      <w:pPr>
        <w:pStyle w:val="a"/>
      </w:pPr>
      <w:r w:rsidRPr="00F37774">
        <w:t>silmäinfektio (konjunktiviitti)</w:t>
      </w:r>
    </w:p>
    <w:p w14:paraId="37D8958A" w14:textId="77777777" w:rsidR="003B7027" w:rsidRPr="00F37774" w:rsidRDefault="00296A74" w:rsidP="00F37774">
      <w:pPr>
        <w:pStyle w:val="a"/>
      </w:pPr>
      <w:r w:rsidRPr="00F37774">
        <w:t>päänsärky, huimaus, korkea verenpaine</w:t>
      </w:r>
    </w:p>
    <w:p w14:paraId="0AED93FF" w14:textId="77777777" w:rsidR="003B7027" w:rsidRPr="00F37774" w:rsidRDefault="00296A74" w:rsidP="00F37774">
      <w:pPr>
        <w:pStyle w:val="a"/>
      </w:pPr>
      <w:r w:rsidRPr="00F37774">
        <w:t>suun haavaumat, vatsakipu</w:t>
      </w:r>
    </w:p>
    <w:p w14:paraId="57534E57" w14:textId="77777777" w:rsidR="003B7027" w:rsidRPr="00F37774" w:rsidRDefault="00296A74" w:rsidP="00F37774">
      <w:pPr>
        <w:pStyle w:val="a"/>
      </w:pPr>
      <w:r w:rsidRPr="00F37774">
        <w:t>nesteen kertyminen (turvotus) alaraajoihin, painon nousu</w:t>
      </w:r>
    </w:p>
    <w:p w14:paraId="31F13BFE" w14:textId="77777777" w:rsidR="003B7027" w:rsidRPr="00F37774" w:rsidRDefault="00296A74" w:rsidP="00F37774">
      <w:pPr>
        <w:pStyle w:val="a"/>
      </w:pPr>
      <w:r w:rsidRPr="00F37774">
        <w:t>yskä, hengenahdistus</w:t>
      </w:r>
    </w:p>
    <w:p w14:paraId="0E9757B1" w14:textId="77777777" w:rsidR="003B7027" w:rsidRPr="00F37774" w:rsidRDefault="00296A74" w:rsidP="00F37774">
      <w:pPr>
        <w:pStyle w:val="a"/>
      </w:pPr>
      <w:r w:rsidRPr="00F37774">
        <w:t>verikokeissa todettu alhainen valkosoluarvo (neutropenia, leukopenia)</w:t>
      </w:r>
    </w:p>
    <w:p w14:paraId="5F0BE1AA" w14:textId="77777777" w:rsidR="003B7027" w:rsidRPr="00F37774" w:rsidRDefault="00296A74" w:rsidP="00F37774">
      <w:pPr>
        <w:pStyle w:val="a"/>
      </w:pPr>
      <w:r w:rsidRPr="00F37774">
        <w:t>poikkeavat maksan toimintakokeet (kohonneet transaminaasiarvot)</w:t>
      </w:r>
    </w:p>
    <w:p w14:paraId="65DD11B8" w14:textId="77777777" w:rsidR="003B7027" w:rsidRPr="00F37774" w:rsidRDefault="00296A74" w:rsidP="00F37774">
      <w:pPr>
        <w:pStyle w:val="a"/>
      </w:pPr>
      <w:r w:rsidRPr="00F37774">
        <w:t>verikokeissa todettu kohonnut bilirubiini</w:t>
      </w:r>
    </w:p>
    <w:p w14:paraId="6CFDAD50" w14:textId="77777777" w:rsidR="003B7027" w:rsidRPr="00F37774" w:rsidRDefault="00296A74" w:rsidP="00F37774">
      <w:pPr>
        <w:pStyle w:val="a"/>
      </w:pPr>
      <w:r w:rsidRPr="00F37774">
        <w:t>veren matala fibrinogeenipitoisuus (fibrinogeeni on veren hyytymiseen osallistuva valkuaisaine).</w:t>
      </w:r>
    </w:p>
    <w:p w14:paraId="5AEEBE5D" w14:textId="77777777" w:rsidR="003B7027" w:rsidRPr="00F37774" w:rsidRDefault="003B7027" w:rsidP="00615DE1">
      <w:pPr>
        <w:pStyle w:val="a4"/>
        <w:ind w:left="567" w:hanging="567"/>
      </w:pPr>
    </w:p>
    <w:p w14:paraId="1409C9A2" w14:textId="77777777" w:rsidR="003B7027" w:rsidRPr="0028514E" w:rsidRDefault="00296A74" w:rsidP="006679A7">
      <w:pPr>
        <w:pStyle w:val="2"/>
        <w:keepNext/>
      </w:pPr>
      <w:r w:rsidRPr="0028514E">
        <w:lastRenderedPageBreak/>
        <w:t>Melko harvinaisia haittavaikutuksia:</w:t>
      </w:r>
    </w:p>
    <w:p w14:paraId="56890924" w14:textId="77777777" w:rsidR="003B7027" w:rsidRPr="00CA43F5" w:rsidRDefault="00296A74" w:rsidP="006679A7">
      <w:pPr>
        <w:keepNext/>
        <w:ind w:left="567" w:hanging="567"/>
        <w:outlineLvl w:val="1"/>
        <w:rPr>
          <w:i/>
          <w:lang w:val="fi-FI"/>
        </w:rPr>
      </w:pPr>
      <w:r w:rsidRPr="00CA43F5">
        <w:rPr>
          <w:i/>
          <w:lang w:val="fi-FI"/>
        </w:rPr>
        <w:t>Näitä saattaa esiintyä enintään yhdellä potilaalla 100:sta</w:t>
      </w:r>
    </w:p>
    <w:p w14:paraId="62309A3E" w14:textId="77777777" w:rsidR="003B7027" w:rsidRPr="00F37774" w:rsidRDefault="00296A74" w:rsidP="00F37774">
      <w:pPr>
        <w:pStyle w:val="a"/>
      </w:pPr>
      <w:r w:rsidRPr="00F37774">
        <w:t>divertikuliitti (kuume, pahoinvointi, ripuli, ummetus, vatsakipu)</w:t>
      </w:r>
    </w:p>
    <w:p w14:paraId="7D9A3980" w14:textId="77777777" w:rsidR="003B7027" w:rsidRPr="00F37774" w:rsidRDefault="00296A74" w:rsidP="00F37774">
      <w:pPr>
        <w:pStyle w:val="a"/>
      </w:pPr>
      <w:r w:rsidRPr="00F37774">
        <w:t>punaiset turvonneet alueet suussa</w:t>
      </w:r>
    </w:p>
    <w:p w14:paraId="209CE2CE" w14:textId="77777777" w:rsidR="003B7027" w:rsidRPr="00F37774" w:rsidRDefault="00296A74" w:rsidP="00F37774">
      <w:pPr>
        <w:pStyle w:val="a"/>
      </w:pPr>
      <w:r w:rsidRPr="00F37774">
        <w:t>korkeat veren rasva-arvot (triglyseridit)</w:t>
      </w:r>
    </w:p>
    <w:p w14:paraId="3DB5C3B1" w14:textId="77777777" w:rsidR="003B7027" w:rsidRPr="00F37774" w:rsidRDefault="00296A74" w:rsidP="00F37774">
      <w:pPr>
        <w:pStyle w:val="a"/>
      </w:pPr>
      <w:r w:rsidRPr="00F37774">
        <w:t>mahahaava</w:t>
      </w:r>
    </w:p>
    <w:p w14:paraId="01212264" w14:textId="77777777" w:rsidR="003B7027" w:rsidRPr="00F37774" w:rsidRDefault="00296A74" w:rsidP="00F37774">
      <w:pPr>
        <w:pStyle w:val="a"/>
      </w:pPr>
      <w:r w:rsidRPr="00F37774">
        <w:t>munuaiskivet</w:t>
      </w:r>
    </w:p>
    <w:p w14:paraId="6F30F592" w14:textId="77777777" w:rsidR="003B7027" w:rsidRPr="00F37774" w:rsidRDefault="00296A74" w:rsidP="00F37774">
      <w:pPr>
        <w:pStyle w:val="a"/>
      </w:pPr>
      <w:r w:rsidRPr="00F37774">
        <w:t>kilpirauhasen vajaatoiminta.</w:t>
      </w:r>
    </w:p>
    <w:p w14:paraId="4449D86D" w14:textId="77777777" w:rsidR="003B7027" w:rsidRPr="00F37774" w:rsidRDefault="003B7027" w:rsidP="006E5F9A">
      <w:pPr>
        <w:pStyle w:val="a4"/>
        <w:ind w:left="0"/>
      </w:pPr>
    </w:p>
    <w:p w14:paraId="6000B2AD" w14:textId="77777777" w:rsidR="003B7027" w:rsidRPr="009A3CB5" w:rsidRDefault="00296A74" w:rsidP="009A3CB5">
      <w:pPr>
        <w:rPr>
          <w:b/>
          <w:bCs/>
          <w:lang w:val="fi-FI"/>
        </w:rPr>
      </w:pPr>
      <w:r w:rsidRPr="009A3CB5">
        <w:rPr>
          <w:b/>
          <w:bCs/>
          <w:lang w:val="fi-FI"/>
        </w:rPr>
        <w:t>Harvinaisia haittavaikutuksia:</w:t>
      </w:r>
    </w:p>
    <w:p w14:paraId="15D371F7" w14:textId="77777777" w:rsidR="003B7027" w:rsidRPr="00CA43F5" w:rsidRDefault="00296A74" w:rsidP="006E5F9A">
      <w:pPr>
        <w:rPr>
          <w:i/>
          <w:lang w:val="fi-FI"/>
        </w:rPr>
      </w:pPr>
      <w:r w:rsidRPr="00CA43F5">
        <w:rPr>
          <w:i/>
          <w:lang w:val="fi-FI"/>
        </w:rPr>
        <w:t>Näitä saattaa esiintyä enintään yhdellä potilaalla 1000:sta</w:t>
      </w:r>
    </w:p>
    <w:p w14:paraId="6BC7BF69" w14:textId="77777777" w:rsidR="003B7027" w:rsidRPr="0028514E" w:rsidRDefault="00296A74" w:rsidP="00F37774">
      <w:pPr>
        <w:pStyle w:val="a"/>
      </w:pPr>
      <w:r w:rsidRPr="0028514E">
        <w:t>Stevens-Johnsonin oireyhtymä (ihottuma, joka voi johtaa vaikeaan ihon rakkuloitumiseen ja kuoriutumiseen)</w:t>
      </w:r>
    </w:p>
    <w:p w14:paraId="6906FF33" w14:textId="77777777" w:rsidR="003B7027" w:rsidRPr="0028514E" w:rsidRDefault="00296A74" w:rsidP="00F37774">
      <w:pPr>
        <w:pStyle w:val="a"/>
      </w:pPr>
      <w:r w:rsidRPr="0028514E">
        <w:t>kuolemaan johtavat allergiset reaktiot (anafylaksia)</w:t>
      </w:r>
    </w:p>
    <w:p w14:paraId="4C7942A2" w14:textId="77777777" w:rsidR="003B7027" w:rsidRPr="0028514E" w:rsidRDefault="00296A74" w:rsidP="00F37774">
      <w:pPr>
        <w:pStyle w:val="a"/>
      </w:pPr>
      <w:r w:rsidRPr="0028514E">
        <w:t>maksatulehdus (hepatiitti), keltaisuus.</w:t>
      </w:r>
    </w:p>
    <w:p w14:paraId="62FE2B66" w14:textId="77777777" w:rsidR="003B7027" w:rsidRPr="0028514E" w:rsidRDefault="003B7027" w:rsidP="006E5F9A">
      <w:pPr>
        <w:pStyle w:val="a4"/>
        <w:ind w:left="0"/>
      </w:pPr>
    </w:p>
    <w:p w14:paraId="4BD3CD22" w14:textId="77777777" w:rsidR="003B7027" w:rsidRPr="009A3CB5" w:rsidRDefault="00296A74" w:rsidP="009A3CB5">
      <w:pPr>
        <w:rPr>
          <w:b/>
          <w:bCs/>
          <w:lang w:val="fi-FI"/>
        </w:rPr>
      </w:pPr>
      <w:r w:rsidRPr="009A3CB5">
        <w:rPr>
          <w:b/>
          <w:bCs/>
          <w:lang w:val="fi-FI"/>
        </w:rPr>
        <w:t>Hyvin harvinaisia haittavaikutuksia:</w:t>
      </w:r>
    </w:p>
    <w:p w14:paraId="17716C78" w14:textId="77777777" w:rsidR="003B7027" w:rsidRPr="00CA43F5" w:rsidRDefault="00296A74" w:rsidP="006E5F9A">
      <w:pPr>
        <w:rPr>
          <w:i/>
          <w:lang w:val="fi-FI"/>
        </w:rPr>
      </w:pPr>
      <w:r w:rsidRPr="00CA43F5">
        <w:rPr>
          <w:i/>
          <w:lang w:val="fi-FI"/>
        </w:rPr>
        <w:t>Näitä saattaa esiintyä enintään yhdellä potilaalla 10 000:sta</w:t>
      </w:r>
    </w:p>
    <w:p w14:paraId="755AE645" w14:textId="77777777" w:rsidR="003B7027" w:rsidRPr="0028514E" w:rsidRDefault="00296A74" w:rsidP="00F37774">
      <w:pPr>
        <w:pStyle w:val="a"/>
      </w:pPr>
      <w:r w:rsidRPr="0028514E">
        <w:t>valkoisten ja punaisten verisolujen sekä verihiutaleiden niukkuus.</w:t>
      </w:r>
    </w:p>
    <w:p w14:paraId="3B40EB7D" w14:textId="77777777" w:rsidR="003B7027" w:rsidRPr="0028514E" w:rsidRDefault="00296A74" w:rsidP="00F37774">
      <w:pPr>
        <w:pStyle w:val="a"/>
      </w:pPr>
      <w:r w:rsidRPr="0028514E">
        <w:t>maksan vajaatoiminta.</w:t>
      </w:r>
    </w:p>
    <w:p w14:paraId="4496EF27" w14:textId="77777777" w:rsidR="003B7027" w:rsidRPr="0028514E" w:rsidRDefault="003B7027" w:rsidP="00F37774"/>
    <w:p w14:paraId="6D6195B7" w14:textId="77777777" w:rsidR="003B7027" w:rsidRPr="009A3CB5" w:rsidRDefault="00296A74" w:rsidP="009A3CB5">
      <w:pPr>
        <w:rPr>
          <w:b/>
          <w:bCs/>
          <w:lang w:val="fi-FI"/>
        </w:rPr>
      </w:pPr>
      <w:r w:rsidRPr="009A3CB5">
        <w:rPr>
          <w:b/>
          <w:bCs/>
          <w:lang w:val="fi-FI"/>
        </w:rPr>
        <w:t>Haittavaikutuksista ilmoittaminen</w:t>
      </w:r>
    </w:p>
    <w:p w14:paraId="53B9728F" w14:textId="77777777" w:rsidR="00605EB4" w:rsidRPr="0028514E" w:rsidRDefault="00296A74" w:rsidP="006E5F9A">
      <w:pPr>
        <w:pStyle w:val="a4"/>
        <w:ind w:left="0"/>
      </w:pPr>
      <w:r w:rsidRPr="0028514E">
        <w:t>Jos havaitset haittavaikutuksia, kerro niistä lääkärille, apteekkihenkilökunnalle tai sairaanhoitajalle. Tämä koskee myös sellaisia mahdollisia haittavaikutuksia, joita ei ole mainittu tässä pakkausselosteessa.</w:t>
      </w:r>
    </w:p>
    <w:p w14:paraId="0C6CB324" w14:textId="77777777" w:rsidR="00605EB4" w:rsidRPr="0028514E" w:rsidRDefault="00605EB4" w:rsidP="006E5F9A">
      <w:pPr>
        <w:pStyle w:val="a4"/>
        <w:ind w:left="0"/>
      </w:pPr>
    </w:p>
    <w:p w14:paraId="412121BA" w14:textId="77777777" w:rsidR="003B7027" w:rsidRPr="0028514E" w:rsidRDefault="00296A74" w:rsidP="006E5F9A">
      <w:pPr>
        <w:pStyle w:val="a4"/>
        <w:ind w:left="0"/>
      </w:pPr>
      <w:r w:rsidRPr="0028514E">
        <w:t xml:space="preserve">Voit ilmoittaa haittavaikutuksista myös suoraan </w:t>
      </w:r>
      <w:r>
        <w:fldChar w:fldCharType="begin"/>
      </w:r>
      <w:r>
        <w:instrText>HYPERLINK "https://www.ema.europa.eu/documents/template-form/appendix-v-adverse-drug-reaction-reporting-details_en.doc" \h</w:instrText>
      </w:r>
      <w:r>
        <w:fldChar w:fldCharType="separate"/>
      </w:r>
      <w:r w:rsidRPr="0028514E">
        <w:rPr>
          <w:color w:val="0000FF"/>
          <w:u w:val="single" w:color="0000FF"/>
          <w:shd w:val="clear" w:color="auto" w:fill="C1C1C1"/>
        </w:rPr>
        <w:t>liitteessä V</w:t>
      </w:r>
      <w:r>
        <w:fldChar w:fldCharType="end"/>
      </w:r>
      <w:r w:rsidRPr="0028514E">
        <w:rPr>
          <w:color w:val="0000FF"/>
          <w:u w:val="single" w:color="0000FF"/>
          <w:shd w:val="clear" w:color="auto" w:fill="C1C1C1"/>
        </w:rPr>
        <w:t xml:space="preserve"> </w:t>
      </w:r>
      <w:r w:rsidRPr="0028514E">
        <w:rPr>
          <w:color w:val="000000"/>
          <w:shd w:val="clear" w:color="auto" w:fill="C1C1C1"/>
        </w:rPr>
        <w:t>luetellun kansallisen</w:t>
      </w:r>
      <w:r w:rsidRPr="0028514E">
        <w:rPr>
          <w:color w:val="000000"/>
        </w:rPr>
        <w:t xml:space="preserve"> </w:t>
      </w:r>
      <w:r w:rsidRPr="0028514E">
        <w:rPr>
          <w:color w:val="000000"/>
          <w:shd w:val="clear" w:color="auto" w:fill="C1C1C1"/>
        </w:rPr>
        <w:t>ilmoitusjärjestelmän kautta</w:t>
      </w:r>
      <w:r w:rsidRPr="0028514E">
        <w:rPr>
          <w:color w:val="000000"/>
        </w:rPr>
        <w:t>. Ilmoittamalla haittavaikutuksista voit auttaa saamaan enemmän tietoa tämän lääkevalmisteen turvallisuudesta.</w:t>
      </w:r>
    </w:p>
    <w:p w14:paraId="2F17B882" w14:textId="77777777" w:rsidR="003B7027" w:rsidRPr="0028514E" w:rsidRDefault="003B7027" w:rsidP="006E5F9A">
      <w:pPr>
        <w:pStyle w:val="a4"/>
        <w:ind w:left="0"/>
      </w:pPr>
    </w:p>
    <w:p w14:paraId="3C0E2832" w14:textId="77777777" w:rsidR="003B7027" w:rsidRPr="009A3CB5" w:rsidRDefault="00296A74" w:rsidP="009A3CB5">
      <w:pPr>
        <w:rPr>
          <w:b/>
          <w:bCs/>
          <w:lang w:val="fi-FI"/>
        </w:rPr>
      </w:pPr>
      <w:r w:rsidRPr="009A3CB5">
        <w:rPr>
          <w:b/>
          <w:bCs/>
          <w:lang w:val="fi-FI"/>
        </w:rPr>
        <w:t>Yleisoireista lastenreumaa sairastavat lapsipotilaat</w:t>
      </w:r>
    </w:p>
    <w:p w14:paraId="0628DF42" w14:textId="77777777" w:rsidR="003B7027" w:rsidRPr="0028514E" w:rsidRDefault="00296A74" w:rsidP="006E5F9A">
      <w:pPr>
        <w:pStyle w:val="a4"/>
        <w:ind w:left="0"/>
      </w:pPr>
      <w:r w:rsidRPr="0028514E">
        <w:t>Yleisoireista lastenreumaa sairastavilla potilailla todetut haittavaikutukset olivat yleensä luonteeltaan samanlaisia kuin aikuisilla nivelreumapotilailla on havaittu. Jotkut haittavaikutukset olivat yleisempiä: nenän ja kurkun tulehdus, ripuli, veren valkosoluarvojen väheneminen ja maksaentsyymiarvojen suureneminen.</w:t>
      </w:r>
    </w:p>
    <w:p w14:paraId="69099954" w14:textId="77777777" w:rsidR="003B7027" w:rsidRPr="0028514E" w:rsidRDefault="003B7027" w:rsidP="006E5F9A">
      <w:pPr>
        <w:pStyle w:val="a4"/>
        <w:ind w:left="0"/>
      </w:pPr>
    </w:p>
    <w:p w14:paraId="304C07C1" w14:textId="77777777" w:rsidR="003B7027" w:rsidRPr="009A3CB5" w:rsidRDefault="00296A74" w:rsidP="009A3CB5">
      <w:pPr>
        <w:rPr>
          <w:b/>
          <w:bCs/>
          <w:lang w:val="fi-FI"/>
        </w:rPr>
      </w:pPr>
      <w:r w:rsidRPr="009A3CB5">
        <w:rPr>
          <w:b/>
          <w:bCs/>
          <w:lang w:val="fi-FI"/>
        </w:rPr>
        <w:t>Polyartriittia sairastavat potilaat</w:t>
      </w:r>
    </w:p>
    <w:p w14:paraId="6FD24197" w14:textId="77777777" w:rsidR="003B7027" w:rsidRPr="00F37774" w:rsidRDefault="00296A74" w:rsidP="003C43CF">
      <w:pPr>
        <w:pStyle w:val="a4"/>
        <w:ind w:left="0"/>
      </w:pPr>
      <w:r w:rsidRPr="00F37774">
        <w:t>Polyartriittia sairastavilla potilailla todetut haittavaikutukset olivat yleensä luonteeltaan samanlaisia kuin aikuisilla nivelreumapotilailla on havaittu. Jotkut haittavaikutukset olivat yleisempiä: nenän ja kurkun tulehdus, päänsärky, pahoinvointi ja veren valkosoluarvojen väheneminen.</w:t>
      </w:r>
    </w:p>
    <w:p w14:paraId="702B2CD2" w14:textId="77777777" w:rsidR="003B7027" w:rsidRPr="00F37774" w:rsidRDefault="003B7027" w:rsidP="006E5F9A">
      <w:pPr>
        <w:pStyle w:val="a4"/>
        <w:ind w:left="0"/>
      </w:pPr>
    </w:p>
    <w:p w14:paraId="436374F1" w14:textId="77777777" w:rsidR="003B7027" w:rsidRPr="00F37774" w:rsidRDefault="003B7027" w:rsidP="006E5F9A">
      <w:pPr>
        <w:pStyle w:val="a4"/>
        <w:ind w:left="0"/>
      </w:pPr>
    </w:p>
    <w:p w14:paraId="598A16BE" w14:textId="0D0E53A5" w:rsidR="003B7027" w:rsidRPr="00F37774" w:rsidRDefault="00296A74" w:rsidP="006E5F9A">
      <w:pPr>
        <w:pStyle w:val="2"/>
      </w:pPr>
      <w:r w:rsidRPr="00F37774">
        <w:t>5.</w:t>
      </w:r>
      <w:r w:rsidRPr="00F37774">
        <w:tab/>
      </w:r>
      <w:r w:rsidR="00F70FEB">
        <w:t>Avtozma</w:t>
      </w:r>
      <w:r w:rsidRPr="00F37774">
        <w:t>n säilyttäminen</w:t>
      </w:r>
    </w:p>
    <w:p w14:paraId="21976505" w14:textId="77777777" w:rsidR="00605EB4" w:rsidRPr="00F37774" w:rsidRDefault="00605EB4" w:rsidP="00DD705A"/>
    <w:p w14:paraId="480B3D2B" w14:textId="77777777" w:rsidR="003B7027" w:rsidRPr="00F37774" w:rsidRDefault="00296A74" w:rsidP="006E5F9A">
      <w:pPr>
        <w:pStyle w:val="a4"/>
        <w:ind w:left="0"/>
      </w:pPr>
      <w:r w:rsidRPr="00F37774">
        <w:t>Ei lasten ulottuville eikä näkyville.</w:t>
      </w:r>
    </w:p>
    <w:p w14:paraId="723677FB" w14:textId="77777777" w:rsidR="00605EB4" w:rsidRPr="00F37774" w:rsidRDefault="00605EB4" w:rsidP="006E5F9A">
      <w:pPr>
        <w:pStyle w:val="a4"/>
        <w:ind w:left="0"/>
      </w:pPr>
    </w:p>
    <w:p w14:paraId="2EA5BE76" w14:textId="0D92B543" w:rsidR="00605EB4" w:rsidRPr="00F37774" w:rsidRDefault="00296A74" w:rsidP="006E5F9A">
      <w:pPr>
        <w:pStyle w:val="a4"/>
        <w:ind w:left="0"/>
      </w:pPr>
      <w:r w:rsidRPr="00F37774">
        <w:t>Älä käytä tätä lääkettä kotelossa mainitun viimeisen käyttöpäivämäärän jälkeen.</w:t>
      </w:r>
      <w:r w:rsidR="00F70FEB">
        <w:t xml:space="preserve"> </w:t>
      </w:r>
      <w:r w:rsidR="00F70FEB" w:rsidRPr="009E24F9">
        <w:t>Viimeinen käyttöpäivämäärä tarkoittaa kuukauden viimeistä päivää.</w:t>
      </w:r>
    </w:p>
    <w:p w14:paraId="27888C76" w14:textId="77777777" w:rsidR="00605EB4" w:rsidRPr="00F37774" w:rsidRDefault="00605EB4" w:rsidP="006E5F9A">
      <w:pPr>
        <w:pStyle w:val="a4"/>
        <w:ind w:left="0"/>
      </w:pPr>
    </w:p>
    <w:p w14:paraId="0393070E" w14:textId="475833CF" w:rsidR="003B7027" w:rsidRPr="00F37774" w:rsidRDefault="00296A74">
      <w:pPr>
        <w:pStyle w:val="a4"/>
        <w:ind w:left="0"/>
      </w:pPr>
      <w:r w:rsidRPr="00F37774">
        <w:t>Säilytä jääkaapissa (2 °C–8 °C).</w:t>
      </w:r>
      <w:r w:rsidR="00503D20">
        <w:rPr>
          <w:rFonts w:eastAsia="맑은 고딕" w:hint="eastAsia"/>
          <w:lang w:eastAsia="ko-KR"/>
        </w:rPr>
        <w:t xml:space="preserve"> </w:t>
      </w:r>
      <w:r w:rsidRPr="00F37774">
        <w:t>Ei saa jäätyä.</w:t>
      </w:r>
    </w:p>
    <w:p w14:paraId="3A826666" w14:textId="77777777" w:rsidR="00605EB4" w:rsidRPr="00F37774" w:rsidRDefault="00605EB4" w:rsidP="006E5F9A">
      <w:pPr>
        <w:pStyle w:val="a4"/>
        <w:ind w:left="0"/>
      </w:pPr>
    </w:p>
    <w:p w14:paraId="379F2761" w14:textId="77777777" w:rsidR="003B7027" w:rsidRDefault="00296A74" w:rsidP="006E5F9A">
      <w:pPr>
        <w:pStyle w:val="a4"/>
        <w:ind w:left="0"/>
      </w:pPr>
      <w:r w:rsidRPr="00F37774">
        <w:t>Pidä injektiopullot ulkopakkauksessa. Herkkä valolle.</w:t>
      </w:r>
    </w:p>
    <w:p w14:paraId="43778A34" w14:textId="37A423E6" w:rsidR="00F70FEB" w:rsidRDefault="00F47BBA" w:rsidP="006E5F9A">
      <w:pPr>
        <w:pStyle w:val="a4"/>
        <w:ind w:left="0"/>
      </w:pPr>
      <w:r>
        <w:t xml:space="preserve">0,9‑prosenttisella tai 0,45‑prosenttisella natriumkloridi-injektionesteellä laimennettua infuusioliuosta voidaan tarvittaessa säilyttää kylmässä enintään 1 kuukauden ajan tai korkeintaan </w:t>
      </w:r>
      <w:r w:rsidRPr="00840707">
        <w:t>30</w:t>
      </w:r>
      <w:r>
        <w:t> </w:t>
      </w:r>
      <w:r w:rsidRPr="00840707">
        <w:t>°C</w:t>
      </w:r>
      <w:r>
        <w:t>:n huoneenlämmössä enintään 48 tunnin ajan.</w:t>
      </w:r>
    </w:p>
    <w:p w14:paraId="715827B9" w14:textId="77777777" w:rsidR="00F47BBA" w:rsidRDefault="00F47BBA" w:rsidP="006E5F9A">
      <w:pPr>
        <w:pStyle w:val="a4"/>
        <w:ind w:left="0"/>
      </w:pPr>
    </w:p>
    <w:p w14:paraId="644AF32C" w14:textId="3F65E326" w:rsidR="00F47BBA" w:rsidRPr="00F37774" w:rsidRDefault="00F47BBA" w:rsidP="006E5F9A">
      <w:pPr>
        <w:pStyle w:val="a4"/>
        <w:ind w:left="0"/>
      </w:pPr>
      <w:r w:rsidRPr="009E24F9">
        <w:lastRenderedPageBreak/>
        <w:t>Lääkkeitä ei pidä heittää viemäriin eikä hävittää talousjätteiden mukana. Kysy käyttämättömien lääkkeiden hävittämisestä apteekista. Näin menetellen suojelet luontoa.</w:t>
      </w:r>
    </w:p>
    <w:p w14:paraId="6FB68349" w14:textId="77777777" w:rsidR="003B7027" w:rsidRPr="00F37774" w:rsidRDefault="003B7027" w:rsidP="006E5F9A">
      <w:pPr>
        <w:pStyle w:val="a4"/>
        <w:ind w:left="0"/>
      </w:pPr>
    </w:p>
    <w:p w14:paraId="47D7798F" w14:textId="77777777" w:rsidR="00605EB4" w:rsidRPr="00F37774" w:rsidRDefault="00605EB4" w:rsidP="006E5F9A">
      <w:pPr>
        <w:pStyle w:val="a4"/>
        <w:ind w:left="0"/>
      </w:pPr>
    </w:p>
    <w:p w14:paraId="305F4E79" w14:textId="77777777" w:rsidR="00605EB4" w:rsidRPr="00F37774" w:rsidRDefault="00296A74" w:rsidP="006679A7">
      <w:pPr>
        <w:pStyle w:val="2"/>
        <w:keepNext/>
      </w:pPr>
      <w:r w:rsidRPr="00F37774">
        <w:t>6.</w:t>
      </w:r>
      <w:r w:rsidRPr="00F37774">
        <w:tab/>
        <w:t>Pakkauksen sisältö ja muuta tietoa</w:t>
      </w:r>
    </w:p>
    <w:p w14:paraId="53524488" w14:textId="77777777" w:rsidR="00605EB4" w:rsidRPr="009A3CB5" w:rsidRDefault="00605EB4" w:rsidP="00DD705A">
      <w:pPr>
        <w:rPr>
          <w:lang w:val="fi-FI"/>
        </w:rPr>
      </w:pPr>
    </w:p>
    <w:p w14:paraId="161C07AD" w14:textId="1DC868E3" w:rsidR="003B7027" w:rsidRPr="009A3CB5" w:rsidRDefault="00296A74" w:rsidP="009A3CB5">
      <w:pPr>
        <w:rPr>
          <w:b/>
          <w:bCs/>
          <w:lang w:val="fi-FI"/>
        </w:rPr>
      </w:pPr>
      <w:r w:rsidRPr="009A3CB5">
        <w:rPr>
          <w:b/>
          <w:bCs/>
          <w:lang w:val="fi-FI"/>
        </w:rPr>
        <w:t xml:space="preserve">Mitä </w:t>
      </w:r>
      <w:r w:rsidR="00F70FEB" w:rsidRPr="009A3CB5">
        <w:rPr>
          <w:b/>
          <w:bCs/>
          <w:lang w:val="fi-FI"/>
        </w:rPr>
        <w:t>Avtozma</w:t>
      </w:r>
      <w:r w:rsidRPr="009A3CB5">
        <w:rPr>
          <w:b/>
          <w:bCs/>
          <w:lang w:val="fi-FI"/>
        </w:rPr>
        <w:t xml:space="preserve"> sisältää</w:t>
      </w:r>
    </w:p>
    <w:p w14:paraId="4C5F2B66" w14:textId="77777777" w:rsidR="003B7027" w:rsidRPr="00F37774" w:rsidRDefault="00296A74" w:rsidP="00F37774">
      <w:pPr>
        <w:pStyle w:val="a"/>
      </w:pPr>
      <w:r w:rsidRPr="00F37774">
        <w:t>Vaikuttava aine on tosilitsumabi.</w:t>
      </w:r>
    </w:p>
    <w:p w14:paraId="7A10C0B1" w14:textId="77777777" w:rsidR="00605EB4" w:rsidRPr="00F37774" w:rsidRDefault="00296A74" w:rsidP="001327AB">
      <w:pPr>
        <w:pStyle w:val="a4"/>
        <w:ind w:left="720" w:hanging="153"/>
      </w:pPr>
      <w:r w:rsidRPr="00F37774">
        <w:t>Yksi 4 ml:n injektiopullo sisältää 80 mg tosilitsumabia (20 mg/ml).</w:t>
      </w:r>
    </w:p>
    <w:p w14:paraId="6FBD41EE" w14:textId="77777777" w:rsidR="00605EB4" w:rsidRPr="0028514E" w:rsidRDefault="00296A74" w:rsidP="001327AB">
      <w:pPr>
        <w:pStyle w:val="a4"/>
        <w:ind w:left="1134" w:hanging="567"/>
      </w:pPr>
      <w:r w:rsidRPr="0028514E">
        <w:t>Yksi 10 ml:n injektiopullo sisältää 200 mg tosilitsumabia (20 mg/ml).</w:t>
      </w:r>
    </w:p>
    <w:p w14:paraId="4A973C93" w14:textId="77777777" w:rsidR="003B7027" w:rsidRPr="0028514E" w:rsidRDefault="00296A74" w:rsidP="001327AB">
      <w:pPr>
        <w:pStyle w:val="a4"/>
        <w:ind w:left="1134" w:hanging="567"/>
      </w:pPr>
      <w:r w:rsidRPr="0028514E">
        <w:t>Yksi 20 ml:n injektiopullo sisältää 400 mg tosilitsumabia (20 mg/ml).</w:t>
      </w:r>
    </w:p>
    <w:p w14:paraId="26FBA9A6" w14:textId="77777777" w:rsidR="00605EB4" w:rsidRPr="0028514E" w:rsidRDefault="00605EB4" w:rsidP="00615DE1">
      <w:pPr>
        <w:pStyle w:val="a4"/>
        <w:ind w:left="567" w:hanging="567"/>
      </w:pPr>
    </w:p>
    <w:p w14:paraId="1FA7FB68" w14:textId="3F43EECD" w:rsidR="003B7027" w:rsidRPr="0028514E" w:rsidRDefault="00296A74" w:rsidP="00F37774">
      <w:pPr>
        <w:pStyle w:val="a"/>
      </w:pPr>
      <w:r w:rsidRPr="0028514E">
        <w:t xml:space="preserve">Muut aineet ovat </w:t>
      </w:r>
      <w:r w:rsidR="00F47BBA">
        <w:t>L‑histidiini,</w:t>
      </w:r>
      <w:r w:rsidR="00A5656C" w:rsidRPr="00A5656C">
        <w:t xml:space="preserve"> </w:t>
      </w:r>
      <w:r w:rsidR="00C26E34" w:rsidRPr="00C26E34">
        <w:rPr>
          <w:rFonts w:eastAsia="맑은 고딕" w:hint="eastAsia"/>
          <w:lang w:eastAsia="ko-KR"/>
        </w:rPr>
        <w:t>L-histidiinimonohydrokloridimonohydraatti</w:t>
      </w:r>
      <w:r w:rsidR="00A5656C">
        <w:rPr>
          <w:rFonts w:eastAsia="맑은 고딕" w:hint="eastAsia"/>
          <w:lang w:eastAsia="ko-KR"/>
        </w:rPr>
        <w:t>,</w:t>
      </w:r>
      <w:r w:rsidR="00F47BBA">
        <w:t xml:space="preserve"> L‑treoniini, L‑metioniini</w:t>
      </w:r>
      <w:r w:rsidRPr="0028514E">
        <w:t>, polysorbaatti 80 ja injektionesteisiin käytettävä vesi.</w:t>
      </w:r>
    </w:p>
    <w:p w14:paraId="0A647DCE" w14:textId="77777777" w:rsidR="003B7027" w:rsidRPr="0028514E" w:rsidRDefault="003B7027" w:rsidP="006E5F9A">
      <w:pPr>
        <w:pStyle w:val="a4"/>
        <w:ind w:left="0"/>
      </w:pPr>
    </w:p>
    <w:p w14:paraId="4C3B0414" w14:textId="77777777" w:rsidR="003B7027" w:rsidRPr="009A3CB5" w:rsidRDefault="00296A74" w:rsidP="009A3CB5">
      <w:pPr>
        <w:rPr>
          <w:b/>
          <w:bCs/>
          <w:lang w:val="fi-FI"/>
        </w:rPr>
      </w:pPr>
      <w:r w:rsidRPr="009A3CB5">
        <w:rPr>
          <w:b/>
          <w:bCs/>
          <w:lang w:val="fi-FI"/>
        </w:rPr>
        <w:t>Lääkevalmisteen kuvaus ja pakkauskoot</w:t>
      </w:r>
    </w:p>
    <w:p w14:paraId="0F184E9B" w14:textId="0A60F181" w:rsidR="003B7027" w:rsidRPr="0028514E" w:rsidRDefault="00F47BBA" w:rsidP="006E5F9A">
      <w:pPr>
        <w:pStyle w:val="a4"/>
        <w:ind w:left="0"/>
      </w:pPr>
      <w:r>
        <w:t>Avtozma</w:t>
      </w:r>
      <w:r w:rsidRPr="0028514E">
        <w:t xml:space="preserve"> </w:t>
      </w:r>
      <w:r w:rsidR="00296A74" w:rsidRPr="0028514E">
        <w:t xml:space="preserve">on infuusiokonsentraatti, liuosta varten. Konsentraatti on kirkas tai </w:t>
      </w:r>
      <w:r>
        <w:t xml:space="preserve">hieman </w:t>
      </w:r>
      <w:r w:rsidR="00296A74" w:rsidRPr="0028514E">
        <w:t>opalisoiva, väritön tai vaaleankeltainen liuos.</w:t>
      </w:r>
    </w:p>
    <w:p w14:paraId="328C53E5" w14:textId="441D9AE2" w:rsidR="003B7027" w:rsidRPr="0028514E" w:rsidRDefault="00F47BBA" w:rsidP="006E5F9A">
      <w:pPr>
        <w:pStyle w:val="a4"/>
        <w:ind w:left="0"/>
      </w:pPr>
      <w:r>
        <w:t>Avtozma</w:t>
      </w:r>
      <w:r w:rsidRPr="0028514E">
        <w:t xml:space="preserve"> </w:t>
      </w:r>
      <w:r w:rsidR="00296A74" w:rsidRPr="0028514E">
        <w:t>on pakattu injektiopulloihin, joissa on 4 ml, 10 ml tai 20 ml infuusiokonsentraattia. Pakkauskoot: 1 ja 4 injektiopulloa. Kaikkia pakkauskokoja ei välttämättä ole saatavilla.</w:t>
      </w:r>
    </w:p>
    <w:p w14:paraId="4C7B4BE3" w14:textId="77777777" w:rsidR="003B7027" w:rsidRPr="0028514E" w:rsidRDefault="003B7027" w:rsidP="006E5F9A">
      <w:pPr>
        <w:pStyle w:val="a4"/>
        <w:ind w:left="0"/>
      </w:pPr>
    </w:p>
    <w:p w14:paraId="311B192F" w14:textId="77777777" w:rsidR="00605EB4" w:rsidRPr="009A3CB5" w:rsidRDefault="00296A74" w:rsidP="006E5F9A">
      <w:pPr>
        <w:rPr>
          <w:b/>
          <w:bCs/>
          <w:lang w:val="fi-FI"/>
        </w:rPr>
      </w:pPr>
      <w:r w:rsidRPr="009A3CB5">
        <w:rPr>
          <w:b/>
          <w:bCs/>
          <w:lang w:val="fi-FI"/>
        </w:rPr>
        <w:t>Myyntiluvan haltija</w:t>
      </w:r>
    </w:p>
    <w:p w14:paraId="4CB3B24C" w14:textId="77777777" w:rsidR="00F47BBA" w:rsidRPr="00840707" w:rsidRDefault="00F47BBA" w:rsidP="00F47BBA">
      <w:pPr>
        <w:keepNext/>
      </w:pPr>
      <w:r w:rsidRPr="00840707">
        <w:t xml:space="preserve">Celltrion Healthcare Hungary Kft. </w:t>
      </w:r>
    </w:p>
    <w:p w14:paraId="24CBEECB" w14:textId="77777777" w:rsidR="00F47BBA" w:rsidRPr="00840707" w:rsidRDefault="00F47BBA" w:rsidP="00F47BBA">
      <w:pPr>
        <w:keepNext/>
      </w:pPr>
      <w:r w:rsidRPr="00840707">
        <w:t>1062 Budapest</w:t>
      </w:r>
    </w:p>
    <w:p w14:paraId="3E94ABC7" w14:textId="77777777" w:rsidR="00F47BBA" w:rsidRPr="00840707" w:rsidRDefault="00F47BBA" w:rsidP="00F47BBA">
      <w:pPr>
        <w:keepNext/>
      </w:pPr>
      <w:r w:rsidRPr="00840707">
        <w:t xml:space="preserve">Váci </w:t>
      </w:r>
      <w:proofErr w:type="spellStart"/>
      <w:r w:rsidRPr="00840707">
        <w:t>út</w:t>
      </w:r>
      <w:proofErr w:type="spellEnd"/>
      <w:r w:rsidRPr="00840707">
        <w:t xml:space="preserve"> 1-3. </w:t>
      </w:r>
      <w:proofErr w:type="spellStart"/>
      <w:r w:rsidRPr="00840707">
        <w:t>WestEnd</w:t>
      </w:r>
      <w:proofErr w:type="spellEnd"/>
      <w:r w:rsidRPr="00840707">
        <w:t xml:space="preserve"> Office Building B </w:t>
      </w:r>
      <w:proofErr w:type="spellStart"/>
      <w:r w:rsidRPr="00840707">
        <w:t>torony</w:t>
      </w:r>
      <w:proofErr w:type="spellEnd"/>
    </w:p>
    <w:p w14:paraId="547917D3" w14:textId="5E7B42DA" w:rsidR="003B7027" w:rsidRPr="00CA43F5" w:rsidRDefault="00F47BBA" w:rsidP="006E5F9A">
      <w:pPr>
        <w:pStyle w:val="a4"/>
        <w:ind w:left="0"/>
        <w:rPr>
          <w:lang w:val="en-US"/>
        </w:rPr>
      </w:pPr>
      <w:proofErr w:type="spellStart"/>
      <w:r w:rsidRPr="00237A3E">
        <w:rPr>
          <w:lang w:val="en-GB"/>
        </w:rPr>
        <w:t>Unkari</w:t>
      </w:r>
      <w:proofErr w:type="spellEnd"/>
    </w:p>
    <w:p w14:paraId="4493D225" w14:textId="77777777" w:rsidR="003B7027" w:rsidRPr="00CA43F5" w:rsidRDefault="003B7027" w:rsidP="006E5F9A">
      <w:pPr>
        <w:pStyle w:val="a4"/>
        <w:ind w:left="0"/>
        <w:rPr>
          <w:lang w:val="en-US"/>
        </w:rPr>
      </w:pPr>
    </w:p>
    <w:p w14:paraId="75F19CC5" w14:textId="77777777" w:rsidR="003B7027" w:rsidRPr="009A3CB5" w:rsidRDefault="00296A74" w:rsidP="009A3CB5">
      <w:pPr>
        <w:rPr>
          <w:b/>
          <w:bCs/>
          <w:lang w:val="fi-FI"/>
        </w:rPr>
      </w:pPr>
      <w:r w:rsidRPr="009A3CB5">
        <w:rPr>
          <w:b/>
          <w:bCs/>
          <w:lang w:val="fi-FI"/>
        </w:rPr>
        <w:t>Valmistaja</w:t>
      </w:r>
    </w:p>
    <w:p w14:paraId="46C8C8A4" w14:textId="77777777" w:rsidR="00F47BBA" w:rsidRPr="00840707" w:rsidRDefault="00F47BBA" w:rsidP="00F47BBA">
      <w:pPr>
        <w:keepNext/>
      </w:pPr>
      <w:r w:rsidRPr="00840707">
        <w:t>Nuvisan France SARL</w:t>
      </w:r>
    </w:p>
    <w:p w14:paraId="1FC61425" w14:textId="01FDABB0" w:rsidR="00F47BBA" w:rsidRPr="00840707" w:rsidRDefault="00F47BBA" w:rsidP="00F47BBA">
      <w:pPr>
        <w:keepNext/>
      </w:pPr>
      <w:r w:rsidRPr="00840707">
        <w:t>2400</w:t>
      </w:r>
      <w:del w:id="38" w:author="만든 이">
        <w:r w:rsidRPr="00840707" w:rsidDel="00BB5A61">
          <w:delText>,</w:delText>
        </w:r>
      </w:del>
      <w:r w:rsidRPr="00840707">
        <w:t xml:space="preserve"> Route des Colles, </w:t>
      </w:r>
    </w:p>
    <w:p w14:paraId="0CFF9DBF" w14:textId="69D443D5" w:rsidR="00F47BBA" w:rsidRPr="00CA43F5" w:rsidRDefault="00F47BBA" w:rsidP="00F47BBA">
      <w:pPr>
        <w:keepNext/>
        <w:rPr>
          <w:lang w:val="sv-SE"/>
        </w:rPr>
      </w:pPr>
      <w:r w:rsidRPr="00CA43F5">
        <w:rPr>
          <w:lang w:val="sv-SE"/>
        </w:rPr>
        <w:t>06410</w:t>
      </w:r>
      <w:del w:id="39" w:author="만든 이">
        <w:r w:rsidRPr="00CA43F5" w:rsidDel="00BB5A61">
          <w:rPr>
            <w:lang w:val="sv-SE"/>
          </w:rPr>
          <w:delText>,</w:delText>
        </w:r>
      </w:del>
      <w:r w:rsidRPr="00CA43F5">
        <w:rPr>
          <w:lang w:val="sv-SE"/>
        </w:rPr>
        <w:t xml:space="preserve"> Biot, </w:t>
      </w:r>
    </w:p>
    <w:p w14:paraId="455354BF" w14:textId="7707542B" w:rsidR="00F47BBA" w:rsidRPr="00CA43F5" w:rsidRDefault="00F47BBA" w:rsidP="00F47BBA">
      <w:pPr>
        <w:rPr>
          <w:lang w:val="sv-SE"/>
        </w:rPr>
      </w:pPr>
      <w:r w:rsidRPr="00CA43F5">
        <w:rPr>
          <w:lang w:val="sv-SE"/>
        </w:rPr>
        <w:t>Ranska</w:t>
      </w:r>
    </w:p>
    <w:p w14:paraId="28E6EB3F" w14:textId="77777777" w:rsidR="00F47BBA" w:rsidRPr="00CA43F5" w:rsidRDefault="00F47BBA" w:rsidP="00F47BBA">
      <w:pPr>
        <w:rPr>
          <w:lang w:val="sv-SE"/>
        </w:rPr>
      </w:pPr>
    </w:p>
    <w:p w14:paraId="3DDB8AC8" w14:textId="77777777" w:rsidR="00F47BBA" w:rsidRPr="00CA43F5" w:rsidRDefault="00F47BBA" w:rsidP="00F47BBA">
      <w:pPr>
        <w:keepNext/>
        <w:rPr>
          <w:lang w:val="sv-SE"/>
        </w:rPr>
      </w:pPr>
      <w:r w:rsidRPr="00CA43F5">
        <w:rPr>
          <w:lang w:val="sv-SE"/>
        </w:rPr>
        <w:t>Midas Pharma GmbH</w:t>
      </w:r>
    </w:p>
    <w:p w14:paraId="2A67EBA8" w14:textId="77777777" w:rsidR="00F47BBA" w:rsidRPr="00CA43F5" w:rsidRDefault="00F47BBA" w:rsidP="00F47BBA">
      <w:pPr>
        <w:keepNext/>
        <w:rPr>
          <w:lang w:val="fi-FI"/>
        </w:rPr>
      </w:pPr>
      <w:r w:rsidRPr="00CA43F5">
        <w:rPr>
          <w:lang w:val="sv-SE"/>
        </w:rPr>
        <w:t xml:space="preserve">Rheinstr. </w:t>
      </w:r>
      <w:r w:rsidRPr="00CA43F5">
        <w:rPr>
          <w:lang w:val="fi-FI"/>
        </w:rPr>
        <w:t xml:space="preserve">49, </w:t>
      </w:r>
    </w:p>
    <w:p w14:paraId="6FC84D11" w14:textId="77777777" w:rsidR="00F47BBA" w:rsidRPr="00CA43F5" w:rsidRDefault="00F47BBA" w:rsidP="00F47BBA">
      <w:pPr>
        <w:keepNext/>
        <w:rPr>
          <w:lang w:val="fi-FI"/>
        </w:rPr>
      </w:pPr>
      <w:r w:rsidRPr="00CA43F5">
        <w:rPr>
          <w:lang w:val="fi-FI"/>
        </w:rPr>
        <w:t>55218 Ingelheim,</w:t>
      </w:r>
    </w:p>
    <w:p w14:paraId="7241787D" w14:textId="2D50659C" w:rsidR="00F47BBA" w:rsidRPr="00CA43F5" w:rsidRDefault="00F47BBA" w:rsidP="00F47BBA">
      <w:pPr>
        <w:rPr>
          <w:lang w:val="fi-FI"/>
        </w:rPr>
      </w:pPr>
      <w:r w:rsidRPr="00CA43F5">
        <w:rPr>
          <w:lang w:val="fi-FI"/>
        </w:rPr>
        <w:t>Saksa</w:t>
      </w:r>
    </w:p>
    <w:p w14:paraId="54B8423A" w14:textId="77777777" w:rsidR="00F47BBA" w:rsidRPr="00CA43F5" w:rsidRDefault="00F47BBA" w:rsidP="00F47BBA">
      <w:pPr>
        <w:rPr>
          <w:lang w:val="fi-FI"/>
        </w:rPr>
      </w:pPr>
    </w:p>
    <w:p w14:paraId="3BD19DC9" w14:textId="77777777" w:rsidR="00F47BBA" w:rsidRPr="00CA43F5" w:rsidRDefault="00F47BBA" w:rsidP="00F47BBA">
      <w:pPr>
        <w:keepNext/>
        <w:rPr>
          <w:lang w:val="fi-FI"/>
        </w:rPr>
      </w:pPr>
      <w:r w:rsidRPr="00CA43F5">
        <w:rPr>
          <w:lang w:val="fi-FI"/>
        </w:rPr>
        <w:t xml:space="preserve">KYMOS S.L. </w:t>
      </w:r>
    </w:p>
    <w:p w14:paraId="739F0561" w14:textId="77777777" w:rsidR="00F47BBA" w:rsidRPr="00CA43F5" w:rsidRDefault="00F47BBA" w:rsidP="00F47BBA">
      <w:pPr>
        <w:keepNext/>
        <w:rPr>
          <w:lang w:val="sv-SE"/>
        </w:rPr>
      </w:pPr>
      <w:r w:rsidRPr="00CA43F5">
        <w:rPr>
          <w:lang w:val="sv-SE"/>
        </w:rPr>
        <w:t xml:space="preserve">Ronda Can Fatjó, 7B. </w:t>
      </w:r>
    </w:p>
    <w:p w14:paraId="369E4084" w14:textId="77777777" w:rsidR="00F47BBA" w:rsidRPr="00CA43F5" w:rsidRDefault="00F47BBA" w:rsidP="00F47BBA">
      <w:pPr>
        <w:keepNext/>
        <w:rPr>
          <w:lang w:val="sv-SE"/>
        </w:rPr>
      </w:pPr>
      <w:r w:rsidRPr="00CA43F5">
        <w:rPr>
          <w:lang w:val="sv-SE"/>
        </w:rPr>
        <w:t xml:space="preserve">08290 Cerdanyola del Vallès, </w:t>
      </w:r>
    </w:p>
    <w:p w14:paraId="701DDF8B" w14:textId="77777777" w:rsidR="00F47BBA" w:rsidRPr="00CA43F5" w:rsidRDefault="00F47BBA" w:rsidP="00F47BBA">
      <w:pPr>
        <w:keepNext/>
        <w:rPr>
          <w:lang w:val="fi-FI"/>
        </w:rPr>
      </w:pPr>
      <w:r w:rsidRPr="00CA43F5">
        <w:rPr>
          <w:lang w:val="fi-FI"/>
        </w:rPr>
        <w:t xml:space="preserve">Barcelona, </w:t>
      </w:r>
    </w:p>
    <w:p w14:paraId="7E40FE39" w14:textId="4F294CCA" w:rsidR="003B7027" w:rsidRPr="0028514E" w:rsidRDefault="00F47BBA" w:rsidP="006E5F9A">
      <w:pPr>
        <w:pStyle w:val="a4"/>
        <w:ind w:left="0"/>
      </w:pPr>
      <w:r>
        <w:t>Espanja</w:t>
      </w:r>
    </w:p>
    <w:p w14:paraId="1E65DCFA" w14:textId="77777777" w:rsidR="00605EB4" w:rsidRPr="0028514E" w:rsidRDefault="00605EB4" w:rsidP="006E5F9A">
      <w:pPr>
        <w:pStyle w:val="a4"/>
        <w:ind w:left="0"/>
      </w:pPr>
    </w:p>
    <w:p w14:paraId="44DB177F" w14:textId="77777777" w:rsidR="003B7027" w:rsidRDefault="00296A74" w:rsidP="006E5F9A">
      <w:pPr>
        <w:pStyle w:val="a4"/>
        <w:ind w:left="0"/>
      </w:pPr>
      <w:r w:rsidRPr="0028514E">
        <w:t>Lisätietoja tästä lääkevalmisteesta antaa myyntiluvan haltijan paikallinen edustaja:</w:t>
      </w:r>
    </w:p>
    <w:p w14:paraId="24213137" w14:textId="77777777" w:rsidR="00615DE1" w:rsidRDefault="00615DE1" w:rsidP="006E5F9A">
      <w:pPr>
        <w:pStyle w:val="a4"/>
        <w:ind w:left="0"/>
      </w:pPr>
    </w:p>
    <w:tbl>
      <w:tblPr>
        <w:tblW w:w="5000" w:type="pct"/>
        <w:tblLayout w:type="fixed"/>
        <w:tblCellMar>
          <w:top w:w="28" w:type="dxa"/>
          <w:bottom w:w="28" w:type="dxa"/>
        </w:tblCellMar>
        <w:tblLook w:val="04A0" w:firstRow="1" w:lastRow="0" w:firstColumn="1" w:lastColumn="0" w:noHBand="0" w:noVBand="1"/>
      </w:tblPr>
      <w:tblGrid>
        <w:gridCol w:w="4537"/>
        <w:gridCol w:w="4537"/>
      </w:tblGrid>
      <w:tr w:rsidR="00BA5882" w:rsidRPr="001879E9" w14:paraId="03C8495C" w14:textId="77777777">
        <w:trPr>
          <w:cantSplit/>
        </w:trPr>
        <w:tc>
          <w:tcPr>
            <w:tcW w:w="2500" w:type="pct"/>
            <w:hideMark/>
          </w:tcPr>
          <w:p w14:paraId="31EB3314" w14:textId="77777777" w:rsidR="00F47BBA" w:rsidRDefault="00F47BBA">
            <w:pPr>
              <w:suppressAutoHyphens/>
              <w:rPr>
                <w:b/>
                <w:noProof/>
                <w:lang w:eastAsia="fr-FR"/>
              </w:rPr>
            </w:pPr>
            <w:r>
              <w:rPr>
                <w:rFonts w:eastAsia="맑은 고딕"/>
                <w:b/>
                <w:noProof/>
                <w:lang w:eastAsia="fr-FR"/>
              </w:rPr>
              <w:t>België/Belgique/Belgien</w:t>
            </w:r>
          </w:p>
          <w:p w14:paraId="27135FA8" w14:textId="77777777" w:rsidR="00F47BBA" w:rsidRDefault="00F47BBA">
            <w:pPr>
              <w:suppressAutoHyphens/>
              <w:rPr>
                <w:rFonts w:eastAsia="맑은 고딕"/>
                <w:noProof/>
                <w:lang w:eastAsia="fr-FR"/>
              </w:rPr>
            </w:pPr>
            <w:r>
              <w:rPr>
                <w:rFonts w:eastAsia="맑은 고딕"/>
                <w:noProof/>
                <w:lang w:eastAsia="fr-FR"/>
              </w:rPr>
              <w:t>Celltrion Healthcare Belgium BVBA</w:t>
            </w:r>
          </w:p>
          <w:p w14:paraId="2D497E42" w14:textId="77777777" w:rsidR="00F47BBA" w:rsidRDefault="00F47BBA">
            <w:pPr>
              <w:suppressAutoHyphens/>
              <w:rPr>
                <w:b/>
                <w:noProof/>
                <w:lang w:eastAsia="fr-FR"/>
              </w:rPr>
            </w:pPr>
            <w:r>
              <w:rPr>
                <w:rFonts w:eastAsia="맑은 고딕"/>
                <w:noProof/>
                <w:lang w:eastAsia="fr-FR"/>
              </w:rPr>
              <w:t>Tél/Tel: +32 2 643 71 81</w:t>
            </w:r>
          </w:p>
          <w:p w14:paraId="777D75BA" w14:textId="77777777" w:rsidR="00F47BBA" w:rsidRDefault="00F47BBA">
            <w:pPr>
              <w:suppressAutoHyphens/>
              <w:rPr>
                <w:rFonts w:eastAsia="맑은 고딕"/>
                <w:noProof/>
                <w:lang w:eastAsia="fr-FR"/>
              </w:rPr>
            </w:pPr>
            <w:r>
              <w:rPr>
                <w:rFonts w:eastAsia="맑은 고딕"/>
                <w:noProof/>
                <w:lang w:eastAsia="fr-FR"/>
              </w:rPr>
              <w:t>BEinfo@celltrionhc.com</w:t>
            </w:r>
          </w:p>
          <w:p w14:paraId="231A52EA" w14:textId="77777777" w:rsidR="00F47BBA" w:rsidRDefault="00F47BBA">
            <w:pPr>
              <w:suppressAutoHyphens/>
              <w:rPr>
                <w:rFonts w:eastAsia="맑은 고딕"/>
                <w:noProof/>
                <w:lang w:eastAsia="ko-KR"/>
              </w:rPr>
            </w:pPr>
          </w:p>
        </w:tc>
        <w:tc>
          <w:tcPr>
            <w:tcW w:w="2500" w:type="pct"/>
          </w:tcPr>
          <w:p w14:paraId="43EB95AD" w14:textId="77777777" w:rsidR="00F47BBA" w:rsidRDefault="00F47BBA">
            <w:pPr>
              <w:tabs>
                <w:tab w:val="left" w:pos="-720"/>
              </w:tabs>
              <w:suppressAutoHyphens/>
              <w:rPr>
                <w:b/>
                <w:noProof/>
                <w:lang w:eastAsia="fr-FR"/>
              </w:rPr>
            </w:pPr>
            <w:r>
              <w:rPr>
                <w:b/>
                <w:noProof/>
                <w:lang w:eastAsia="fr-FR"/>
              </w:rPr>
              <w:t>Lietuva</w:t>
            </w:r>
          </w:p>
          <w:p w14:paraId="3FD9F04E" w14:textId="77777777" w:rsidR="00F47BBA" w:rsidRDefault="00F47BBA">
            <w:pPr>
              <w:tabs>
                <w:tab w:val="left" w:pos="-720"/>
              </w:tabs>
              <w:suppressAutoHyphens/>
              <w:rPr>
                <w:rFonts w:eastAsia="맑은 고딕"/>
                <w:noProof/>
                <w:lang w:eastAsia="fr-FR"/>
              </w:rPr>
            </w:pPr>
            <w:r>
              <w:rPr>
                <w:rFonts w:eastAsia="맑은 고딕"/>
                <w:noProof/>
                <w:lang w:eastAsia="fr-FR"/>
              </w:rPr>
              <w:t>Celltrion Healthcare Hungary Kft.</w:t>
            </w:r>
          </w:p>
          <w:p w14:paraId="26E4ADBD" w14:textId="77777777" w:rsidR="00F47BBA" w:rsidRPr="00F47BBA" w:rsidRDefault="00F47BBA">
            <w:pPr>
              <w:suppressAutoHyphens/>
              <w:autoSpaceDE w:val="0"/>
              <w:autoSpaceDN w:val="0"/>
              <w:adjustRightInd w:val="0"/>
              <w:rPr>
                <w:noProof/>
                <w:lang w:eastAsia="fr-FR"/>
              </w:rPr>
            </w:pPr>
            <w:r>
              <w:rPr>
                <w:rFonts w:eastAsia="맑은 고딕"/>
                <w:noProof/>
                <w:lang w:eastAsia="fr-FR"/>
              </w:rPr>
              <w:t>Tel.: +36 1 231 0493</w:t>
            </w:r>
          </w:p>
          <w:p w14:paraId="2DE9F77D" w14:textId="77777777" w:rsidR="00F47BBA" w:rsidRPr="00F47BBA" w:rsidRDefault="00F47BBA">
            <w:pPr>
              <w:suppressAutoHyphens/>
              <w:autoSpaceDE w:val="0"/>
              <w:autoSpaceDN w:val="0"/>
              <w:adjustRightInd w:val="0"/>
              <w:rPr>
                <w:noProof/>
                <w:lang w:eastAsia="fr-FR"/>
              </w:rPr>
            </w:pPr>
          </w:p>
        </w:tc>
      </w:tr>
      <w:tr w:rsidR="00BA5882" w:rsidRPr="001879E9" w14:paraId="5D84F885" w14:textId="77777777">
        <w:trPr>
          <w:cantSplit/>
        </w:trPr>
        <w:tc>
          <w:tcPr>
            <w:tcW w:w="2500" w:type="pct"/>
          </w:tcPr>
          <w:p w14:paraId="35B304D2" w14:textId="77777777" w:rsidR="00F47BBA" w:rsidRDefault="00F47BBA">
            <w:pPr>
              <w:suppressAutoHyphens/>
              <w:rPr>
                <w:rFonts w:eastAsia="맑은 고딕"/>
                <w:b/>
                <w:noProof/>
                <w:lang w:eastAsia="fr-FR"/>
              </w:rPr>
            </w:pPr>
            <w:r>
              <w:rPr>
                <w:b/>
                <w:bCs/>
              </w:rPr>
              <w:t>България</w:t>
            </w:r>
          </w:p>
          <w:p w14:paraId="2FCCC12F" w14:textId="77777777" w:rsidR="00F47BBA" w:rsidRDefault="00F47BBA">
            <w:pPr>
              <w:tabs>
                <w:tab w:val="left" w:pos="-720"/>
              </w:tabs>
              <w:suppressAutoHyphens/>
              <w:rPr>
                <w:rFonts w:eastAsia="맑은 고딕"/>
                <w:noProof/>
                <w:lang w:eastAsia="fr-FR"/>
              </w:rPr>
            </w:pPr>
            <w:r>
              <w:rPr>
                <w:rFonts w:eastAsia="맑은 고딕"/>
                <w:noProof/>
                <w:lang w:eastAsia="fr-FR"/>
              </w:rPr>
              <w:t>Celltrion Healthcare Hungary Kft.</w:t>
            </w:r>
          </w:p>
          <w:p w14:paraId="5D1BFA32" w14:textId="77777777" w:rsidR="00F47BBA" w:rsidRDefault="00F47BBA">
            <w:pPr>
              <w:suppressAutoHyphens/>
              <w:rPr>
                <w:rFonts w:eastAsia="맑은 고딕"/>
                <w:noProof/>
                <w:lang w:eastAsia="fr-FR"/>
              </w:rPr>
            </w:pPr>
            <w:r>
              <w:rPr>
                <w:rFonts w:eastAsia="맑은 고딕"/>
                <w:noProof/>
                <w:lang w:eastAsia="fr-FR"/>
              </w:rPr>
              <w:t>Teл.: +36 1 231 0493</w:t>
            </w:r>
          </w:p>
          <w:p w14:paraId="155A2D01" w14:textId="77777777" w:rsidR="00F47BBA" w:rsidRPr="00F47BBA" w:rsidRDefault="00F47BBA">
            <w:pPr>
              <w:suppressAutoHyphens/>
              <w:rPr>
                <w:noProof/>
                <w:lang w:eastAsia="fr-FR"/>
              </w:rPr>
            </w:pPr>
          </w:p>
        </w:tc>
        <w:tc>
          <w:tcPr>
            <w:tcW w:w="2500" w:type="pct"/>
            <w:hideMark/>
          </w:tcPr>
          <w:p w14:paraId="3F7D34DD" w14:textId="77777777" w:rsidR="00F47BBA" w:rsidRDefault="00F47BBA">
            <w:pPr>
              <w:tabs>
                <w:tab w:val="left" w:pos="-720"/>
              </w:tabs>
              <w:suppressAutoHyphens/>
              <w:rPr>
                <w:noProof/>
                <w:lang w:val="de-CH" w:eastAsia="fr-FR"/>
              </w:rPr>
            </w:pPr>
            <w:r>
              <w:rPr>
                <w:rFonts w:eastAsia="맑은 고딕"/>
                <w:b/>
                <w:noProof/>
                <w:lang w:val="de-CH" w:eastAsia="fr-FR"/>
              </w:rPr>
              <w:t>Luxembourg/Luxemburg</w:t>
            </w:r>
          </w:p>
          <w:p w14:paraId="4161D049" w14:textId="77777777" w:rsidR="00F47BBA" w:rsidRDefault="00F47BBA">
            <w:pPr>
              <w:suppressAutoHyphens/>
              <w:rPr>
                <w:rFonts w:eastAsia="맑은 고딕"/>
                <w:noProof/>
                <w:lang w:val="de-CH" w:eastAsia="fr-FR"/>
              </w:rPr>
            </w:pPr>
            <w:r>
              <w:rPr>
                <w:rFonts w:eastAsia="맑은 고딕"/>
                <w:noProof/>
                <w:lang w:val="de-CH" w:eastAsia="fr-FR"/>
              </w:rPr>
              <w:t>Celltrion Healthcare Belgium BVBA</w:t>
            </w:r>
          </w:p>
          <w:p w14:paraId="60805DBB" w14:textId="77777777" w:rsidR="00F47BBA" w:rsidRDefault="00F47BBA">
            <w:pPr>
              <w:tabs>
                <w:tab w:val="left" w:pos="-720"/>
              </w:tabs>
              <w:suppressAutoHyphens/>
              <w:rPr>
                <w:rFonts w:eastAsia="맑은 고딕"/>
                <w:noProof/>
                <w:lang w:val="fr-FR" w:eastAsia="fr-FR"/>
              </w:rPr>
            </w:pPr>
            <w:r>
              <w:rPr>
                <w:rFonts w:eastAsia="맑은 고딕"/>
                <w:noProof/>
                <w:lang w:val="fr-FR" w:eastAsia="fr-FR"/>
              </w:rPr>
              <w:t xml:space="preserve">Tél/Tel: </w:t>
            </w:r>
            <w:r>
              <w:rPr>
                <w:rFonts w:eastAsia="맑은 고딕"/>
                <w:noProof/>
                <w:lang w:val="de-CH" w:eastAsia="fr-FR"/>
              </w:rPr>
              <w:t>+32 2 643 71 81</w:t>
            </w:r>
          </w:p>
          <w:p w14:paraId="3798A746" w14:textId="77777777" w:rsidR="00F47BBA" w:rsidRDefault="00F47BBA">
            <w:pPr>
              <w:suppressAutoHyphens/>
              <w:rPr>
                <w:rFonts w:eastAsia="맑은 고딕"/>
                <w:lang w:val="pt-PT" w:eastAsia="ko-KR"/>
              </w:rPr>
            </w:pPr>
            <w:r>
              <w:rPr>
                <w:rFonts w:eastAsia="맑은 고딕"/>
                <w:noProof/>
                <w:lang w:val="fr-FR" w:eastAsia="fr-FR"/>
              </w:rPr>
              <w:t>BEinfo@celltrionhc.com</w:t>
            </w:r>
          </w:p>
          <w:p w14:paraId="7656082F" w14:textId="77777777" w:rsidR="00F47BBA" w:rsidRDefault="00F47BBA">
            <w:pPr>
              <w:tabs>
                <w:tab w:val="left" w:pos="-720"/>
              </w:tabs>
              <w:suppressAutoHyphens/>
              <w:rPr>
                <w:rFonts w:eastAsia="맑은 고딕"/>
                <w:lang w:val="pt-PT" w:eastAsia="ko-KR"/>
              </w:rPr>
            </w:pPr>
          </w:p>
        </w:tc>
      </w:tr>
      <w:tr w:rsidR="00BA5882" w:rsidRPr="001879E9" w14:paraId="363DF8BC" w14:textId="77777777">
        <w:trPr>
          <w:cantSplit/>
        </w:trPr>
        <w:tc>
          <w:tcPr>
            <w:tcW w:w="2500" w:type="pct"/>
            <w:hideMark/>
          </w:tcPr>
          <w:p w14:paraId="513EF37C" w14:textId="77777777" w:rsidR="00F47BBA" w:rsidRDefault="00F47BBA">
            <w:pPr>
              <w:tabs>
                <w:tab w:val="left" w:pos="-720"/>
              </w:tabs>
              <w:suppressAutoHyphens/>
              <w:rPr>
                <w:rFonts w:eastAsia="맑은 고딕"/>
                <w:b/>
                <w:noProof/>
                <w:lang w:eastAsia="fr-FR"/>
              </w:rPr>
            </w:pPr>
            <w:r>
              <w:rPr>
                <w:rFonts w:eastAsia="맑은 고딕"/>
                <w:b/>
                <w:noProof/>
                <w:lang w:eastAsia="fr-FR"/>
              </w:rPr>
              <w:lastRenderedPageBreak/>
              <w:t>Česká republika</w:t>
            </w:r>
          </w:p>
          <w:p w14:paraId="770FCED5" w14:textId="77777777" w:rsidR="00F47BBA" w:rsidRDefault="00F47BBA">
            <w:pPr>
              <w:tabs>
                <w:tab w:val="left" w:pos="-720"/>
              </w:tabs>
              <w:suppressAutoHyphens/>
              <w:rPr>
                <w:rFonts w:eastAsia="맑은 고딕"/>
                <w:noProof/>
                <w:lang w:eastAsia="fr-FR"/>
              </w:rPr>
            </w:pPr>
            <w:r>
              <w:rPr>
                <w:rFonts w:eastAsia="맑은 고딕"/>
                <w:noProof/>
                <w:lang w:eastAsia="fr-FR"/>
              </w:rPr>
              <w:t>Celltrion Healthcare Hungary Kft.</w:t>
            </w:r>
          </w:p>
          <w:p w14:paraId="347ECC12" w14:textId="77777777" w:rsidR="00F47BBA" w:rsidRDefault="00F47BBA">
            <w:pPr>
              <w:tabs>
                <w:tab w:val="left" w:pos="-720"/>
              </w:tabs>
              <w:suppressAutoHyphens/>
              <w:rPr>
                <w:rFonts w:eastAsia="맑은 고딕"/>
                <w:noProof/>
                <w:lang w:eastAsia="fr-FR"/>
              </w:rPr>
            </w:pPr>
            <w:r>
              <w:rPr>
                <w:rFonts w:eastAsia="맑은 고딕"/>
                <w:noProof/>
                <w:lang w:eastAsia="fr-FR"/>
              </w:rPr>
              <w:t>Tel: +36 1 231 0493</w:t>
            </w:r>
          </w:p>
          <w:p w14:paraId="7F67B0C4" w14:textId="77777777" w:rsidR="00F47BBA" w:rsidRPr="00F47BBA" w:rsidRDefault="00F47BBA">
            <w:pPr>
              <w:tabs>
                <w:tab w:val="left" w:pos="-720"/>
              </w:tabs>
              <w:suppressAutoHyphens/>
              <w:rPr>
                <w:noProof/>
                <w:lang w:eastAsia="fr-FR"/>
              </w:rPr>
            </w:pPr>
          </w:p>
        </w:tc>
        <w:tc>
          <w:tcPr>
            <w:tcW w:w="2500" w:type="pct"/>
          </w:tcPr>
          <w:p w14:paraId="47F5546D" w14:textId="77777777" w:rsidR="00F47BBA" w:rsidRDefault="00F47BBA">
            <w:pPr>
              <w:suppressAutoHyphens/>
              <w:rPr>
                <w:rFonts w:eastAsia="맑은 고딕"/>
                <w:b/>
                <w:noProof/>
                <w:lang w:eastAsia="fr-FR"/>
              </w:rPr>
            </w:pPr>
            <w:r>
              <w:rPr>
                <w:b/>
                <w:noProof/>
              </w:rPr>
              <w:t>Magyarország</w:t>
            </w:r>
          </w:p>
          <w:p w14:paraId="29B4B1F1" w14:textId="77777777" w:rsidR="00F47BBA" w:rsidRDefault="00F47BBA">
            <w:pPr>
              <w:tabs>
                <w:tab w:val="left" w:pos="-720"/>
              </w:tabs>
              <w:suppressAutoHyphens/>
              <w:rPr>
                <w:rFonts w:eastAsia="맑은 고딕"/>
                <w:noProof/>
                <w:lang w:eastAsia="fr-FR"/>
              </w:rPr>
            </w:pPr>
            <w:r>
              <w:rPr>
                <w:rFonts w:eastAsia="맑은 고딕"/>
                <w:noProof/>
                <w:lang w:eastAsia="fr-FR"/>
              </w:rPr>
              <w:t>Celltrion Healthcare Hungary Kft.</w:t>
            </w:r>
          </w:p>
          <w:p w14:paraId="141B23F3" w14:textId="77777777" w:rsidR="00F47BBA" w:rsidRDefault="00F47BBA">
            <w:pPr>
              <w:suppressAutoHyphens/>
              <w:rPr>
                <w:rFonts w:eastAsia="맑은 고딕"/>
                <w:noProof/>
                <w:lang w:eastAsia="fr-FR"/>
              </w:rPr>
            </w:pPr>
            <w:r>
              <w:rPr>
                <w:rFonts w:eastAsia="맑은 고딕"/>
                <w:noProof/>
                <w:lang w:eastAsia="fr-FR"/>
              </w:rPr>
              <w:t>Tel:. +36 1 231 0493</w:t>
            </w:r>
          </w:p>
          <w:p w14:paraId="703ED9FF" w14:textId="77777777" w:rsidR="00F47BBA" w:rsidRDefault="00F47BBA">
            <w:pPr>
              <w:suppressAutoHyphens/>
              <w:rPr>
                <w:rFonts w:eastAsia="맑은 고딕"/>
                <w:noProof/>
                <w:lang w:eastAsia="ko-KR"/>
              </w:rPr>
            </w:pPr>
          </w:p>
        </w:tc>
      </w:tr>
      <w:tr w:rsidR="00BA5882" w:rsidRPr="001879E9" w14:paraId="3D724EAE" w14:textId="77777777">
        <w:trPr>
          <w:cantSplit/>
        </w:trPr>
        <w:tc>
          <w:tcPr>
            <w:tcW w:w="2500" w:type="pct"/>
            <w:hideMark/>
          </w:tcPr>
          <w:p w14:paraId="027C09C2" w14:textId="2C2D0158" w:rsidR="00F47BBA" w:rsidRDefault="00F47BBA">
            <w:pPr>
              <w:tabs>
                <w:tab w:val="left" w:pos="-720"/>
              </w:tabs>
              <w:suppressAutoHyphens/>
              <w:rPr>
                <w:b/>
                <w:bCs/>
                <w:i/>
                <w:iCs/>
                <w:noProof/>
                <w:lang w:eastAsia="fr-FR"/>
              </w:rPr>
            </w:pPr>
            <w:r>
              <w:rPr>
                <w:b/>
                <w:noProof/>
              </w:rPr>
              <w:t>D</w:t>
            </w:r>
            <w:r w:rsidR="00054925">
              <w:rPr>
                <w:rFonts w:eastAsia="맑은 고딕" w:hint="eastAsia"/>
                <w:b/>
                <w:noProof/>
                <w:lang w:eastAsia="ko-KR"/>
              </w:rPr>
              <w:t>e</w:t>
            </w:r>
            <w:r>
              <w:rPr>
                <w:b/>
                <w:noProof/>
              </w:rPr>
              <w:t>nmark</w:t>
            </w:r>
          </w:p>
          <w:p w14:paraId="6B8F1990" w14:textId="559962C3" w:rsidR="00F47BBA" w:rsidRDefault="00F47BBA">
            <w:pPr>
              <w:tabs>
                <w:tab w:val="left" w:pos="-720"/>
              </w:tabs>
              <w:suppressAutoHyphens/>
              <w:rPr>
                <w:rFonts w:eastAsia="맑은 고딕"/>
                <w:noProof/>
                <w:lang w:eastAsia="fr-FR"/>
              </w:rPr>
            </w:pPr>
            <w:r>
              <w:rPr>
                <w:rFonts w:eastAsia="맑은 고딕"/>
                <w:noProof/>
                <w:lang w:eastAsia="fr-FR"/>
              </w:rPr>
              <w:t xml:space="preserve">Celltrion Healthcare </w:t>
            </w:r>
            <w:r w:rsidR="00054925">
              <w:rPr>
                <w:rFonts w:eastAsia="맑은 고딕" w:hint="eastAsia"/>
                <w:noProof/>
                <w:lang w:eastAsia="ko-KR"/>
              </w:rPr>
              <w:t>Denmark ApS</w:t>
            </w:r>
          </w:p>
          <w:p w14:paraId="1E61D05B" w14:textId="77777777" w:rsidR="00054925" w:rsidRDefault="00F47BBA" w:rsidP="00054925">
            <w:pPr>
              <w:tabs>
                <w:tab w:val="left" w:pos="-720"/>
              </w:tabs>
              <w:suppressAutoHyphens/>
              <w:rPr>
                <w:rFonts w:eastAsia="맑은 고딕"/>
                <w:noProof/>
                <w:lang w:eastAsia="ko-KR"/>
              </w:rPr>
            </w:pPr>
            <w:r>
              <w:rPr>
                <w:rFonts w:eastAsia="맑은 고딕"/>
                <w:noProof/>
                <w:lang w:eastAsia="fr-FR"/>
              </w:rPr>
              <w:t>Tlf: +</w:t>
            </w:r>
            <w:r w:rsidR="00054925">
              <w:rPr>
                <w:rFonts w:eastAsia="맑은 고딕" w:hint="eastAsia"/>
                <w:noProof/>
                <w:lang w:eastAsia="ko-KR"/>
              </w:rPr>
              <w:t>45 3535 2989</w:t>
            </w:r>
          </w:p>
          <w:p w14:paraId="298304F5" w14:textId="77777777" w:rsidR="00054925" w:rsidRDefault="00054925" w:rsidP="00054925">
            <w:pPr>
              <w:tabs>
                <w:tab w:val="left" w:pos="-720"/>
              </w:tabs>
              <w:suppressAutoHyphens/>
              <w:rPr>
                <w:rFonts w:eastAsia="맑은 고딕"/>
                <w:noProof/>
                <w:lang w:eastAsia="ko-KR"/>
              </w:rPr>
            </w:pPr>
            <w:r w:rsidRPr="002738BB">
              <w:rPr>
                <w:rFonts w:eastAsia="맑은 고딕"/>
                <w:noProof/>
                <w:lang w:eastAsia="ko-KR"/>
              </w:rPr>
              <w:t>Contact_dk@celltrionhc.com</w:t>
            </w:r>
          </w:p>
          <w:p w14:paraId="6BD48B18" w14:textId="786EABDA" w:rsidR="00054925" w:rsidRDefault="00054925">
            <w:pPr>
              <w:tabs>
                <w:tab w:val="left" w:pos="-720"/>
              </w:tabs>
              <w:suppressAutoHyphens/>
              <w:rPr>
                <w:rFonts w:eastAsia="맑은 고딕"/>
                <w:noProof/>
                <w:lang w:eastAsia="ko-KR"/>
              </w:rPr>
            </w:pPr>
          </w:p>
        </w:tc>
        <w:tc>
          <w:tcPr>
            <w:tcW w:w="2500" w:type="pct"/>
          </w:tcPr>
          <w:p w14:paraId="53E90A22" w14:textId="77777777" w:rsidR="00F47BBA" w:rsidRPr="00F47BBA" w:rsidRDefault="00F47BBA">
            <w:pPr>
              <w:suppressAutoHyphens/>
              <w:rPr>
                <w:noProof/>
                <w:lang w:eastAsia="fr-FR"/>
              </w:rPr>
            </w:pPr>
            <w:r>
              <w:rPr>
                <w:rFonts w:eastAsia="맑은 고딕"/>
                <w:b/>
                <w:noProof/>
                <w:lang w:eastAsia="fr-FR"/>
              </w:rPr>
              <w:t>Malta</w:t>
            </w:r>
          </w:p>
          <w:p w14:paraId="2E36A247" w14:textId="77777777" w:rsidR="00F47BBA" w:rsidRDefault="00F47BBA">
            <w:pPr>
              <w:tabs>
                <w:tab w:val="left" w:pos="-720"/>
              </w:tabs>
              <w:suppressAutoHyphens/>
              <w:rPr>
                <w:rFonts w:eastAsia="맑은 고딕"/>
                <w:noProof/>
                <w:lang w:eastAsia="fr-FR"/>
              </w:rPr>
            </w:pPr>
            <w:r>
              <w:rPr>
                <w:rFonts w:eastAsia="맑은 고딕"/>
                <w:noProof/>
                <w:lang w:eastAsia="fr-FR"/>
              </w:rPr>
              <w:t>Mint Health Ltd.</w:t>
            </w:r>
          </w:p>
          <w:p w14:paraId="00FC552A" w14:textId="77777777" w:rsidR="00F47BBA" w:rsidRDefault="00F47BBA">
            <w:pPr>
              <w:suppressAutoHyphens/>
              <w:rPr>
                <w:rFonts w:eastAsia="맑은 고딕"/>
                <w:noProof/>
                <w:lang w:eastAsia="ko-KR"/>
              </w:rPr>
            </w:pPr>
            <w:r>
              <w:rPr>
                <w:rFonts w:eastAsia="맑은 고딕"/>
                <w:noProof/>
                <w:lang w:eastAsia="fr-FR"/>
              </w:rPr>
              <w:t>Tel: +356 2093 9800</w:t>
            </w:r>
          </w:p>
          <w:p w14:paraId="6B5BD7CA" w14:textId="77777777" w:rsidR="00F47BBA" w:rsidRDefault="00F47BBA">
            <w:pPr>
              <w:suppressAutoHyphens/>
              <w:rPr>
                <w:rFonts w:eastAsia="맑은 고딕"/>
                <w:noProof/>
                <w:lang w:eastAsia="ko-KR"/>
              </w:rPr>
            </w:pPr>
          </w:p>
        </w:tc>
      </w:tr>
      <w:tr w:rsidR="00BA5882" w:rsidRPr="001879E9" w14:paraId="780C253D" w14:textId="77777777">
        <w:trPr>
          <w:cantSplit/>
        </w:trPr>
        <w:tc>
          <w:tcPr>
            <w:tcW w:w="2500" w:type="pct"/>
            <w:hideMark/>
          </w:tcPr>
          <w:p w14:paraId="6541369C" w14:textId="77777777" w:rsidR="00F47BBA" w:rsidRDefault="00F47BBA">
            <w:pPr>
              <w:suppressAutoHyphens/>
              <w:rPr>
                <w:b/>
                <w:noProof/>
                <w:lang w:val="de-DE" w:eastAsia="fr-FR"/>
              </w:rPr>
            </w:pPr>
            <w:r>
              <w:rPr>
                <w:rFonts w:eastAsia="맑은 고딕"/>
                <w:b/>
                <w:noProof/>
                <w:lang w:val="de-DE" w:eastAsia="fr-FR"/>
              </w:rPr>
              <w:t>Deutschland</w:t>
            </w:r>
          </w:p>
          <w:p w14:paraId="11D8F0DE" w14:textId="77777777" w:rsidR="00F47BBA" w:rsidRDefault="00F47BBA">
            <w:pPr>
              <w:tabs>
                <w:tab w:val="left" w:pos="-720"/>
              </w:tabs>
              <w:suppressAutoHyphens/>
              <w:rPr>
                <w:rFonts w:eastAsia="맑은 고딕"/>
                <w:noProof/>
                <w:lang w:val="de-DE" w:eastAsia="fr-FR"/>
              </w:rPr>
            </w:pPr>
            <w:r>
              <w:rPr>
                <w:rFonts w:eastAsia="맑은 고딕"/>
                <w:noProof/>
                <w:lang w:val="de-DE" w:eastAsia="fr-FR"/>
              </w:rPr>
              <w:t>Celltrion Healthcare Deutschland GmbH</w:t>
            </w:r>
          </w:p>
          <w:p w14:paraId="4A9D213B" w14:textId="77777777" w:rsidR="00F47BBA" w:rsidRDefault="00F47BBA">
            <w:pPr>
              <w:tabs>
                <w:tab w:val="left" w:pos="-720"/>
              </w:tabs>
              <w:suppressAutoHyphens/>
              <w:rPr>
                <w:rFonts w:eastAsia="맑은 고딕"/>
                <w:noProof/>
                <w:lang w:val="de-DE" w:eastAsia="fr-FR"/>
              </w:rPr>
            </w:pPr>
            <w:r>
              <w:rPr>
                <w:rFonts w:eastAsia="맑은 고딕"/>
                <w:noProof/>
                <w:lang w:val="de-DE" w:eastAsia="fr-FR"/>
              </w:rPr>
              <w:t>Tel: +49(0)30 346494150</w:t>
            </w:r>
          </w:p>
          <w:p w14:paraId="0910B133" w14:textId="77777777" w:rsidR="00F47BBA" w:rsidRDefault="00F47BBA">
            <w:pPr>
              <w:tabs>
                <w:tab w:val="left" w:pos="-720"/>
              </w:tabs>
              <w:suppressAutoHyphens/>
              <w:rPr>
                <w:rFonts w:eastAsia="맑은 고딕"/>
                <w:noProof/>
                <w:lang w:val="de-DE" w:eastAsia="fr-FR"/>
              </w:rPr>
            </w:pPr>
            <w:r>
              <w:rPr>
                <w:rFonts w:eastAsia="맑은 고딕"/>
                <w:noProof/>
                <w:lang w:val="de-DE" w:eastAsia="fr-FR"/>
              </w:rPr>
              <w:t>infoDE@celltrionhc.com</w:t>
            </w:r>
          </w:p>
          <w:p w14:paraId="606AA00E" w14:textId="77777777" w:rsidR="00F47BBA" w:rsidRDefault="00F47BBA">
            <w:pPr>
              <w:tabs>
                <w:tab w:val="left" w:pos="-720"/>
              </w:tabs>
              <w:suppressAutoHyphens/>
              <w:rPr>
                <w:rFonts w:eastAsia="맑은 고딕"/>
                <w:noProof/>
                <w:lang w:val="de-DE" w:eastAsia="fr-FR"/>
              </w:rPr>
            </w:pPr>
          </w:p>
        </w:tc>
        <w:tc>
          <w:tcPr>
            <w:tcW w:w="2500" w:type="pct"/>
          </w:tcPr>
          <w:p w14:paraId="758B3191" w14:textId="77777777" w:rsidR="00F47BBA" w:rsidRPr="00F47BBA" w:rsidRDefault="00F47BBA">
            <w:pPr>
              <w:suppressAutoHyphens/>
              <w:rPr>
                <w:noProof/>
                <w:lang w:eastAsia="fr-FR"/>
              </w:rPr>
            </w:pPr>
            <w:r>
              <w:rPr>
                <w:rFonts w:eastAsia="맑은 고딕"/>
                <w:b/>
                <w:noProof/>
                <w:lang w:eastAsia="fr-FR"/>
              </w:rPr>
              <w:t>Nederland</w:t>
            </w:r>
          </w:p>
          <w:p w14:paraId="77F98ADF" w14:textId="77777777" w:rsidR="00F47BBA" w:rsidRDefault="00F47BBA">
            <w:pPr>
              <w:suppressAutoHyphens/>
              <w:rPr>
                <w:rFonts w:eastAsia="맑은 고딕"/>
                <w:noProof/>
                <w:lang w:eastAsia="fr-FR"/>
              </w:rPr>
            </w:pPr>
            <w:r>
              <w:rPr>
                <w:rFonts w:eastAsia="맑은 고딕"/>
                <w:noProof/>
                <w:lang w:eastAsia="fr-FR"/>
              </w:rPr>
              <w:t>Celltrion Healthcare Netherlands B.V.</w:t>
            </w:r>
          </w:p>
          <w:p w14:paraId="3B518F50" w14:textId="77777777" w:rsidR="00F47BBA" w:rsidRDefault="00F47BBA">
            <w:pPr>
              <w:suppressAutoHyphens/>
              <w:rPr>
                <w:rFonts w:eastAsia="맑은 고딕"/>
                <w:noProof/>
                <w:lang w:eastAsia="fr-FR"/>
              </w:rPr>
            </w:pPr>
            <w:r>
              <w:rPr>
                <w:rFonts w:eastAsia="맑은 고딕"/>
                <w:noProof/>
                <w:lang w:eastAsia="fr-FR"/>
              </w:rPr>
              <w:t>Tel: + 31 20 888 7300</w:t>
            </w:r>
          </w:p>
          <w:p w14:paraId="42F3C51B" w14:textId="0211A67D" w:rsidR="00F47BBA" w:rsidRDefault="00F47BBA">
            <w:pPr>
              <w:suppressAutoHyphens/>
              <w:rPr>
                <w:rFonts w:eastAsia="맑은 고딕"/>
                <w:noProof/>
                <w:lang w:eastAsia="fr-FR"/>
              </w:rPr>
            </w:pPr>
            <w:r>
              <w:rPr>
                <w:rFonts w:eastAsia="맑은 고딕"/>
                <w:noProof/>
                <w:lang w:eastAsia="fr-FR"/>
              </w:rPr>
              <w:t>NLinfo@celltrionh</w:t>
            </w:r>
            <w:r>
              <w:t>c</w:t>
            </w:r>
            <w:r>
              <w:rPr>
                <w:rFonts w:eastAsia="맑은 고딕"/>
                <w:noProof/>
                <w:lang w:eastAsia="fr-FR"/>
              </w:rPr>
              <w:t>.com</w:t>
            </w:r>
          </w:p>
          <w:p w14:paraId="1CDD7CDE" w14:textId="77777777" w:rsidR="00F47BBA" w:rsidRDefault="00F47BBA">
            <w:pPr>
              <w:suppressAutoHyphens/>
              <w:rPr>
                <w:rFonts w:eastAsia="맑은 고딕"/>
                <w:noProof/>
                <w:lang w:eastAsia="fr-FR"/>
              </w:rPr>
            </w:pPr>
          </w:p>
        </w:tc>
      </w:tr>
      <w:tr w:rsidR="00BA5882" w:rsidRPr="001879E9" w14:paraId="3D4E626F" w14:textId="77777777">
        <w:trPr>
          <w:cantSplit/>
        </w:trPr>
        <w:tc>
          <w:tcPr>
            <w:tcW w:w="2500" w:type="pct"/>
            <w:hideMark/>
          </w:tcPr>
          <w:p w14:paraId="04FD9824" w14:textId="77777777" w:rsidR="00F47BBA" w:rsidRDefault="00F47BBA">
            <w:pPr>
              <w:tabs>
                <w:tab w:val="left" w:pos="-720"/>
                <w:tab w:val="left" w:pos="4536"/>
              </w:tabs>
              <w:suppressAutoHyphens/>
              <w:rPr>
                <w:b/>
                <w:noProof/>
                <w:lang w:eastAsia="fr-FR"/>
              </w:rPr>
            </w:pPr>
            <w:r>
              <w:rPr>
                <w:rFonts w:eastAsia="맑은 고딕"/>
                <w:b/>
                <w:noProof/>
                <w:lang w:eastAsia="fr-FR"/>
              </w:rPr>
              <w:t>Eesti</w:t>
            </w:r>
          </w:p>
          <w:p w14:paraId="0FC23DAD" w14:textId="77777777" w:rsidR="00F47BBA" w:rsidRDefault="00F47BBA">
            <w:pPr>
              <w:tabs>
                <w:tab w:val="left" w:pos="-720"/>
              </w:tabs>
              <w:suppressAutoHyphens/>
              <w:rPr>
                <w:rFonts w:eastAsia="맑은 고딕"/>
                <w:noProof/>
                <w:lang w:eastAsia="fr-FR"/>
              </w:rPr>
            </w:pPr>
            <w:r>
              <w:rPr>
                <w:rFonts w:eastAsia="맑은 고딕"/>
                <w:noProof/>
                <w:lang w:eastAsia="fr-FR"/>
              </w:rPr>
              <w:t>Celltrion Healthcare Hungary Kft.</w:t>
            </w:r>
          </w:p>
          <w:p w14:paraId="29C4C9D9" w14:textId="77777777" w:rsidR="00F47BBA" w:rsidRDefault="00F47BBA">
            <w:pPr>
              <w:tabs>
                <w:tab w:val="left" w:pos="-720"/>
              </w:tabs>
              <w:suppressAutoHyphens/>
              <w:rPr>
                <w:rFonts w:eastAsia="맑은 고딕"/>
                <w:noProof/>
                <w:lang w:eastAsia="fr-FR"/>
              </w:rPr>
            </w:pPr>
            <w:r>
              <w:rPr>
                <w:rFonts w:eastAsia="맑은 고딕"/>
                <w:noProof/>
                <w:lang w:eastAsia="fr-FR"/>
              </w:rPr>
              <w:t>Tel: +36 1 231 0493</w:t>
            </w:r>
          </w:p>
          <w:p w14:paraId="7D8065EA" w14:textId="77777777" w:rsidR="00F47BBA" w:rsidRDefault="00F47BBA">
            <w:pPr>
              <w:tabs>
                <w:tab w:val="left" w:pos="-720"/>
              </w:tabs>
              <w:suppressAutoHyphens/>
              <w:rPr>
                <w:rFonts w:eastAsia="맑은 고딕"/>
                <w:noProof/>
                <w:lang w:val="fi-FI" w:eastAsia="ko-KR"/>
              </w:rPr>
            </w:pPr>
          </w:p>
        </w:tc>
        <w:tc>
          <w:tcPr>
            <w:tcW w:w="2500" w:type="pct"/>
          </w:tcPr>
          <w:p w14:paraId="41D2CB47" w14:textId="77777777" w:rsidR="00F47BBA" w:rsidRPr="00F47BBA" w:rsidRDefault="00F47BBA">
            <w:pPr>
              <w:tabs>
                <w:tab w:val="left" w:pos="-720"/>
              </w:tabs>
              <w:suppressAutoHyphens/>
              <w:rPr>
                <w:noProof/>
                <w:lang w:eastAsia="fr-FR"/>
              </w:rPr>
            </w:pPr>
            <w:r>
              <w:rPr>
                <w:rFonts w:eastAsia="맑은 고딕"/>
                <w:b/>
                <w:noProof/>
                <w:lang w:eastAsia="fr-FR"/>
              </w:rPr>
              <w:t>Norge</w:t>
            </w:r>
          </w:p>
          <w:p w14:paraId="02894083" w14:textId="77777777" w:rsidR="00054925" w:rsidRPr="006F04E0" w:rsidRDefault="00F47BBA" w:rsidP="00054925">
            <w:pPr>
              <w:tabs>
                <w:tab w:val="left" w:pos="-720"/>
              </w:tabs>
              <w:suppressAutoHyphens/>
              <w:rPr>
                <w:rFonts w:eastAsia="맑은 고딕"/>
                <w:noProof/>
                <w:lang w:eastAsia="fr-FR"/>
              </w:rPr>
            </w:pPr>
            <w:r>
              <w:rPr>
                <w:rFonts w:eastAsia="맑은 고딕"/>
                <w:noProof/>
                <w:lang w:eastAsia="fr-FR"/>
              </w:rPr>
              <w:t xml:space="preserve">Celltrion Healthcare </w:t>
            </w:r>
            <w:r w:rsidR="00054925" w:rsidRPr="006F04E0">
              <w:rPr>
                <w:rFonts w:eastAsia="맑은 고딕"/>
                <w:noProof/>
                <w:lang w:eastAsia="fr-FR"/>
              </w:rPr>
              <w:t>Norway AS</w:t>
            </w:r>
          </w:p>
          <w:p w14:paraId="52156EAB" w14:textId="5C467395" w:rsidR="00F47BBA" w:rsidRDefault="00054925">
            <w:pPr>
              <w:tabs>
                <w:tab w:val="left" w:pos="-720"/>
              </w:tabs>
              <w:suppressAutoHyphens/>
              <w:rPr>
                <w:rFonts w:eastAsia="맑은 고딕"/>
                <w:noProof/>
                <w:lang w:eastAsia="ko-KR"/>
              </w:rPr>
            </w:pPr>
            <w:r w:rsidRPr="006F04E0">
              <w:rPr>
                <w:rFonts w:eastAsia="맑은 고딕"/>
                <w:noProof/>
                <w:lang w:eastAsia="fr-FR"/>
              </w:rPr>
              <w:t>Contact_no@celltrionhc.com</w:t>
            </w:r>
            <w:r w:rsidRPr="006F04E0" w:rsidDel="006F04E0">
              <w:rPr>
                <w:rFonts w:eastAsia="맑은 고딕"/>
                <w:noProof/>
                <w:lang w:eastAsia="fr-FR"/>
              </w:rPr>
              <w:t xml:space="preserve"> </w:t>
            </w:r>
          </w:p>
          <w:p w14:paraId="70991F30" w14:textId="77777777" w:rsidR="00054925" w:rsidRPr="00054925" w:rsidRDefault="00054925">
            <w:pPr>
              <w:tabs>
                <w:tab w:val="left" w:pos="-720"/>
              </w:tabs>
              <w:suppressAutoHyphens/>
              <w:rPr>
                <w:rFonts w:eastAsia="맑은 고딕"/>
                <w:noProof/>
                <w:lang w:eastAsia="ko-KR"/>
              </w:rPr>
            </w:pPr>
          </w:p>
        </w:tc>
      </w:tr>
      <w:tr w:rsidR="00BA5882" w:rsidRPr="00ED6BAC" w14:paraId="6C003765" w14:textId="77777777">
        <w:trPr>
          <w:cantSplit/>
        </w:trPr>
        <w:tc>
          <w:tcPr>
            <w:tcW w:w="2500" w:type="pct"/>
            <w:hideMark/>
          </w:tcPr>
          <w:p w14:paraId="032308AE" w14:textId="77777777" w:rsidR="00F47BBA" w:rsidRDefault="00F47BBA">
            <w:pPr>
              <w:suppressAutoHyphens/>
              <w:rPr>
                <w:noProof/>
                <w:lang w:val="es-ES_tradnl" w:eastAsia="fr-FR"/>
              </w:rPr>
            </w:pPr>
            <w:r>
              <w:rPr>
                <w:b/>
                <w:noProof/>
                <w:lang w:val="es-ES_tradnl"/>
              </w:rPr>
              <w:t>España</w:t>
            </w:r>
          </w:p>
          <w:p w14:paraId="7210B235" w14:textId="77777777" w:rsidR="00F47BBA" w:rsidRDefault="00F47BBA">
            <w:pPr>
              <w:suppressAutoHyphens/>
              <w:rPr>
                <w:rFonts w:eastAsia="맑은 고딕"/>
                <w:noProof/>
                <w:lang w:val="es-ES_tradnl" w:eastAsia="fr-FR"/>
              </w:rPr>
            </w:pPr>
            <w:r>
              <w:rPr>
                <w:rFonts w:eastAsia="맑은 고딕"/>
                <w:noProof/>
                <w:lang w:val="es-ES_tradnl" w:eastAsia="fr-FR"/>
              </w:rPr>
              <w:t>CELLTRION FARMACEUTICA (ESPAÑA) S.L..</w:t>
            </w:r>
          </w:p>
          <w:p w14:paraId="0591818A" w14:textId="6A19B584" w:rsidR="00F47BBA" w:rsidRDefault="00F47BBA">
            <w:pPr>
              <w:suppressAutoHyphens/>
              <w:rPr>
                <w:rFonts w:eastAsia="맑은 고딕"/>
                <w:noProof/>
                <w:lang w:eastAsia="ko-KR"/>
              </w:rPr>
            </w:pPr>
            <w:r>
              <w:rPr>
                <w:rFonts w:eastAsia="맑은 고딕"/>
                <w:noProof/>
                <w:lang w:eastAsia="fr-FR"/>
              </w:rPr>
              <w:t xml:space="preserve">Tel: +34 </w:t>
            </w:r>
            <w:r w:rsidR="00873C80">
              <w:rPr>
                <w:rFonts w:eastAsia="맑은 고딕" w:hint="eastAsia"/>
                <w:noProof/>
                <w:lang w:eastAsia="ko-KR"/>
              </w:rPr>
              <w:t>910 498 478</w:t>
            </w:r>
          </w:p>
          <w:p w14:paraId="3A232CED" w14:textId="77777777" w:rsidR="00F47BBA" w:rsidRDefault="00F47BBA">
            <w:pPr>
              <w:suppressAutoHyphens/>
              <w:rPr>
                <w:b/>
                <w:noProof/>
                <w:lang w:eastAsia="fr-FR"/>
              </w:rPr>
            </w:pPr>
          </w:p>
        </w:tc>
        <w:tc>
          <w:tcPr>
            <w:tcW w:w="2500" w:type="pct"/>
          </w:tcPr>
          <w:p w14:paraId="727F56DD" w14:textId="77777777" w:rsidR="00F47BBA" w:rsidRDefault="00F47BBA">
            <w:pPr>
              <w:suppressAutoHyphens/>
              <w:rPr>
                <w:noProof/>
                <w:lang w:val="de-DE" w:eastAsia="fr-FR"/>
              </w:rPr>
            </w:pPr>
            <w:r>
              <w:rPr>
                <w:b/>
                <w:noProof/>
                <w:lang w:val="de-DE"/>
              </w:rPr>
              <w:t>Österreich</w:t>
            </w:r>
          </w:p>
          <w:p w14:paraId="1A34432A" w14:textId="77777777" w:rsidR="00F47BBA" w:rsidRDefault="00F47BBA">
            <w:pPr>
              <w:suppressAutoHyphens/>
              <w:rPr>
                <w:rFonts w:eastAsia="맑은 고딕"/>
                <w:noProof/>
                <w:lang w:val="de-DE" w:eastAsia="ko-KR"/>
              </w:rPr>
            </w:pPr>
            <w:r>
              <w:rPr>
                <w:rFonts w:eastAsia="맑은 고딕"/>
                <w:noProof/>
                <w:lang w:val="de-DE" w:eastAsia="fr-FR"/>
              </w:rPr>
              <w:t>Astro-Pharma GmbH</w:t>
            </w:r>
          </w:p>
          <w:p w14:paraId="620164DE" w14:textId="77777777" w:rsidR="00F47BBA" w:rsidRDefault="00F47BBA">
            <w:pPr>
              <w:tabs>
                <w:tab w:val="left" w:pos="-720"/>
              </w:tabs>
              <w:suppressAutoHyphens/>
              <w:rPr>
                <w:rFonts w:eastAsia="맑은 고딕"/>
                <w:noProof/>
                <w:lang w:val="de-DE" w:eastAsia="fr-FR"/>
              </w:rPr>
            </w:pPr>
            <w:r>
              <w:rPr>
                <w:rFonts w:eastAsia="맑은 고딕"/>
                <w:noProof/>
                <w:lang w:val="de-DE" w:eastAsia="fr-FR"/>
              </w:rPr>
              <w:t>Tel: +43 1 97 99 860</w:t>
            </w:r>
          </w:p>
          <w:p w14:paraId="6A8784D8" w14:textId="77777777" w:rsidR="00F47BBA" w:rsidRDefault="00F47BBA">
            <w:pPr>
              <w:tabs>
                <w:tab w:val="left" w:pos="-720"/>
              </w:tabs>
              <w:suppressAutoHyphens/>
              <w:rPr>
                <w:noProof/>
                <w:lang w:val="de-DE" w:eastAsia="fr-FR"/>
              </w:rPr>
            </w:pPr>
          </w:p>
        </w:tc>
      </w:tr>
      <w:tr w:rsidR="00BA5882" w:rsidRPr="001879E9" w14:paraId="0F596F76" w14:textId="77777777">
        <w:trPr>
          <w:cantSplit/>
        </w:trPr>
        <w:tc>
          <w:tcPr>
            <w:tcW w:w="2500" w:type="pct"/>
          </w:tcPr>
          <w:p w14:paraId="5F5A113B" w14:textId="77777777" w:rsidR="00F47BBA" w:rsidRDefault="00F47BBA">
            <w:pPr>
              <w:suppressAutoHyphens/>
              <w:rPr>
                <w:b/>
                <w:noProof/>
                <w:lang w:val="el-GR" w:eastAsia="fr-FR"/>
              </w:rPr>
            </w:pPr>
            <w:r>
              <w:rPr>
                <w:b/>
                <w:noProof/>
                <w:lang w:val="el-GR" w:eastAsia="fr-FR"/>
              </w:rPr>
              <w:t>Ελλάδα</w:t>
            </w:r>
          </w:p>
          <w:p w14:paraId="1D53E1DF" w14:textId="77777777" w:rsidR="00F47BBA" w:rsidRDefault="00F47BBA">
            <w:pPr>
              <w:suppressAutoHyphens/>
              <w:rPr>
                <w:noProof/>
                <w:lang w:val="el-GR" w:eastAsia="fr-FR"/>
              </w:rPr>
            </w:pPr>
            <w:r>
              <w:rPr>
                <w:noProof/>
                <w:lang w:val="el-GR" w:eastAsia="fr-FR"/>
              </w:rPr>
              <w:t>ΒΙΑΝΕΞ Α.Ε.</w:t>
            </w:r>
          </w:p>
          <w:p w14:paraId="360CEEE5" w14:textId="77777777" w:rsidR="00F47BBA" w:rsidRDefault="00F47BBA">
            <w:pPr>
              <w:suppressAutoHyphens/>
              <w:rPr>
                <w:noProof/>
                <w:lang w:val="el-GR" w:eastAsia="fr-FR"/>
              </w:rPr>
            </w:pPr>
            <w:r>
              <w:rPr>
                <w:noProof/>
                <w:lang w:val="el-GR" w:eastAsia="fr-FR"/>
              </w:rPr>
              <w:t xml:space="preserve">Τηλ: +30 210 8009111 </w:t>
            </w:r>
          </w:p>
          <w:p w14:paraId="29359A97" w14:textId="77777777" w:rsidR="00F47BBA" w:rsidRDefault="00F47BBA">
            <w:pPr>
              <w:suppressAutoHyphens/>
              <w:rPr>
                <w:rFonts w:eastAsia="맑은 고딕"/>
                <w:noProof/>
                <w:lang w:val="el-GR" w:eastAsia="fr-FR"/>
              </w:rPr>
            </w:pPr>
          </w:p>
        </w:tc>
        <w:tc>
          <w:tcPr>
            <w:tcW w:w="2500" w:type="pct"/>
          </w:tcPr>
          <w:p w14:paraId="08784CB4" w14:textId="77777777" w:rsidR="00F47BBA" w:rsidRDefault="00F47BBA">
            <w:pPr>
              <w:suppressAutoHyphens/>
              <w:rPr>
                <w:rFonts w:eastAsia="맑은 고딕"/>
                <w:b/>
                <w:noProof/>
                <w:lang w:val="pl-PL" w:eastAsia="fr-FR"/>
              </w:rPr>
            </w:pPr>
            <w:r>
              <w:rPr>
                <w:rFonts w:eastAsia="맑은 고딕"/>
                <w:b/>
                <w:noProof/>
                <w:lang w:val="pl-PL" w:eastAsia="fr-FR"/>
              </w:rPr>
              <w:t>Polska</w:t>
            </w:r>
          </w:p>
          <w:p w14:paraId="0A235190" w14:textId="77777777" w:rsidR="00F47BBA" w:rsidRDefault="00F47BBA">
            <w:pPr>
              <w:tabs>
                <w:tab w:val="left" w:pos="-720"/>
              </w:tabs>
              <w:suppressAutoHyphens/>
              <w:rPr>
                <w:rFonts w:eastAsia="맑은 고딕"/>
                <w:noProof/>
                <w:lang w:eastAsia="fr-FR"/>
              </w:rPr>
            </w:pPr>
            <w:r>
              <w:rPr>
                <w:rFonts w:eastAsia="맑은 고딕"/>
                <w:noProof/>
                <w:lang w:eastAsia="fr-FR"/>
              </w:rPr>
              <w:t>Celltrion Healthcare Hungary Kft.</w:t>
            </w:r>
          </w:p>
          <w:p w14:paraId="07FCAF52" w14:textId="77777777" w:rsidR="00F47BBA" w:rsidRDefault="00F47BBA">
            <w:pPr>
              <w:suppressAutoHyphens/>
              <w:rPr>
                <w:rFonts w:eastAsia="맑은 고딕"/>
                <w:noProof/>
                <w:lang w:eastAsia="fr-FR"/>
              </w:rPr>
            </w:pPr>
            <w:r>
              <w:rPr>
                <w:rFonts w:eastAsia="맑은 고딕"/>
                <w:noProof/>
                <w:lang w:eastAsia="fr-FR"/>
              </w:rPr>
              <w:t>Tel.: +36 1 231 0493</w:t>
            </w:r>
          </w:p>
          <w:p w14:paraId="03DEA480" w14:textId="77777777" w:rsidR="00F47BBA" w:rsidRDefault="00F47BBA">
            <w:pPr>
              <w:suppressAutoHyphens/>
              <w:rPr>
                <w:b/>
                <w:noProof/>
              </w:rPr>
            </w:pPr>
          </w:p>
        </w:tc>
      </w:tr>
      <w:tr w:rsidR="00BA5882" w:rsidRPr="001879E9" w14:paraId="488E62B2" w14:textId="77777777">
        <w:trPr>
          <w:cantSplit/>
        </w:trPr>
        <w:tc>
          <w:tcPr>
            <w:tcW w:w="2500" w:type="pct"/>
          </w:tcPr>
          <w:p w14:paraId="7515B4BE" w14:textId="77777777" w:rsidR="00F47BBA" w:rsidRDefault="00F47BBA">
            <w:pPr>
              <w:suppressAutoHyphens/>
              <w:rPr>
                <w:b/>
                <w:noProof/>
                <w:lang w:eastAsia="ko-KR"/>
              </w:rPr>
            </w:pPr>
            <w:r>
              <w:rPr>
                <w:b/>
                <w:noProof/>
                <w:lang w:eastAsia="ko-KR"/>
              </w:rPr>
              <w:t>France</w:t>
            </w:r>
          </w:p>
          <w:p w14:paraId="5CC3C3AC" w14:textId="77777777" w:rsidR="00F47BBA" w:rsidRPr="00F47BBA" w:rsidRDefault="00F47BBA">
            <w:pPr>
              <w:suppressAutoHyphens/>
              <w:rPr>
                <w:noProof/>
                <w:lang w:eastAsia="ko-KR"/>
              </w:rPr>
            </w:pPr>
            <w:r w:rsidRPr="00F47BBA">
              <w:rPr>
                <w:noProof/>
                <w:lang w:eastAsia="ko-KR"/>
              </w:rPr>
              <w:t>Celltrion Healthcare France SAS</w:t>
            </w:r>
          </w:p>
          <w:p w14:paraId="5D3697FE" w14:textId="77777777" w:rsidR="00F47BBA" w:rsidRDefault="00F47BBA">
            <w:pPr>
              <w:suppressAutoHyphens/>
              <w:rPr>
                <w:rFonts w:eastAsia="맑은 고딕"/>
                <w:noProof/>
                <w:lang w:eastAsia="ko-KR"/>
              </w:rPr>
            </w:pPr>
            <w:r>
              <w:rPr>
                <w:noProof/>
                <w:lang w:eastAsia="ko-KR"/>
              </w:rPr>
              <w:t>T</w:t>
            </w:r>
            <w:proofErr w:type="spellStart"/>
            <w:r>
              <w:t>é</w:t>
            </w:r>
            <w:r>
              <w:rPr>
                <w:noProof/>
                <w:lang w:eastAsia="ko-KR"/>
              </w:rPr>
              <w:t>l</w:t>
            </w:r>
            <w:proofErr w:type="spellEnd"/>
            <w:r>
              <w:rPr>
                <w:noProof/>
                <w:lang w:eastAsia="ko-KR"/>
              </w:rPr>
              <w:t>.:</w:t>
            </w:r>
            <w:r w:rsidRPr="00F47BBA">
              <w:rPr>
                <w:noProof/>
                <w:lang w:eastAsia="ko-KR"/>
              </w:rPr>
              <w:t xml:space="preserve"> +33 (0)1 71 25 27 00</w:t>
            </w:r>
          </w:p>
          <w:p w14:paraId="1271C471" w14:textId="77777777" w:rsidR="00F47BBA" w:rsidRDefault="00F47BBA">
            <w:pPr>
              <w:suppressAutoHyphens/>
              <w:rPr>
                <w:rFonts w:eastAsia="맑은 고딕"/>
                <w:noProof/>
                <w:lang w:eastAsia="fr-FR"/>
              </w:rPr>
            </w:pPr>
          </w:p>
        </w:tc>
        <w:tc>
          <w:tcPr>
            <w:tcW w:w="2500" w:type="pct"/>
          </w:tcPr>
          <w:p w14:paraId="3189DC5F" w14:textId="77777777" w:rsidR="00F47BBA" w:rsidRDefault="00F47BBA">
            <w:pPr>
              <w:suppressAutoHyphens/>
              <w:autoSpaceDE w:val="0"/>
              <w:autoSpaceDN w:val="0"/>
              <w:adjustRightInd w:val="0"/>
              <w:rPr>
                <w:noProof/>
                <w:lang w:val="pt-PT" w:eastAsia="fr-FR"/>
              </w:rPr>
            </w:pPr>
            <w:r>
              <w:rPr>
                <w:rFonts w:eastAsia="맑은 고딕"/>
                <w:b/>
                <w:noProof/>
                <w:lang w:val="pt-PT" w:eastAsia="fr-FR"/>
              </w:rPr>
              <w:t>Portugal</w:t>
            </w:r>
          </w:p>
          <w:p w14:paraId="10D800A1" w14:textId="77777777" w:rsidR="00F47BBA" w:rsidRDefault="00F47BBA">
            <w:pPr>
              <w:suppressAutoHyphens/>
              <w:autoSpaceDE w:val="0"/>
              <w:autoSpaceDN w:val="0"/>
              <w:adjustRightInd w:val="0"/>
              <w:rPr>
                <w:rFonts w:eastAsia="맑은 고딕"/>
                <w:noProof/>
                <w:lang w:val="pt-PT" w:eastAsia="ko-KR"/>
              </w:rPr>
            </w:pPr>
            <w:r>
              <w:rPr>
                <w:rFonts w:eastAsia="맑은 고딕"/>
                <w:noProof/>
                <w:lang w:val="pt-PT" w:eastAsia="fr-FR"/>
              </w:rPr>
              <w:t>CELLTRION PORTUGAL, UNIPESSOAL LDA.</w:t>
            </w:r>
          </w:p>
          <w:p w14:paraId="499CEB57" w14:textId="77777777" w:rsidR="00F47BBA" w:rsidRDefault="00F47BBA">
            <w:pPr>
              <w:suppressAutoHyphens/>
              <w:rPr>
                <w:b/>
              </w:rPr>
            </w:pPr>
            <w:r>
              <w:t>Tel</w:t>
            </w:r>
            <w:r w:rsidRPr="00F47BBA">
              <w:t xml:space="preserve">: </w:t>
            </w:r>
            <w:r>
              <w:rPr>
                <w:rFonts w:eastAsia="맑은 고딕"/>
                <w:noProof/>
                <w:lang w:val="pt-BR" w:eastAsia="fr-FR"/>
              </w:rPr>
              <w:t>+351 21 936 8542</w:t>
            </w:r>
          </w:p>
          <w:p w14:paraId="23FD540E" w14:textId="77777777" w:rsidR="00F47BBA" w:rsidRDefault="00F47BBA">
            <w:pPr>
              <w:suppressAutoHyphens/>
              <w:rPr>
                <w:b/>
                <w:noProof/>
              </w:rPr>
            </w:pPr>
          </w:p>
        </w:tc>
      </w:tr>
      <w:tr w:rsidR="00BA5882" w:rsidRPr="001879E9" w14:paraId="73687609" w14:textId="77777777">
        <w:trPr>
          <w:cantSplit/>
        </w:trPr>
        <w:tc>
          <w:tcPr>
            <w:tcW w:w="2500" w:type="pct"/>
          </w:tcPr>
          <w:p w14:paraId="196D16B1" w14:textId="77777777" w:rsidR="00F47BBA" w:rsidRDefault="00F47BBA">
            <w:pPr>
              <w:suppressAutoHyphens/>
              <w:rPr>
                <w:b/>
                <w:noProof/>
                <w:lang w:val="de-CH" w:eastAsia="ko-KR"/>
              </w:rPr>
            </w:pPr>
            <w:r>
              <w:rPr>
                <w:b/>
                <w:noProof/>
                <w:lang w:val="de-CH" w:eastAsia="ko-KR"/>
              </w:rPr>
              <w:t>Hrvatska</w:t>
            </w:r>
          </w:p>
          <w:p w14:paraId="090C377B" w14:textId="77777777" w:rsidR="00F47BBA" w:rsidRDefault="00F47BBA">
            <w:pPr>
              <w:suppressAutoHyphens/>
              <w:rPr>
                <w:noProof/>
                <w:lang w:val="de-CH" w:eastAsia="ko-KR"/>
              </w:rPr>
            </w:pPr>
            <w:r>
              <w:rPr>
                <w:noProof/>
                <w:lang w:val="de-CH" w:eastAsia="ko-KR"/>
              </w:rPr>
              <w:t>Oktal Pharma d.o.o.</w:t>
            </w:r>
          </w:p>
          <w:p w14:paraId="34B91F7C" w14:textId="77777777" w:rsidR="00F47BBA" w:rsidRPr="00F47BBA" w:rsidRDefault="00F47BBA">
            <w:pPr>
              <w:suppressAutoHyphens/>
              <w:rPr>
                <w:noProof/>
                <w:lang w:eastAsia="ko-KR"/>
              </w:rPr>
            </w:pPr>
            <w:r>
              <w:rPr>
                <w:noProof/>
                <w:lang w:eastAsia="ko-KR"/>
              </w:rPr>
              <w:t>Tel:</w:t>
            </w:r>
            <w:r w:rsidRPr="00F47BBA">
              <w:rPr>
                <w:noProof/>
                <w:lang w:eastAsia="ko-KR"/>
              </w:rPr>
              <w:t xml:space="preserve"> +385 1 6595 777</w:t>
            </w:r>
          </w:p>
          <w:p w14:paraId="3CF99B8F" w14:textId="77777777" w:rsidR="00F47BBA" w:rsidRDefault="00F47BBA">
            <w:pPr>
              <w:suppressAutoHyphens/>
              <w:rPr>
                <w:rFonts w:eastAsia="맑은 고딕"/>
                <w:noProof/>
                <w:lang w:eastAsia="fr-FR"/>
              </w:rPr>
            </w:pPr>
          </w:p>
        </w:tc>
        <w:tc>
          <w:tcPr>
            <w:tcW w:w="2500" w:type="pct"/>
          </w:tcPr>
          <w:p w14:paraId="4ED189AD" w14:textId="77777777" w:rsidR="00F47BBA" w:rsidRDefault="00F47BBA">
            <w:pPr>
              <w:tabs>
                <w:tab w:val="left" w:pos="-720"/>
              </w:tabs>
              <w:suppressAutoHyphens/>
              <w:rPr>
                <w:rFonts w:eastAsia="맑은 고딕"/>
                <w:b/>
                <w:noProof/>
                <w:lang w:eastAsia="fr-FR"/>
              </w:rPr>
            </w:pPr>
            <w:r>
              <w:rPr>
                <w:b/>
                <w:noProof/>
              </w:rPr>
              <w:t>România</w:t>
            </w:r>
          </w:p>
          <w:p w14:paraId="579B8BB0" w14:textId="77777777" w:rsidR="00F47BBA" w:rsidRDefault="00F47BBA">
            <w:pPr>
              <w:tabs>
                <w:tab w:val="left" w:pos="-720"/>
              </w:tabs>
              <w:suppressAutoHyphens/>
              <w:rPr>
                <w:rFonts w:eastAsia="맑은 고딕"/>
                <w:noProof/>
                <w:lang w:eastAsia="fr-FR"/>
              </w:rPr>
            </w:pPr>
            <w:r>
              <w:rPr>
                <w:rFonts w:eastAsia="맑은 고딕"/>
                <w:noProof/>
                <w:lang w:eastAsia="fr-FR"/>
              </w:rPr>
              <w:t>Celltrion Healthcare Hungary Kft.</w:t>
            </w:r>
          </w:p>
          <w:p w14:paraId="054AB09D" w14:textId="77777777" w:rsidR="00F47BBA" w:rsidRDefault="00F47BBA">
            <w:pPr>
              <w:suppressAutoHyphens/>
              <w:rPr>
                <w:rFonts w:eastAsia="맑은 고딕"/>
                <w:noProof/>
                <w:lang w:eastAsia="fr-FR"/>
              </w:rPr>
            </w:pPr>
            <w:r>
              <w:rPr>
                <w:rFonts w:eastAsia="맑은 고딕"/>
                <w:noProof/>
                <w:lang w:eastAsia="fr-FR"/>
              </w:rPr>
              <w:t>Tel: +36 1 231 0493</w:t>
            </w:r>
          </w:p>
          <w:p w14:paraId="1D662A10" w14:textId="77777777" w:rsidR="00F47BBA" w:rsidRDefault="00F47BBA">
            <w:pPr>
              <w:suppressAutoHyphens/>
              <w:rPr>
                <w:b/>
                <w:noProof/>
              </w:rPr>
            </w:pPr>
          </w:p>
        </w:tc>
      </w:tr>
      <w:tr w:rsidR="00BA5882" w:rsidRPr="001879E9" w14:paraId="1538C9ED" w14:textId="77777777">
        <w:trPr>
          <w:cantSplit/>
        </w:trPr>
        <w:tc>
          <w:tcPr>
            <w:tcW w:w="2500" w:type="pct"/>
          </w:tcPr>
          <w:p w14:paraId="09852964" w14:textId="77777777" w:rsidR="00F47BBA" w:rsidRPr="00F47BBA" w:rsidRDefault="00F47BBA">
            <w:pPr>
              <w:tabs>
                <w:tab w:val="left" w:pos="-720"/>
              </w:tabs>
              <w:suppressAutoHyphens/>
              <w:rPr>
                <w:noProof/>
                <w:lang w:eastAsia="fr-FR"/>
              </w:rPr>
            </w:pPr>
            <w:r>
              <w:rPr>
                <w:rFonts w:eastAsia="맑은 고딕"/>
                <w:b/>
                <w:noProof/>
                <w:lang w:eastAsia="fr-FR"/>
              </w:rPr>
              <w:t>Ireland</w:t>
            </w:r>
          </w:p>
          <w:p w14:paraId="54918704" w14:textId="77777777" w:rsidR="00F47BBA" w:rsidRDefault="00F47BBA">
            <w:pPr>
              <w:suppressAutoHyphens/>
              <w:rPr>
                <w:rFonts w:eastAsia="맑은 고딕"/>
                <w:noProof/>
                <w:lang w:eastAsia="fr-FR"/>
              </w:rPr>
            </w:pPr>
            <w:r>
              <w:rPr>
                <w:rFonts w:eastAsia="맑은 고딕"/>
                <w:noProof/>
                <w:lang w:eastAsia="fr-FR"/>
              </w:rPr>
              <w:t>Celltrion Healthcare Ireland Limited</w:t>
            </w:r>
          </w:p>
          <w:p w14:paraId="6DF58C4D" w14:textId="77777777" w:rsidR="00F47BBA" w:rsidRDefault="00F47BBA">
            <w:pPr>
              <w:suppressAutoHyphens/>
              <w:rPr>
                <w:rFonts w:eastAsia="맑은 고딕"/>
                <w:noProof/>
                <w:lang w:eastAsia="fr-FR"/>
              </w:rPr>
            </w:pPr>
            <w:r>
              <w:rPr>
                <w:rFonts w:eastAsia="맑은 고딕"/>
                <w:noProof/>
                <w:lang w:eastAsia="fr-FR"/>
              </w:rPr>
              <w:t>Tel: +353 1 223 4026</w:t>
            </w:r>
          </w:p>
          <w:p w14:paraId="00145CBD" w14:textId="77777777" w:rsidR="00F47BBA" w:rsidRDefault="00F47BBA">
            <w:pPr>
              <w:suppressAutoHyphens/>
              <w:rPr>
                <w:rFonts w:eastAsia="맑은 고딕"/>
                <w:noProof/>
                <w:lang w:eastAsia="fr-FR"/>
              </w:rPr>
            </w:pPr>
          </w:p>
        </w:tc>
        <w:tc>
          <w:tcPr>
            <w:tcW w:w="2500" w:type="pct"/>
          </w:tcPr>
          <w:p w14:paraId="28366E64" w14:textId="77777777" w:rsidR="00F47BBA" w:rsidRDefault="00F47BBA">
            <w:pPr>
              <w:suppressAutoHyphens/>
              <w:rPr>
                <w:rFonts w:eastAsia="맑은 고딕"/>
                <w:b/>
                <w:noProof/>
                <w:lang w:val="it-IT" w:eastAsia="fr-FR"/>
              </w:rPr>
            </w:pPr>
            <w:r>
              <w:rPr>
                <w:rFonts w:eastAsia="맑은 고딕"/>
                <w:b/>
                <w:noProof/>
                <w:lang w:val="it-IT" w:eastAsia="fr-FR"/>
              </w:rPr>
              <w:t>Slovenija</w:t>
            </w:r>
          </w:p>
          <w:p w14:paraId="4B35C0DB" w14:textId="77777777" w:rsidR="00F47BBA" w:rsidRDefault="00F47BBA">
            <w:pPr>
              <w:suppressAutoHyphens/>
              <w:rPr>
                <w:rFonts w:eastAsia="맑은 고딕"/>
                <w:noProof/>
                <w:lang w:val="it-IT" w:eastAsia="fr-FR"/>
              </w:rPr>
            </w:pPr>
            <w:r>
              <w:rPr>
                <w:rFonts w:eastAsia="맑은 고딕"/>
                <w:noProof/>
                <w:lang w:val="it-IT" w:eastAsia="fr-FR"/>
              </w:rPr>
              <w:t>OPH Oktal Pharma d.o.o.</w:t>
            </w:r>
          </w:p>
          <w:p w14:paraId="68346075" w14:textId="77777777" w:rsidR="00F47BBA" w:rsidRDefault="00F47BBA">
            <w:pPr>
              <w:suppressAutoHyphens/>
              <w:rPr>
                <w:rFonts w:eastAsia="맑은 고딕"/>
                <w:noProof/>
                <w:lang w:eastAsia="fr-FR"/>
              </w:rPr>
            </w:pPr>
            <w:r>
              <w:rPr>
                <w:rFonts w:eastAsia="맑은 고딕"/>
                <w:noProof/>
                <w:lang w:eastAsia="fr-FR"/>
              </w:rPr>
              <w:t>Tel.: +386 1 519 29 22</w:t>
            </w:r>
          </w:p>
          <w:p w14:paraId="3C654C9C" w14:textId="77777777" w:rsidR="00F47BBA" w:rsidRDefault="00F47BBA">
            <w:pPr>
              <w:suppressAutoHyphens/>
              <w:rPr>
                <w:b/>
                <w:noProof/>
              </w:rPr>
            </w:pPr>
          </w:p>
        </w:tc>
      </w:tr>
      <w:tr w:rsidR="00BA5882" w:rsidRPr="001879E9" w14:paraId="0D836204" w14:textId="77777777">
        <w:trPr>
          <w:cantSplit/>
        </w:trPr>
        <w:tc>
          <w:tcPr>
            <w:tcW w:w="2500" w:type="pct"/>
          </w:tcPr>
          <w:p w14:paraId="3EA746FD" w14:textId="77777777" w:rsidR="00F47BBA" w:rsidRDefault="00F47BBA">
            <w:pPr>
              <w:suppressAutoHyphens/>
              <w:rPr>
                <w:rFonts w:eastAsia="맑은 고딕"/>
                <w:noProof/>
                <w:lang w:eastAsia="fr-FR"/>
              </w:rPr>
            </w:pPr>
            <w:r>
              <w:rPr>
                <w:rFonts w:eastAsia="맑은 고딕"/>
                <w:b/>
                <w:noProof/>
                <w:lang w:eastAsia="fr-FR"/>
              </w:rPr>
              <w:t>Ísland</w:t>
            </w:r>
          </w:p>
          <w:p w14:paraId="325B3319" w14:textId="77777777" w:rsidR="00F47BBA" w:rsidRDefault="00F47BBA">
            <w:pPr>
              <w:tabs>
                <w:tab w:val="left" w:pos="-720"/>
              </w:tabs>
              <w:suppressAutoHyphens/>
              <w:rPr>
                <w:rFonts w:eastAsia="맑은 고딕"/>
                <w:noProof/>
                <w:lang w:eastAsia="fr-FR"/>
              </w:rPr>
            </w:pPr>
            <w:r>
              <w:rPr>
                <w:rFonts w:eastAsia="맑은 고딕"/>
                <w:noProof/>
                <w:lang w:eastAsia="fr-FR"/>
              </w:rPr>
              <w:t>Celltrion Healthcare Hungary Kft.</w:t>
            </w:r>
          </w:p>
          <w:p w14:paraId="6FC42217" w14:textId="77777777" w:rsidR="00F47BBA" w:rsidRDefault="00F47BBA">
            <w:pPr>
              <w:suppressAutoHyphens/>
              <w:rPr>
                <w:rFonts w:eastAsia="맑은 고딕"/>
                <w:noProof/>
                <w:lang w:eastAsia="fr-FR"/>
              </w:rPr>
            </w:pPr>
            <w:r>
              <w:rPr>
                <w:rFonts w:eastAsia="맑은 고딕"/>
                <w:noProof/>
                <w:lang w:eastAsia="fr-FR"/>
              </w:rPr>
              <w:t>Sími: +36 1 231 0493</w:t>
            </w:r>
          </w:p>
          <w:p w14:paraId="525CCEA8" w14:textId="77777777" w:rsidR="00F47BBA" w:rsidRDefault="00F47BBA">
            <w:pPr>
              <w:suppressAutoHyphens/>
              <w:rPr>
                <w:rFonts w:eastAsia="맑은 고딕"/>
                <w:noProof/>
                <w:lang w:eastAsia="fr-FR"/>
              </w:rPr>
            </w:pPr>
          </w:p>
        </w:tc>
        <w:tc>
          <w:tcPr>
            <w:tcW w:w="2500" w:type="pct"/>
          </w:tcPr>
          <w:p w14:paraId="4D70D813" w14:textId="77777777" w:rsidR="00F47BBA" w:rsidRDefault="00F47BBA">
            <w:pPr>
              <w:suppressAutoHyphens/>
              <w:rPr>
                <w:rFonts w:eastAsia="맑은 고딕"/>
                <w:b/>
                <w:noProof/>
                <w:lang w:eastAsia="fr-FR"/>
              </w:rPr>
            </w:pPr>
            <w:r>
              <w:rPr>
                <w:b/>
                <w:noProof/>
              </w:rPr>
              <w:t>Slovenská republika</w:t>
            </w:r>
          </w:p>
          <w:p w14:paraId="7D1E30F5" w14:textId="77777777" w:rsidR="00F47BBA" w:rsidRDefault="00F47BBA">
            <w:pPr>
              <w:tabs>
                <w:tab w:val="left" w:pos="-720"/>
              </w:tabs>
              <w:suppressAutoHyphens/>
              <w:rPr>
                <w:rFonts w:eastAsia="맑은 고딕"/>
                <w:noProof/>
                <w:lang w:eastAsia="fr-FR"/>
              </w:rPr>
            </w:pPr>
            <w:r>
              <w:rPr>
                <w:rFonts w:eastAsia="맑은 고딕"/>
                <w:noProof/>
                <w:lang w:eastAsia="fr-FR"/>
              </w:rPr>
              <w:t>Celltrion Healthcare Hungary Kft.</w:t>
            </w:r>
          </w:p>
          <w:p w14:paraId="0A4921F7" w14:textId="77777777" w:rsidR="00F47BBA" w:rsidRDefault="00F47BBA">
            <w:pPr>
              <w:suppressAutoHyphens/>
              <w:rPr>
                <w:rFonts w:eastAsia="맑은 고딕"/>
                <w:noProof/>
                <w:lang w:eastAsia="fr-FR"/>
              </w:rPr>
            </w:pPr>
            <w:r>
              <w:rPr>
                <w:rFonts w:eastAsia="맑은 고딕"/>
                <w:noProof/>
                <w:lang w:eastAsia="fr-FR"/>
              </w:rPr>
              <w:t>Tel: +36 1 231 0493</w:t>
            </w:r>
          </w:p>
          <w:p w14:paraId="32A8B70E" w14:textId="77777777" w:rsidR="00F47BBA" w:rsidRDefault="00F47BBA">
            <w:pPr>
              <w:suppressAutoHyphens/>
              <w:rPr>
                <w:rFonts w:eastAsia="맑은 고딕"/>
                <w:b/>
                <w:noProof/>
                <w:lang w:eastAsia="fr-FR"/>
              </w:rPr>
            </w:pPr>
          </w:p>
        </w:tc>
      </w:tr>
      <w:tr w:rsidR="00BA5882" w:rsidRPr="001879E9" w14:paraId="7AFAB9CE" w14:textId="77777777">
        <w:trPr>
          <w:cantSplit/>
        </w:trPr>
        <w:tc>
          <w:tcPr>
            <w:tcW w:w="2500" w:type="pct"/>
          </w:tcPr>
          <w:p w14:paraId="0453E356" w14:textId="77777777" w:rsidR="00F47BBA" w:rsidRPr="00F47BBA" w:rsidRDefault="00F47BBA">
            <w:pPr>
              <w:suppressAutoHyphens/>
              <w:rPr>
                <w:noProof/>
                <w:lang w:eastAsia="fr-FR"/>
              </w:rPr>
            </w:pPr>
            <w:r>
              <w:rPr>
                <w:rFonts w:eastAsia="맑은 고딕"/>
                <w:b/>
                <w:noProof/>
                <w:lang w:eastAsia="fr-FR"/>
              </w:rPr>
              <w:t>Italia</w:t>
            </w:r>
          </w:p>
          <w:p w14:paraId="21451058" w14:textId="77777777" w:rsidR="00F47BBA" w:rsidRDefault="00F47BBA">
            <w:pPr>
              <w:suppressAutoHyphens/>
              <w:rPr>
                <w:rFonts w:eastAsia="맑은 고딕"/>
                <w:noProof/>
                <w:lang w:eastAsia="fr-FR"/>
              </w:rPr>
            </w:pPr>
            <w:r>
              <w:rPr>
                <w:rFonts w:eastAsia="맑은 고딕"/>
                <w:noProof/>
                <w:lang w:eastAsia="fr-FR"/>
              </w:rPr>
              <w:t>Celltrion Healthcare Italy S.r.l.</w:t>
            </w:r>
          </w:p>
          <w:p w14:paraId="7190B8FD" w14:textId="77777777" w:rsidR="00F47BBA" w:rsidRDefault="00F47BBA">
            <w:pPr>
              <w:suppressAutoHyphens/>
              <w:rPr>
                <w:rFonts w:eastAsia="맑은 고딕"/>
                <w:noProof/>
                <w:lang w:eastAsia="fr-FR"/>
              </w:rPr>
            </w:pPr>
            <w:r>
              <w:rPr>
                <w:rFonts w:eastAsia="맑은 고딕"/>
                <w:noProof/>
                <w:lang w:eastAsia="fr-FR"/>
              </w:rPr>
              <w:t>Tel: +39 02 47927040</w:t>
            </w:r>
          </w:p>
          <w:p w14:paraId="5815A484" w14:textId="77777777" w:rsidR="00F47BBA" w:rsidRDefault="00F47BBA">
            <w:pPr>
              <w:suppressAutoHyphens/>
              <w:rPr>
                <w:rFonts w:eastAsia="맑은 고딕"/>
                <w:noProof/>
                <w:lang w:eastAsia="fr-FR"/>
              </w:rPr>
            </w:pPr>
          </w:p>
        </w:tc>
        <w:tc>
          <w:tcPr>
            <w:tcW w:w="2500" w:type="pct"/>
          </w:tcPr>
          <w:p w14:paraId="5155374A" w14:textId="77777777" w:rsidR="00F47BBA" w:rsidRPr="00F47BBA" w:rsidRDefault="00F47BBA">
            <w:pPr>
              <w:suppressAutoHyphens/>
              <w:rPr>
                <w:noProof/>
                <w:lang w:eastAsia="fr-FR"/>
              </w:rPr>
            </w:pPr>
            <w:r>
              <w:rPr>
                <w:rFonts w:eastAsia="맑은 고딕"/>
                <w:b/>
                <w:noProof/>
                <w:lang w:eastAsia="fr-FR"/>
              </w:rPr>
              <w:t>Suomi/Finland</w:t>
            </w:r>
          </w:p>
          <w:p w14:paraId="4D36FBD5" w14:textId="77777777" w:rsidR="00F47BBA" w:rsidRDefault="00F47BBA">
            <w:pPr>
              <w:tabs>
                <w:tab w:val="left" w:pos="-720"/>
              </w:tabs>
              <w:suppressAutoHyphens/>
              <w:rPr>
                <w:rFonts w:eastAsia="맑은 고딕"/>
                <w:noProof/>
                <w:lang w:eastAsia="fr-FR"/>
              </w:rPr>
            </w:pPr>
            <w:r>
              <w:rPr>
                <w:rFonts w:eastAsia="맑은 고딕"/>
                <w:noProof/>
                <w:lang w:eastAsia="fr-FR"/>
              </w:rPr>
              <w:t xml:space="preserve">Celltrion Healthcare Finland Oy. </w:t>
            </w:r>
          </w:p>
          <w:p w14:paraId="5167EE13" w14:textId="15CD0A66" w:rsidR="00F47BBA" w:rsidRDefault="00F47BBA">
            <w:pPr>
              <w:suppressAutoHyphens/>
              <w:autoSpaceDE w:val="0"/>
              <w:autoSpaceDN w:val="0"/>
              <w:adjustRightInd w:val="0"/>
              <w:rPr>
                <w:rFonts w:eastAsia="맑은 고딕"/>
                <w:noProof/>
                <w:lang w:eastAsia="fr-FR"/>
              </w:rPr>
            </w:pPr>
            <w:r>
              <w:rPr>
                <w:rFonts w:eastAsia="맑은 고딕"/>
                <w:noProof/>
                <w:lang w:eastAsia="fr-FR"/>
              </w:rPr>
              <w:t>Tel: +358 29 170 7755</w:t>
            </w:r>
          </w:p>
          <w:p w14:paraId="39056D5E" w14:textId="77777777" w:rsidR="00054925" w:rsidRDefault="00054925" w:rsidP="00054925">
            <w:pPr>
              <w:autoSpaceDE w:val="0"/>
              <w:autoSpaceDN w:val="0"/>
              <w:adjustRightInd w:val="0"/>
              <w:rPr>
                <w:rFonts w:eastAsia="맑은 고딕"/>
                <w:noProof/>
                <w:lang w:eastAsia="ko-KR"/>
              </w:rPr>
            </w:pPr>
            <w:r w:rsidRPr="006F04E0">
              <w:rPr>
                <w:rFonts w:eastAsia="맑은 고딕"/>
                <w:noProof/>
                <w:lang w:eastAsia="ko-KR"/>
              </w:rPr>
              <w:t>contact_fi@celltrionhc.com</w:t>
            </w:r>
          </w:p>
          <w:p w14:paraId="7009366E" w14:textId="77777777" w:rsidR="00054925" w:rsidRPr="00054925" w:rsidRDefault="00054925">
            <w:pPr>
              <w:suppressAutoHyphens/>
              <w:autoSpaceDE w:val="0"/>
              <w:autoSpaceDN w:val="0"/>
              <w:adjustRightInd w:val="0"/>
              <w:rPr>
                <w:rFonts w:eastAsia="맑은 고딕"/>
                <w:noProof/>
                <w:lang w:eastAsia="fr-FR"/>
              </w:rPr>
            </w:pPr>
          </w:p>
          <w:p w14:paraId="1B25249F" w14:textId="77777777" w:rsidR="00F47BBA" w:rsidRDefault="00F47BBA">
            <w:pPr>
              <w:suppressAutoHyphens/>
              <w:autoSpaceDE w:val="0"/>
              <w:autoSpaceDN w:val="0"/>
              <w:adjustRightInd w:val="0"/>
              <w:rPr>
                <w:rFonts w:eastAsia="맑은 고딕"/>
                <w:noProof/>
                <w:lang w:val="sv-SE" w:eastAsia="ko-KR"/>
              </w:rPr>
            </w:pPr>
          </w:p>
        </w:tc>
      </w:tr>
      <w:tr w:rsidR="00BA5882" w:rsidRPr="00A128A0" w14:paraId="6C89556D" w14:textId="77777777">
        <w:trPr>
          <w:cantSplit/>
        </w:trPr>
        <w:tc>
          <w:tcPr>
            <w:tcW w:w="2500" w:type="pct"/>
          </w:tcPr>
          <w:p w14:paraId="7FB71010" w14:textId="77777777" w:rsidR="00F47BBA" w:rsidRDefault="00F47BBA">
            <w:pPr>
              <w:tabs>
                <w:tab w:val="left" w:pos="-720"/>
              </w:tabs>
              <w:suppressAutoHyphens/>
              <w:rPr>
                <w:b/>
                <w:bCs/>
                <w:noProof/>
                <w:lang w:val="es-ES" w:eastAsia="fr-FR"/>
              </w:rPr>
            </w:pPr>
            <w:r>
              <w:rPr>
                <w:b/>
                <w:noProof/>
              </w:rPr>
              <w:lastRenderedPageBreak/>
              <w:t>Κύπρος</w:t>
            </w:r>
          </w:p>
          <w:p w14:paraId="2CF03C4F" w14:textId="77777777" w:rsidR="00F47BBA" w:rsidRDefault="00F47BBA">
            <w:pPr>
              <w:tabs>
                <w:tab w:val="left" w:pos="-720"/>
              </w:tabs>
              <w:suppressAutoHyphens/>
              <w:rPr>
                <w:rFonts w:eastAsia="맑은 고딕"/>
                <w:noProof/>
                <w:lang w:val="es-ES" w:eastAsia="ko-KR"/>
              </w:rPr>
            </w:pPr>
            <w:r>
              <w:rPr>
                <w:rFonts w:eastAsia="맑은 고딕"/>
                <w:noProof/>
                <w:lang w:val="es-ES" w:eastAsia="fr-FR"/>
              </w:rPr>
              <w:t>C.A. Papaellinas Ltd</w:t>
            </w:r>
          </w:p>
          <w:p w14:paraId="17467E57" w14:textId="77777777" w:rsidR="00F47BBA" w:rsidRDefault="00F47BBA">
            <w:pPr>
              <w:suppressAutoHyphens/>
              <w:autoSpaceDE w:val="0"/>
              <w:autoSpaceDN w:val="0"/>
              <w:adjustRightInd w:val="0"/>
              <w:rPr>
                <w:rFonts w:eastAsia="맑은 고딕"/>
                <w:b/>
                <w:bCs/>
                <w:lang w:eastAsia="fr-FR"/>
              </w:rPr>
            </w:pPr>
            <w:r>
              <w:rPr>
                <w:noProof/>
              </w:rPr>
              <w:t>Τηλ</w:t>
            </w:r>
            <w:r w:rsidRPr="00F47BBA">
              <w:rPr>
                <w:noProof/>
              </w:rPr>
              <w:t xml:space="preserve">: </w:t>
            </w:r>
            <w:r>
              <w:rPr>
                <w:rFonts w:eastAsia="맑은 고딕"/>
                <w:noProof/>
                <w:lang w:eastAsia="fr-FR"/>
              </w:rPr>
              <w:t>+357 22741741</w:t>
            </w:r>
          </w:p>
          <w:p w14:paraId="066988B4" w14:textId="77777777" w:rsidR="00F47BBA" w:rsidRDefault="00F47BBA">
            <w:pPr>
              <w:suppressAutoHyphens/>
              <w:autoSpaceDE w:val="0"/>
              <w:autoSpaceDN w:val="0"/>
              <w:adjustRightInd w:val="0"/>
              <w:rPr>
                <w:rFonts w:eastAsia="맑은 고딕"/>
                <w:b/>
                <w:noProof/>
                <w:lang w:eastAsia="fr-FR"/>
              </w:rPr>
            </w:pPr>
          </w:p>
        </w:tc>
        <w:tc>
          <w:tcPr>
            <w:tcW w:w="2500" w:type="pct"/>
          </w:tcPr>
          <w:p w14:paraId="19AE249B" w14:textId="77777777" w:rsidR="00F47BBA" w:rsidRPr="00E919A5" w:rsidRDefault="00F47BBA">
            <w:pPr>
              <w:tabs>
                <w:tab w:val="left" w:pos="-720"/>
              </w:tabs>
              <w:suppressAutoHyphens/>
              <w:rPr>
                <w:b/>
                <w:noProof/>
                <w:lang w:val="sv-SE" w:eastAsia="fr-FR"/>
              </w:rPr>
            </w:pPr>
            <w:r w:rsidRPr="00E919A5">
              <w:rPr>
                <w:b/>
                <w:noProof/>
                <w:lang w:val="sv-SE"/>
              </w:rPr>
              <w:t>Sverige</w:t>
            </w:r>
          </w:p>
          <w:p w14:paraId="71309A35" w14:textId="77777777" w:rsidR="006E7FA8" w:rsidRDefault="006E7FA8" w:rsidP="006E7FA8">
            <w:pPr>
              <w:keepNext/>
              <w:rPr>
                <w:rFonts w:eastAsia="맑은 고딕"/>
                <w:lang w:val="sv-SE" w:eastAsia="ko-KR"/>
              </w:rPr>
            </w:pPr>
            <w:r w:rsidRPr="00E919A5">
              <w:rPr>
                <w:lang w:val="sv-SE"/>
              </w:rPr>
              <w:t>Celltrion Sweden AB</w:t>
            </w:r>
          </w:p>
          <w:p w14:paraId="70645B5B" w14:textId="70B31DC7" w:rsidR="00054925" w:rsidRPr="00E919A5" w:rsidRDefault="00054925" w:rsidP="00E919A5">
            <w:pPr>
              <w:tabs>
                <w:tab w:val="left" w:pos="-720"/>
              </w:tabs>
              <w:suppressAutoHyphens/>
              <w:rPr>
                <w:rFonts w:eastAsia="맑은 고딕"/>
                <w:noProof/>
                <w:lang w:eastAsia="ko-KR"/>
              </w:rPr>
            </w:pPr>
            <w:r w:rsidRPr="002738BB">
              <w:rPr>
                <w:rFonts w:eastAsia="맑은 고딕"/>
                <w:noProof/>
                <w:lang w:eastAsia="fr-FR"/>
              </w:rPr>
              <w:t>Tel: +46 8 80 11 77</w:t>
            </w:r>
          </w:p>
          <w:p w14:paraId="7098DDD5" w14:textId="7614BAC7" w:rsidR="006E7FA8" w:rsidRPr="00E919A5" w:rsidRDefault="00054925" w:rsidP="006E7FA8">
            <w:pPr>
              <w:keepNext/>
              <w:rPr>
                <w:lang w:val="sv-SE"/>
              </w:rPr>
            </w:pPr>
            <w:r>
              <w:rPr>
                <w:rFonts w:eastAsia="맑은 고딕" w:hint="eastAsia"/>
                <w:lang w:val="sv-SE" w:eastAsia="ko-KR"/>
              </w:rPr>
              <w:t>C</w:t>
            </w:r>
            <w:r w:rsidR="006E7FA8" w:rsidRPr="00E919A5">
              <w:rPr>
                <w:lang w:val="sv-SE"/>
              </w:rPr>
              <w:t>ontact_se@celltrionhc.com</w:t>
            </w:r>
          </w:p>
          <w:p w14:paraId="2674DE85" w14:textId="77777777" w:rsidR="00F47BBA" w:rsidRPr="00E919A5" w:rsidRDefault="00F47BBA">
            <w:pPr>
              <w:tabs>
                <w:tab w:val="left" w:pos="-720"/>
              </w:tabs>
              <w:suppressAutoHyphens/>
              <w:rPr>
                <w:rFonts w:eastAsia="맑은 고딕"/>
                <w:b/>
                <w:noProof/>
                <w:lang w:val="sv-SE" w:eastAsia="fr-FR"/>
              </w:rPr>
            </w:pPr>
          </w:p>
        </w:tc>
      </w:tr>
      <w:tr w:rsidR="00BA5882" w:rsidRPr="001879E9" w14:paraId="6413E762" w14:textId="77777777">
        <w:trPr>
          <w:cantSplit/>
        </w:trPr>
        <w:tc>
          <w:tcPr>
            <w:tcW w:w="2500" w:type="pct"/>
          </w:tcPr>
          <w:p w14:paraId="6B9F30E1" w14:textId="77777777" w:rsidR="00F47BBA" w:rsidRDefault="00F47BBA">
            <w:pPr>
              <w:suppressAutoHyphens/>
              <w:rPr>
                <w:rFonts w:eastAsia="맑은 고딕"/>
                <w:b/>
                <w:noProof/>
                <w:lang w:eastAsia="fr-FR"/>
              </w:rPr>
            </w:pPr>
            <w:r>
              <w:rPr>
                <w:rFonts w:eastAsia="맑은 고딕"/>
                <w:b/>
                <w:noProof/>
                <w:lang w:eastAsia="fr-FR"/>
              </w:rPr>
              <w:t>Latvija</w:t>
            </w:r>
          </w:p>
          <w:p w14:paraId="5523125C" w14:textId="77777777" w:rsidR="00F47BBA" w:rsidRDefault="00F47BBA">
            <w:pPr>
              <w:tabs>
                <w:tab w:val="left" w:pos="-720"/>
              </w:tabs>
              <w:suppressAutoHyphens/>
              <w:rPr>
                <w:rFonts w:eastAsia="맑은 고딕"/>
                <w:noProof/>
                <w:lang w:eastAsia="fr-FR"/>
              </w:rPr>
            </w:pPr>
            <w:r>
              <w:rPr>
                <w:rFonts w:eastAsia="맑은 고딕"/>
                <w:noProof/>
                <w:lang w:eastAsia="fr-FR"/>
              </w:rPr>
              <w:t>Celltrion Healthcare Hungary Kft.</w:t>
            </w:r>
          </w:p>
          <w:p w14:paraId="3D843F8B" w14:textId="77777777" w:rsidR="00F47BBA" w:rsidRDefault="00F47BBA">
            <w:pPr>
              <w:suppressAutoHyphens/>
              <w:autoSpaceDE w:val="0"/>
              <w:autoSpaceDN w:val="0"/>
              <w:adjustRightInd w:val="0"/>
              <w:rPr>
                <w:rFonts w:eastAsia="맑은 고딕"/>
                <w:noProof/>
                <w:lang w:eastAsia="fr-FR"/>
              </w:rPr>
            </w:pPr>
            <w:r>
              <w:rPr>
                <w:rFonts w:eastAsia="맑은 고딕"/>
                <w:noProof/>
                <w:lang w:eastAsia="fr-FR"/>
              </w:rPr>
              <w:t>Tālr.: +36 1 231 0493</w:t>
            </w:r>
          </w:p>
          <w:p w14:paraId="15869576" w14:textId="77777777" w:rsidR="00F47BBA" w:rsidRDefault="00F47BBA">
            <w:pPr>
              <w:suppressAutoHyphens/>
              <w:autoSpaceDE w:val="0"/>
              <w:autoSpaceDN w:val="0"/>
              <w:adjustRightInd w:val="0"/>
              <w:rPr>
                <w:rFonts w:eastAsia="맑은 고딕"/>
                <w:b/>
                <w:bCs/>
                <w:lang w:eastAsia="fr-FR"/>
              </w:rPr>
            </w:pPr>
          </w:p>
        </w:tc>
        <w:tc>
          <w:tcPr>
            <w:tcW w:w="2500" w:type="pct"/>
          </w:tcPr>
          <w:p w14:paraId="67207ACD" w14:textId="77777777" w:rsidR="00F47BBA" w:rsidRDefault="00F47BBA">
            <w:pPr>
              <w:tabs>
                <w:tab w:val="left" w:pos="-720"/>
              </w:tabs>
              <w:suppressAutoHyphens/>
              <w:rPr>
                <w:rFonts w:eastAsia="맑은 고딕"/>
                <w:b/>
                <w:noProof/>
                <w:lang w:eastAsia="fr-FR"/>
              </w:rPr>
            </w:pPr>
          </w:p>
        </w:tc>
      </w:tr>
    </w:tbl>
    <w:p w14:paraId="4166D437" w14:textId="77777777" w:rsidR="00615DE1" w:rsidRPr="009A3CB5" w:rsidRDefault="00615DE1" w:rsidP="009A3CB5">
      <w:pPr>
        <w:rPr>
          <w:b/>
          <w:bCs/>
          <w:lang w:val="fi-FI"/>
        </w:rPr>
      </w:pPr>
    </w:p>
    <w:p w14:paraId="20E806E8" w14:textId="77777777" w:rsidR="00615DE1" w:rsidRPr="009A3CB5" w:rsidRDefault="00296A74" w:rsidP="009A3CB5">
      <w:pPr>
        <w:rPr>
          <w:b/>
          <w:bCs/>
          <w:lang w:val="fi-FI"/>
        </w:rPr>
      </w:pPr>
      <w:r w:rsidRPr="009A3CB5">
        <w:rPr>
          <w:b/>
          <w:bCs/>
          <w:lang w:val="fi-FI"/>
        </w:rPr>
        <w:t xml:space="preserve">Tämä pakkausseloste on tarkistettu viimeksi </w:t>
      </w:r>
    </w:p>
    <w:p w14:paraId="005DC109" w14:textId="77777777" w:rsidR="00615DE1" w:rsidRPr="009A3CB5" w:rsidRDefault="00615DE1" w:rsidP="00DD705A">
      <w:pPr>
        <w:rPr>
          <w:b/>
          <w:bCs/>
          <w:lang w:val="fi-FI"/>
        </w:rPr>
      </w:pPr>
    </w:p>
    <w:p w14:paraId="27C32613" w14:textId="77777777" w:rsidR="003B7027" w:rsidRPr="009A3CB5" w:rsidRDefault="00296A74" w:rsidP="009A3CB5">
      <w:pPr>
        <w:rPr>
          <w:b/>
          <w:bCs/>
          <w:lang w:val="fi-FI"/>
        </w:rPr>
      </w:pPr>
      <w:r w:rsidRPr="009A3CB5">
        <w:rPr>
          <w:b/>
          <w:bCs/>
          <w:lang w:val="fi-FI"/>
        </w:rPr>
        <w:t>Muut tiedonlähteet</w:t>
      </w:r>
    </w:p>
    <w:p w14:paraId="04987C67" w14:textId="3103EAA6" w:rsidR="003B7027" w:rsidRPr="0028514E" w:rsidRDefault="00296A74" w:rsidP="006E5F9A">
      <w:pPr>
        <w:pStyle w:val="a4"/>
        <w:ind w:left="0"/>
      </w:pPr>
      <w:r w:rsidRPr="0028514E">
        <w:t xml:space="preserve">Lisätietoa tästä lääkevalmisteesta on saatavilla Euroopan lääkeviraston verkkosivulla </w:t>
      </w:r>
      <w:r w:rsidR="00084035">
        <w:fldChar w:fldCharType="begin"/>
      </w:r>
      <w:r w:rsidR="00084035">
        <w:instrText>HYPERLINK "https://www.ema.europa.eu."</w:instrText>
      </w:r>
      <w:r w:rsidR="00084035">
        <w:fldChar w:fldCharType="separate"/>
      </w:r>
      <w:r w:rsidR="00084035" w:rsidRPr="004A4AD4">
        <w:rPr>
          <w:rStyle w:val="ad"/>
        </w:rPr>
        <w:t>http</w:t>
      </w:r>
      <w:r w:rsidR="00084035" w:rsidRPr="004A4AD4">
        <w:rPr>
          <w:rStyle w:val="ad"/>
          <w:rFonts w:eastAsia="맑은 고딕" w:hint="eastAsia"/>
          <w:lang w:eastAsia="ko-KR"/>
        </w:rPr>
        <w:t>s</w:t>
      </w:r>
      <w:r w:rsidR="00084035" w:rsidRPr="004A4AD4">
        <w:rPr>
          <w:rStyle w:val="ad"/>
        </w:rPr>
        <w:t>://www.ema.europa.eu.</w:t>
      </w:r>
      <w:r w:rsidR="00084035">
        <w:fldChar w:fldCharType="end"/>
      </w:r>
    </w:p>
    <w:p w14:paraId="68E92095" w14:textId="77777777" w:rsidR="00605EB4" w:rsidRPr="0028514E" w:rsidRDefault="00605EB4" w:rsidP="00DD705A"/>
    <w:p w14:paraId="0BDB6E90" w14:textId="04468B27" w:rsidR="003B7027" w:rsidRPr="00CA43F5" w:rsidRDefault="00605EB4" w:rsidP="006679A7">
      <w:pPr>
        <w:widowControl w:val="0"/>
        <w:autoSpaceDE w:val="0"/>
        <w:autoSpaceDN w:val="0"/>
        <w:rPr>
          <w:rFonts w:eastAsia="맑은 고딕"/>
          <w:b/>
          <w:bCs/>
          <w:lang w:val="fi-FI" w:eastAsia="ko-KR"/>
        </w:rPr>
      </w:pPr>
      <w:r w:rsidRPr="00CA43F5">
        <w:rPr>
          <w:lang w:val="fi-FI"/>
        </w:rPr>
        <w:br w:type="page"/>
      </w:r>
      <w:r w:rsidR="00296A74" w:rsidRPr="00CA43F5">
        <w:rPr>
          <w:b/>
          <w:bCs/>
          <w:lang w:val="fi-FI"/>
        </w:rPr>
        <w:lastRenderedPageBreak/>
        <w:t>Seuraavat tiedot on tarkoitettu vain terveydenhuollon ammattilaisille</w:t>
      </w:r>
      <w:r w:rsidR="00DE69B5">
        <w:rPr>
          <w:rFonts w:eastAsia="맑은 고딕" w:hint="eastAsia"/>
          <w:b/>
          <w:bCs/>
          <w:lang w:val="fi-FI" w:eastAsia="ko-KR"/>
        </w:rPr>
        <w:t>:</w:t>
      </w:r>
    </w:p>
    <w:p w14:paraId="7C2D3757" w14:textId="77777777" w:rsidR="003B7027" w:rsidRPr="0028514E" w:rsidRDefault="003B7027" w:rsidP="006E5F9A">
      <w:pPr>
        <w:pStyle w:val="a4"/>
        <w:ind w:left="0"/>
        <w:rPr>
          <w:b/>
        </w:rPr>
      </w:pPr>
    </w:p>
    <w:p w14:paraId="6DB10B2D" w14:textId="77777777" w:rsidR="003B7027" w:rsidRPr="00CA43F5" w:rsidRDefault="00296A74" w:rsidP="006E5F9A">
      <w:pPr>
        <w:rPr>
          <w:b/>
          <w:lang w:val="fi-FI"/>
        </w:rPr>
      </w:pPr>
      <w:r w:rsidRPr="00CA43F5">
        <w:rPr>
          <w:b/>
          <w:lang w:val="fi-FI"/>
        </w:rPr>
        <w:t>Laimentamisohjeet (ennen annostelua)</w:t>
      </w:r>
    </w:p>
    <w:p w14:paraId="3C069FE1" w14:textId="6E8A3393" w:rsidR="003B7027" w:rsidRPr="0028514E" w:rsidRDefault="00296A74" w:rsidP="006E5F9A">
      <w:pPr>
        <w:pStyle w:val="a4"/>
        <w:ind w:left="0"/>
      </w:pPr>
      <w:r w:rsidRPr="0028514E">
        <w:t xml:space="preserve">Parenteraalisesti annettavat lääkkeet on tarkastettava silmämääräisesti ennen annostelua hiukkasten ja värimuutosten havaitsemiseksi. Laimennettavan liuoksen on oltava kirkasta tai </w:t>
      </w:r>
      <w:r w:rsidR="008E4F94" w:rsidRPr="00237A3E">
        <w:t xml:space="preserve">hieman </w:t>
      </w:r>
      <w:r w:rsidRPr="0028514E">
        <w:t xml:space="preserve">opalisoivaa ja väritöntä tai vaaleankeltaista, eikä siinä saa olla näkyviä hiukkasia. Käytä steriiliä neulaa ja ruiskua </w:t>
      </w:r>
      <w:r w:rsidR="00F47BBA">
        <w:t>Avtozma</w:t>
      </w:r>
      <w:r w:rsidRPr="0028514E">
        <w:t>n käyttökuntoon saattamista varten.</w:t>
      </w:r>
      <w:r w:rsidR="00821605">
        <w:t xml:space="preserve"> Polyvinyylikloridista (PVC) valmistettuja infuusiopusseja käytettäessä tulee käyttää infuusiopusseja, jotka eivät sisällä di</w:t>
      </w:r>
      <w:r w:rsidR="00821605">
        <w:rPr>
          <w:rFonts w:eastAsia="맑은 고딕" w:hint="eastAsia"/>
          <w:lang w:eastAsia="ko-KR"/>
        </w:rPr>
        <w:t xml:space="preserve"> </w:t>
      </w:r>
      <w:r w:rsidR="00821605">
        <w:t>(2‑etyyliheksyyli)</w:t>
      </w:r>
      <w:r w:rsidR="00821605">
        <w:rPr>
          <w:rFonts w:eastAsia="맑은 고딕" w:hint="eastAsia"/>
          <w:lang w:eastAsia="ko-KR"/>
        </w:rPr>
        <w:t xml:space="preserve"> </w:t>
      </w:r>
      <w:r w:rsidR="00821605">
        <w:t>ftalaattia (DEHP).</w:t>
      </w:r>
    </w:p>
    <w:p w14:paraId="65304F2E" w14:textId="77777777" w:rsidR="003B7027" w:rsidRPr="0028514E" w:rsidRDefault="003B7027" w:rsidP="006E5F9A">
      <w:pPr>
        <w:pStyle w:val="a4"/>
        <w:ind w:left="0"/>
      </w:pPr>
    </w:p>
    <w:p w14:paraId="095A8CC1" w14:textId="77777777" w:rsidR="003B7027" w:rsidRPr="009A3CB5" w:rsidRDefault="00296A74" w:rsidP="009A3CB5">
      <w:pPr>
        <w:rPr>
          <w:b/>
          <w:bCs/>
          <w:lang w:val="fi-FI"/>
        </w:rPr>
      </w:pPr>
      <w:r w:rsidRPr="009A3CB5">
        <w:rPr>
          <w:b/>
          <w:bCs/>
          <w:lang w:val="fi-FI"/>
        </w:rPr>
        <w:t>Aikuiset nivelreuma- ja COVID-19-potilaat sekä potilaat, joilla on sytokiinien</w:t>
      </w:r>
      <w:r w:rsidR="00605EB4" w:rsidRPr="009A3CB5">
        <w:rPr>
          <w:b/>
          <w:bCs/>
          <w:lang w:val="fi-FI"/>
        </w:rPr>
        <w:t xml:space="preserve"> </w:t>
      </w:r>
      <w:r w:rsidRPr="009A3CB5">
        <w:rPr>
          <w:b/>
          <w:bCs/>
          <w:lang w:val="fi-FI"/>
        </w:rPr>
        <w:t>vapautumisoireyhtymä (≥ 30 kg)</w:t>
      </w:r>
    </w:p>
    <w:p w14:paraId="71D670F2" w14:textId="539C4970" w:rsidR="003B7027" w:rsidRPr="0028514E" w:rsidRDefault="00296A74" w:rsidP="006E5F9A">
      <w:pPr>
        <w:pStyle w:val="a4"/>
        <w:ind w:left="0"/>
      </w:pPr>
      <w:r w:rsidRPr="0028514E">
        <w:t xml:space="preserve">Vedä aseptisissa olosuhteissa ruiskuun steriiliä, pyrogeenitonta 0,9-prosenttista (9 mg/ml) </w:t>
      </w:r>
      <w:r w:rsidR="00940778">
        <w:t>tai 0,45‑prosenttista (4,5 mg/ml)</w:t>
      </w:r>
      <w:r w:rsidR="00940778">
        <w:rPr>
          <w:rFonts w:eastAsia="맑은 고딕" w:hint="eastAsia"/>
          <w:lang w:eastAsia="ko-KR"/>
        </w:rPr>
        <w:t xml:space="preserve"> </w:t>
      </w:r>
      <w:r w:rsidRPr="0028514E">
        <w:t xml:space="preserve">natriumkloridiliuosta 100 ml:n infuusiopussista. Määrän tulee vastata potilaan annosta varten tarvittavaa tilavuutta </w:t>
      </w:r>
      <w:r w:rsidR="00F47BBA">
        <w:t>Avtozma</w:t>
      </w:r>
      <w:r w:rsidRPr="0028514E">
        <w:t xml:space="preserve">-konsentraattia. Tarvittava määrä </w:t>
      </w:r>
      <w:r w:rsidR="00F47BBA">
        <w:t>Avtozma</w:t>
      </w:r>
      <w:r w:rsidRPr="0028514E">
        <w:t>-konsentraattia</w:t>
      </w:r>
      <w:r w:rsidR="00605EB4" w:rsidRPr="0028514E">
        <w:t xml:space="preserve"> </w:t>
      </w:r>
      <w:r w:rsidRPr="0028514E">
        <w:t>(0,4 ml/kg) vedetään injektiopullosta ja siirretään 100 ml:n infuusiopussiin. Lopullisen tilavuuden pitää olla 100</w:t>
      </w:r>
      <w:r w:rsidR="002419F1">
        <w:t> </w:t>
      </w:r>
      <w:r w:rsidRPr="0028514E">
        <w:t>ml. Sekoita kääntämällä pussia varovasti ylösalaisin, jotta vältetään vaahdon muodostuminen.</w:t>
      </w:r>
    </w:p>
    <w:p w14:paraId="4AB7F3E4" w14:textId="77777777" w:rsidR="003B7027" w:rsidRPr="0028514E" w:rsidRDefault="003B7027" w:rsidP="006E5F9A">
      <w:pPr>
        <w:pStyle w:val="a4"/>
        <w:ind w:left="0"/>
      </w:pPr>
    </w:p>
    <w:p w14:paraId="0E1454F6" w14:textId="77777777" w:rsidR="003B7027" w:rsidRPr="009A3CB5" w:rsidRDefault="00296A74" w:rsidP="009A3CB5">
      <w:pPr>
        <w:rPr>
          <w:b/>
          <w:bCs/>
          <w:lang w:val="fi-FI"/>
        </w:rPr>
      </w:pPr>
      <w:r w:rsidRPr="009A3CB5">
        <w:rPr>
          <w:b/>
          <w:bCs/>
          <w:lang w:val="fi-FI"/>
        </w:rPr>
        <w:t>Käyttö pediatrisille potilaille</w:t>
      </w:r>
    </w:p>
    <w:p w14:paraId="3D0C20C2" w14:textId="77777777" w:rsidR="003B7027" w:rsidRPr="0028514E" w:rsidRDefault="003B7027" w:rsidP="006E5F9A">
      <w:pPr>
        <w:pStyle w:val="a4"/>
        <w:ind w:left="0"/>
        <w:rPr>
          <w:b/>
        </w:rPr>
      </w:pPr>
    </w:p>
    <w:p w14:paraId="15517F95" w14:textId="55B5239B" w:rsidR="003B7027" w:rsidRPr="009A3CB5" w:rsidRDefault="00296A74" w:rsidP="006E5F9A">
      <w:pPr>
        <w:rPr>
          <w:b/>
          <w:bCs/>
          <w:lang w:val="fi-FI"/>
        </w:rPr>
      </w:pPr>
      <w:r w:rsidRPr="009A3CB5">
        <w:rPr>
          <w:b/>
          <w:bCs/>
          <w:lang w:val="fi-FI"/>
        </w:rPr>
        <w:t>Yleisoireista lastenreumaa ja polyartriittia sairastavat potilaat ja potilaat, joilla on sytokiinien vapautumisoireyhtymä (</w:t>
      </w:r>
      <w:r w:rsidR="0043696F" w:rsidRPr="00A34EAB">
        <w:rPr>
          <w:b/>
          <w:bCs/>
          <w:lang w:val="fi-FI"/>
        </w:rPr>
        <w:t>≥</w:t>
      </w:r>
      <w:r w:rsidRPr="009A3CB5">
        <w:rPr>
          <w:b/>
          <w:bCs/>
          <w:lang w:val="fi-FI"/>
        </w:rPr>
        <w:t xml:space="preserve"> 30 kg)</w:t>
      </w:r>
    </w:p>
    <w:p w14:paraId="72982715" w14:textId="4B84ACF3" w:rsidR="003B7027" w:rsidRPr="0028514E" w:rsidRDefault="00296A74" w:rsidP="006E5F9A">
      <w:pPr>
        <w:pStyle w:val="a4"/>
        <w:ind w:left="0"/>
      </w:pPr>
      <w:r w:rsidRPr="0028514E">
        <w:t xml:space="preserve">Vedä aseptisissa olosuhteissa ruiskuun steriiliä, pyrogeenitonta 0,9-prosenttista (9 mg/ml) </w:t>
      </w:r>
      <w:r w:rsidR="002A33DB">
        <w:t xml:space="preserve">tai 0,45‑prosenttista (4,5 mg/ml) </w:t>
      </w:r>
      <w:r w:rsidRPr="0028514E">
        <w:t xml:space="preserve">natriumkloridiliuosta 100 ml:n infuusiopussista. Määrän tulee vastata potilaan annosta varten tarvittavaa tilavuutta </w:t>
      </w:r>
      <w:r w:rsidR="00F47BBA">
        <w:t>Avtozma</w:t>
      </w:r>
      <w:r w:rsidRPr="0028514E">
        <w:t xml:space="preserve">-konsentraattia. Tarvittava määrä </w:t>
      </w:r>
      <w:r w:rsidR="00F47BBA">
        <w:t>Avtozma</w:t>
      </w:r>
      <w:r w:rsidRPr="0028514E">
        <w:t>-konsentraattia</w:t>
      </w:r>
      <w:r w:rsidR="00605EB4" w:rsidRPr="0028514E">
        <w:t xml:space="preserve"> </w:t>
      </w:r>
      <w:r w:rsidRPr="0028514E">
        <w:t>(</w:t>
      </w:r>
      <w:r w:rsidRPr="0028514E">
        <w:rPr>
          <w:b/>
        </w:rPr>
        <w:t>0,4 ml/kg</w:t>
      </w:r>
      <w:r w:rsidRPr="0028514E">
        <w:t>) vedetään injektiopullosta ja siirretään 100 ml:n infuusiopussiin. Lopullisen tilavuuden pitää olla 100</w:t>
      </w:r>
      <w:r w:rsidR="002419F1">
        <w:t> </w:t>
      </w:r>
      <w:r w:rsidRPr="0028514E">
        <w:t>ml. Sekoita kääntämällä pussia varovasti ylösalaisin, jotta vältetään vaahdon muodostuminen.</w:t>
      </w:r>
    </w:p>
    <w:p w14:paraId="5220340F" w14:textId="77777777" w:rsidR="00605EB4" w:rsidRPr="0028514E" w:rsidRDefault="00605EB4" w:rsidP="006E5F9A">
      <w:pPr>
        <w:pStyle w:val="a4"/>
        <w:ind w:left="0"/>
      </w:pPr>
    </w:p>
    <w:p w14:paraId="3879FECA" w14:textId="77777777" w:rsidR="003B7027" w:rsidRPr="009A3CB5" w:rsidRDefault="00296A74" w:rsidP="009A3CB5">
      <w:pPr>
        <w:rPr>
          <w:b/>
          <w:bCs/>
          <w:lang w:val="fi-FI"/>
        </w:rPr>
      </w:pPr>
      <w:r w:rsidRPr="009A3CB5">
        <w:rPr>
          <w:b/>
          <w:bCs/>
          <w:lang w:val="fi-FI"/>
        </w:rPr>
        <w:t>Yleisoireista lastenreumaa sairastavat potilaat ja potilaat, joilla on sytokiinien vapautumisoireyhtymä (&lt; 30 kg)</w:t>
      </w:r>
    </w:p>
    <w:p w14:paraId="3B304EF8" w14:textId="37CABD65" w:rsidR="003B7027" w:rsidRPr="0028514E" w:rsidRDefault="00296A74" w:rsidP="006E5F9A">
      <w:pPr>
        <w:pStyle w:val="a4"/>
        <w:ind w:left="0"/>
      </w:pPr>
      <w:r w:rsidRPr="0028514E">
        <w:t xml:space="preserve">Vedä aseptisissa olosuhteissa ruiskuun steriiliä, pyrogeenitonta 0,9-prosenttista (9 mg/ml) </w:t>
      </w:r>
      <w:r w:rsidR="002A33DB">
        <w:t xml:space="preserve">tai 0,45‑prosenttista (4,5 mg/ml) </w:t>
      </w:r>
      <w:r w:rsidRPr="0028514E">
        <w:t xml:space="preserve">natriumkloridiliuosta 50 ml:n infuusiopussista. Määrän tulee vastata potilaan annosta varten tarvittavaa tilavuutta </w:t>
      </w:r>
      <w:r w:rsidR="00F47BBA">
        <w:t>Avtozma</w:t>
      </w:r>
      <w:r w:rsidRPr="0028514E">
        <w:t xml:space="preserve">-konsentraattia. Tarvittava määrä </w:t>
      </w:r>
      <w:r w:rsidR="00F47BBA">
        <w:t>Avtozma</w:t>
      </w:r>
      <w:r w:rsidRPr="0028514E">
        <w:t>-konsentraattia</w:t>
      </w:r>
      <w:r w:rsidR="00857615" w:rsidRPr="0028514E">
        <w:t xml:space="preserve"> </w:t>
      </w:r>
      <w:r w:rsidRPr="0028514E">
        <w:t>(</w:t>
      </w:r>
      <w:r w:rsidRPr="0028514E">
        <w:rPr>
          <w:b/>
        </w:rPr>
        <w:t>0,6 ml/kg</w:t>
      </w:r>
      <w:r w:rsidRPr="0028514E">
        <w:t>) vedetään injektiopullosta ja siirretään 50 ml:n infuusiopussiin. Lopullisen tilavuuden pitää olla 50 ml. Sekoita kääntämällä pussia varovasti ylösalaisin, jotta vältetään vaahdon muodostuminen.</w:t>
      </w:r>
    </w:p>
    <w:p w14:paraId="475253CA" w14:textId="77777777" w:rsidR="003B7027" w:rsidRPr="0028514E" w:rsidRDefault="003B7027" w:rsidP="006E5F9A">
      <w:pPr>
        <w:pStyle w:val="a4"/>
        <w:ind w:left="0"/>
      </w:pPr>
    </w:p>
    <w:p w14:paraId="3C65421A" w14:textId="77777777" w:rsidR="003B7027" w:rsidRPr="009A3CB5" w:rsidRDefault="00296A74" w:rsidP="009A3CB5">
      <w:pPr>
        <w:rPr>
          <w:b/>
          <w:bCs/>
          <w:lang w:val="fi-FI"/>
        </w:rPr>
      </w:pPr>
      <w:r w:rsidRPr="009A3CB5">
        <w:rPr>
          <w:b/>
          <w:bCs/>
          <w:lang w:val="fi-FI"/>
        </w:rPr>
        <w:t>Polyartriittia sairastavat potilaat (&lt; 30 kg)</w:t>
      </w:r>
    </w:p>
    <w:p w14:paraId="13A5B17F" w14:textId="576ABCEE" w:rsidR="003B7027" w:rsidRPr="0028514E" w:rsidRDefault="00296A74" w:rsidP="006E5F9A">
      <w:pPr>
        <w:pStyle w:val="a4"/>
        <w:ind w:left="0"/>
      </w:pPr>
      <w:r w:rsidRPr="0028514E">
        <w:t xml:space="preserve">Vedä aseptisissa olosuhteissa ruiskuun steriiliä, pyrogeenitonta 0,9-prosenttista (9 mg/ml) </w:t>
      </w:r>
      <w:r w:rsidR="002A33DB">
        <w:t xml:space="preserve">tai 0,45‑prosenttista (4,5 mg/ml) </w:t>
      </w:r>
      <w:r w:rsidRPr="0028514E">
        <w:t xml:space="preserve">natriumkloridiliuosta 50 ml:n infuusiopussista. Määrän tulee vastata potilaan annosta varten tarvittavaa tilavuutta </w:t>
      </w:r>
      <w:r w:rsidR="00F47BBA">
        <w:t>Avtozma</w:t>
      </w:r>
      <w:r w:rsidRPr="0028514E">
        <w:t xml:space="preserve">-konsentraattia. Tarvittava määrä </w:t>
      </w:r>
      <w:r w:rsidR="00F47BBA">
        <w:t>Avtozma</w:t>
      </w:r>
      <w:r w:rsidRPr="0028514E">
        <w:t>-konsentraattia</w:t>
      </w:r>
      <w:r w:rsidR="00857615" w:rsidRPr="0028514E">
        <w:t xml:space="preserve"> </w:t>
      </w:r>
      <w:r w:rsidRPr="0028514E">
        <w:t>(</w:t>
      </w:r>
      <w:r w:rsidRPr="0028514E">
        <w:rPr>
          <w:b/>
        </w:rPr>
        <w:t>0,5 ml/kg</w:t>
      </w:r>
      <w:r w:rsidRPr="0028514E">
        <w:t>) vedetään injektiopullosta ja siirretään 50 ml:n infuusiopussiin. Lopullisen tilavuuden pitää olla 50 ml. Sekoita kääntämällä pussia varovasti ylösalaisin, jotta vältetään vaahdon muodostuminen.</w:t>
      </w:r>
    </w:p>
    <w:p w14:paraId="569704A4" w14:textId="77777777" w:rsidR="00605EB4" w:rsidRPr="0028514E" w:rsidRDefault="00605EB4" w:rsidP="006E5F9A">
      <w:pPr>
        <w:pStyle w:val="a4"/>
        <w:ind w:left="0"/>
      </w:pPr>
    </w:p>
    <w:p w14:paraId="7A99E78F" w14:textId="606CA18C" w:rsidR="003B7027" w:rsidRPr="0028514E" w:rsidRDefault="00F47BBA" w:rsidP="006E5F9A">
      <w:pPr>
        <w:pStyle w:val="a4"/>
        <w:ind w:left="0"/>
      </w:pPr>
      <w:r>
        <w:t>Avtozma</w:t>
      </w:r>
      <w:r w:rsidR="00296A74" w:rsidRPr="0028514E">
        <w:t xml:space="preserve"> on tarkoitettu vain kertakäyttöön.</w:t>
      </w:r>
    </w:p>
    <w:p w14:paraId="7D554CEF" w14:textId="77777777" w:rsidR="003B7027" w:rsidRPr="0028514E" w:rsidRDefault="003B7027" w:rsidP="006E5F9A">
      <w:pPr>
        <w:pStyle w:val="a4"/>
        <w:ind w:left="0"/>
      </w:pPr>
    </w:p>
    <w:p w14:paraId="4C7573EB" w14:textId="77777777" w:rsidR="003B7027" w:rsidRPr="0028514E" w:rsidRDefault="00296A74" w:rsidP="006E5F9A">
      <w:pPr>
        <w:pStyle w:val="a4"/>
        <w:ind w:left="0"/>
      </w:pPr>
      <w:r w:rsidRPr="0028514E">
        <w:t>Käyttämätön lääkevalmiste tai jäte on hävitettävä paikallisten vaatimusten mukaisesti.</w:t>
      </w:r>
    </w:p>
    <w:p w14:paraId="50ECEB64" w14:textId="77777777" w:rsidR="00605EB4" w:rsidRPr="0028514E" w:rsidRDefault="00605EB4" w:rsidP="006E5F9A">
      <w:pPr>
        <w:pStyle w:val="a4"/>
        <w:ind w:left="0"/>
      </w:pPr>
    </w:p>
    <w:p w14:paraId="601E1148" w14:textId="77F9DF45" w:rsidR="003B7027" w:rsidRPr="00CA43F5" w:rsidRDefault="00605EB4" w:rsidP="006679A7">
      <w:pPr>
        <w:widowControl w:val="0"/>
        <w:autoSpaceDE w:val="0"/>
        <w:autoSpaceDN w:val="0"/>
        <w:jc w:val="center"/>
        <w:rPr>
          <w:b/>
          <w:bCs/>
          <w:lang w:val="fi-FI"/>
        </w:rPr>
      </w:pPr>
      <w:r w:rsidRPr="00CA43F5">
        <w:rPr>
          <w:lang w:val="fi-FI"/>
        </w:rPr>
        <w:br w:type="page"/>
      </w:r>
      <w:r w:rsidR="00296A74" w:rsidRPr="00CA43F5">
        <w:rPr>
          <w:b/>
          <w:bCs/>
          <w:lang w:val="fi-FI"/>
        </w:rPr>
        <w:lastRenderedPageBreak/>
        <w:t>Pakkausseloste: Tietoa käyttäjälle</w:t>
      </w:r>
    </w:p>
    <w:p w14:paraId="7C89D88F" w14:textId="77777777" w:rsidR="003B7027" w:rsidRPr="0028514E" w:rsidRDefault="003B7027" w:rsidP="006679A7">
      <w:pPr>
        <w:pStyle w:val="a4"/>
        <w:ind w:left="0"/>
        <w:jc w:val="center"/>
        <w:rPr>
          <w:b/>
        </w:rPr>
      </w:pPr>
    </w:p>
    <w:p w14:paraId="4F45EB3F" w14:textId="4D3DF57A" w:rsidR="003B7027" w:rsidRPr="00CA43F5" w:rsidRDefault="00F47BBA" w:rsidP="006E5F9A">
      <w:pPr>
        <w:jc w:val="center"/>
        <w:rPr>
          <w:b/>
          <w:lang w:val="fi-FI"/>
        </w:rPr>
      </w:pPr>
      <w:r w:rsidRPr="00CA43F5">
        <w:rPr>
          <w:b/>
          <w:lang w:val="fi-FI"/>
        </w:rPr>
        <w:t>Avtozma</w:t>
      </w:r>
      <w:r w:rsidR="00296A74" w:rsidRPr="00CA43F5">
        <w:rPr>
          <w:b/>
          <w:lang w:val="fi-FI"/>
        </w:rPr>
        <w:t xml:space="preserve"> 162 mg injektioneste, liuos esitäytet</w:t>
      </w:r>
      <w:r w:rsidR="00CD5438">
        <w:rPr>
          <w:b/>
          <w:lang w:val="fi-FI"/>
        </w:rPr>
        <w:t>ty</w:t>
      </w:r>
      <w:r w:rsidR="00296A74" w:rsidRPr="00CA43F5">
        <w:rPr>
          <w:b/>
          <w:lang w:val="fi-FI"/>
        </w:rPr>
        <w:t xml:space="preserve"> ruisku</w:t>
      </w:r>
    </w:p>
    <w:p w14:paraId="485EAF1F" w14:textId="77777777" w:rsidR="003B7027" w:rsidRPr="0028514E" w:rsidRDefault="00296A74" w:rsidP="006E5F9A">
      <w:pPr>
        <w:pStyle w:val="a4"/>
        <w:ind w:left="0"/>
        <w:jc w:val="center"/>
      </w:pPr>
      <w:r w:rsidRPr="0028514E">
        <w:t>tosilitsumabi</w:t>
      </w:r>
    </w:p>
    <w:p w14:paraId="73710CEE" w14:textId="77777777" w:rsidR="003B7027" w:rsidRDefault="003B7027" w:rsidP="006E5F9A">
      <w:pPr>
        <w:pStyle w:val="a4"/>
        <w:ind w:left="0"/>
      </w:pPr>
    </w:p>
    <w:p w14:paraId="5006A5B0" w14:textId="3436B11E" w:rsidR="00855FD2" w:rsidRPr="00AF361E" w:rsidRDefault="0086716C" w:rsidP="00855FD2">
      <w:pPr>
        <w:rPr>
          <w:rFonts w:eastAsia="Times New Roman"/>
          <w:b/>
          <w:bCs/>
          <w:lang w:val="fi-FI"/>
        </w:rPr>
      </w:pPr>
      <w:r>
        <w:rPr>
          <w:noProof/>
          <w:lang w:val="en-US" w:eastAsia="ko-KR"/>
        </w:rPr>
        <w:drawing>
          <wp:inline distT="0" distB="0" distL="0" distR="0" wp14:anchorId="5587A660" wp14:editId="061023B6">
            <wp:extent cx="223520" cy="138430"/>
            <wp:effectExtent l="0" t="0" r="0" b="0"/>
            <wp:docPr id="5"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520" cy="138430"/>
                    </a:xfrm>
                    <a:prstGeom prst="rect">
                      <a:avLst/>
                    </a:prstGeom>
                    <a:noFill/>
                    <a:ln>
                      <a:noFill/>
                    </a:ln>
                  </pic:spPr>
                </pic:pic>
              </a:graphicData>
            </a:graphic>
          </wp:inline>
        </w:drawing>
      </w:r>
      <w:r w:rsidR="00855FD2" w:rsidRPr="002C4630">
        <w:rPr>
          <w:lang w:val="fi-FI"/>
        </w:rPr>
        <w:t>Tähän lääkevalmisteeseen kohdistuu lisäseuranta. Tällä tavalla voidaan havaita nopeasti turvallisuutta koskevaa uutta tietoa. Voit auttaa ilmoittamalla kaikista mahdollisesti saamistasi haittavaikutuksista. Ks. kohdan</w:t>
      </w:r>
      <w:r w:rsidR="00855FD2" w:rsidRPr="00AF361E">
        <w:rPr>
          <w:lang w:val="fi-FI"/>
        </w:rPr>
        <w:t> </w:t>
      </w:r>
      <w:r w:rsidR="00855FD2" w:rsidRPr="002C4630">
        <w:rPr>
          <w:lang w:val="fi-FI"/>
        </w:rPr>
        <w:t>4 lopusta, miten haittavaikutuksista ilmoitetaan.</w:t>
      </w:r>
    </w:p>
    <w:p w14:paraId="275BEF87" w14:textId="77777777" w:rsidR="00855FD2" w:rsidRPr="0028514E" w:rsidRDefault="00855FD2" w:rsidP="006E5F9A">
      <w:pPr>
        <w:pStyle w:val="a4"/>
        <w:ind w:left="0"/>
      </w:pPr>
    </w:p>
    <w:p w14:paraId="5309EA0A" w14:textId="77777777" w:rsidR="003B7027" w:rsidRPr="009A3CB5" w:rsidRDefault="00296A74" w:rsidP="009A3CB5">
      <w:pPr>
        <w:rPr>
          <w:b/>
          <w:bCs/>
          <w:lang w:val="fi-FI"/>
        </w:rPr>
      </w:pPr>
      <w:r w:rsidRPr="009A3CB5">
        <w:rPr>
          <w:b/>
          <w:bCs/>
          <w:lang w:val="fi-FI"/>
        </w:rPr>
        <w:t>Lue tämä pakkausseloste huolellisesti ennen kuin aloitat tämän lääkkeen käyttämisen, sillä se sisältää sinulle tärkeitä tietoja.</w:t>
      </w:r>
    </w:p>
    <w:p w14:paraId="3E646AE8" w14:textId="77777777" w:rsidR="00605EB4" w:rsidRPr="009A3CB5" w:rsidRDefault="00605EB4" w:rsidP="00DD705A">
      <w:pPr>
        <w:rPr>
          <w:lang w:val="fi-FI"/>
        </w:rPr>
      </w:pPr>
    </w:p>
    <w:p w14:paraId="2D6627FD" w14:textId="77777777" w:rsidR="003B7027" w:rsidRPr="0028514E" w:rsidRDefault="00296A74" w:rsidP="003B2654">
      <w:pPr>
        <w:pStyle w:val="a"/>
      </w:pPr>
      <w:r w:rsidRPr="0028514E">
        <w:t>Säilytä tämä pakkausseloste. Voit tarvita sitä myöhemmin.</w:t>
      </w:r>
    </w:p>
    <w:p w14:paraId="4318E95B" w14:textId="77777777" w:rsidR="003B7027" w:rsidRPr="0028514E" w:rsidRDefault="00296A74" w:rsidP="003B2654">
      <w:pPr>
        <w:pStyle w:val="a"/>
      </w:pPr>
      <w:r w:rsidRPr="0028514E">
        <w:t>Jos sinulla on kysyttävää, käänny lääkärin, apteekkihenkilökunnan tai sairaanhoitajan puoleen.</w:t>
      </w:r>
    </w:p>
    <w:p w14:paraId="2DBD16BC" w14:textId="77777777" w:rsidR="003B7027" w:rsidRPr="0028514E" w:rsidRDefault="00296A74" w:rsidP="003B2654">
      <w:pPr>
        <w:pStyle w:val="a"/>
      </w:pPr>
      <w:r w:rsidRPr="0028514E">
        <w:t>Tämä lääke on määrätty vain sinulle eikä sitä pidä antaa muiden käyttöön. Se voi aiheuttaa haittaa muille, vaikka heillä olisikin samanlaiset oireet kuin sinulla.</w:t>
      </w:r>
    </w:p>
    <w:p w14:paraId="4A1DF97F" w14:textId="77777777" w:rsidR="003B7027" w:rsidRPr="0028514E" w:rsidRDefault="00296A74" w:rsidP="003B2654">
      <w:pPr>
        <w:pStyle w:val="a"/>
      </w:pPr>
      <w:r w:rsidRPr="0028514E">
        <w:t>Jos havaitset haittavaikutuksia, kerro niistä lääkärille, apteekkihenkilökunnalle tai sairaanhoitajalle. Tämä koskee myös sellaisia mahdollisia haittavaikutuksia, joita ei ole mainittu tässä pakkausselosteessa. Ks. kohta 4.</w:t>
      </w:r>
    </w:p>
    <w:p w14:paraId="7AF956BF" w14:textId="77777777" w:rsidR="00605EB4" w:rsidRPr="0028514E" w:rsidRDefault="00605EB4" w:rsidP="003B2654"/>
    <w:p w14:paraId="4A81E6E1" w14:textId="0801D8CD" w:rsidR="003B7027" w:rsidRPr="0028514E" w:rsidRDefault="00296A74" w:rsidP="006E5F9A">
      <w:pPr>
        <w:pStyle w:val="a4"/>
        <w:ind w:left="0"/>
      </w:pPr>
      <w:r w:rsidRPr="0028514E">
        <w:t xml:space="preserve">Tämän pakkausselosteen lisäksi saat </w:t>
      </w:r>
      <w:r w:rsidRPr="0028514E">
        <w:rPr>
          <w:b/>
        </w:rPr>
        <w:t>potilaskortin</w:t>
      </w:r>
      <w:r w:rsidRPr="0028514E">
        <w:t xml:space="preserve">. Se sisältää tärkeää tietoa turvallisuudesta, mikä sinun on hyvä tietää, ennen </w:t>
      </w:r>
      <w:r w:rsidR="00352004">
        <w:t>Avtozma</w:t>
      </w:r>
      <w:r w:rsidRPr="0028514E">
        <w:t xml:space="preserve"> hoitoa ja sen aikana.</w:t>
      </w:r>
    </w:p>
    <w:p w14:paraId="74832B90" w14:textId="77777777" w:rsidR="003B7027" w:rsidRPr="0028514E" w:rsidRDefault="003B7027" w:rsidP="006E5F9A">
      <w:pPr>
        <w:pStyle w:val="a4"/>
        <w:ind w:left="0"/>
      </w:pPr>
    </w:p>
    <w:p w14:paraId="672B2DBE" w14:textId="77777777" w:rsidR="003B7027" w:rsidRPr="009A3CB5" w:rsidRDefault="00296A74" w:rsidP="009A3CB5">
      <w:pPr>
        <w:rPr>
          <w:b/>
          <w:bCs/>
          <w:lang w:val="fi-FI"/>
        </w:rPr>
      </w:pPr>
      <w:r w:rsidRPr="009A3CB5">
        <w:rPr>
          <w:b/>
          <w:bCs/>
          <w:lang w:val="fi-FI"/>
        </w:rPr>
        <w:t>Tässä pakkausselosteessa kerrotaan:</w:t>
      </w:r>
    </w:p>
    <w:p w14:paraId="7E86CABB" w14:textId="49E6D94F" w:rsidR="003B7027" w:rsidRPr="00CA43F5" w:rsidRDefault="00296A74" w:rsidP="00615DE1">
      <w:pPr>
        <w:ind w:left="567" w:hanging="567"/>
        <w:rPr>
          <w:lang w:val="fi-FI"/>
        </w:rPr>
      </w:pPr>
      <w:r w:rsidRPr="0028514E">
        <w:rPr>
          <w:rFonts w:eastAsia="Times New Roman"/>
          <w:lang w:val="fi-FI" w:eastAsia="en-US"/>
        </w:rPr>
        <w:t>1.</w:t>
      </w:r>
      <w:r w:rsidRPr="0028514E">
        <w:rPr>
          <w:rFonts w:eastAsia="Times New Roman"/>
          <w:lang w:val="fi-FI" w:eastAsia="en-US"/>
        </w:rPr>
        <w:tab/>
      </w:r>
      <w:r w:rsidRPr="00CA43F5">
        <w:rPr>
          <w:lang w:val="fi-FI"/>
        </w:rPr>
        <w:t xml:space="preserve">Mitä </w:t>
      </w:r>
      <w:r w:rsidR="00352004" w:rsidRPr="00CA43F5">
        <w:rPr>
          <w:lang w:val="fi-FI"/>
        </w:rPr>
        <w:t>Avtozma</w:t>
      </w:r>
      <w:r w:rsidRPr="00CA43F5">
        <w:rPr>
          <w:lang w:val="fi-FI"/>
        </w:rPr>
        <w:t xml:space="preserve"> on ja mihin sitä käytetään</w:t>
      </w:r>
    </w:p>
    <w:p w14:paraId="141C59AE" w14:textId="382B8550" w:rsidR="003B7027" w:rsidRPr="00CA43F5" w:rsidRDefault="00296A74" w:rsidP="00615DE1">
      <w:pPr>
        <w:ind w:left="567" w:hanging="567"/>
        <w:rPr>
          <w:lang w:val="fi-FI"/>
        </w:rPr>
      </w:pPr>
      <w:r w:rsidRPr="0028514E">
        <w:rPr>
          <w:rFonts w:eastAsia="Times New Roman"/>
          <w:lang w:val="fi-FI" w:eastAsia="en-US"/>
        </w:rPr>
        <w:t>2.</w:t>
      </w:r>
      <w:r w:rsidRPr="0028514E">
        <w:rPr>
          <w:rFonts w:eastAsia="Times New Roman"/>
          <w:lang w:val="fi-FI" w:eastAsia="en-US"/>
        </w:rPr>
        <w:tab/>
      </w:r>
      <w:r w:rsidRPr="00CA43F5">
        <w:rPr>
          <w:lang w:val="fi-FI"/>
        </w:rPr>
        <w:t xml:space="preserve">Mitä sinun on tiedettävä, ennen kuin käytät </w:t>
      </w:r>
      <w:r w:rsidR="00352004" w:rsidRPr="00CA43F5">
        <w:rPr>
          <w:lang w:val="fi-FI"/>
        </w:rPr>
        <w:t>Avtozma</w:t>
      </w:r>
      <w:r w:rsidRPr="00CA43F5">
        <w:rPr>
          <w:lang w:val="fi-FI"/>
        </w:rPr>
        <w:t>a</w:t>
      </w:r>
    </w:p>
    <w:p w14:paraId="1EA91180" w14:textId="78A63131" w:rsidR="003B7027" w:rsidRPr="00CA43F5" w:rsidRDefault="00296A74" w:rsidP="00615DE1">
      <w:pPr>
        <w:ind w:left="567" w:hanging="567"/>
        <w:rPr>
          <w:lang w:val="fi-FI"/>
        </w:rPr>
      </w:pPr>
      <w:r w:rsidRPr="0028514E">
        <w:rPr>
          <w:rFonts w:eastAsia="Times New Roman"/>
          <w:lang w:val="fi-FI" w:eastAsia="en-US"/>
        </w:rPr>
        <w:t>3.</w:t>
      </w:r>
      <w:r w:rsidRPr="0028514E">
        <w:rPr>
          <w:rFonts w:eastAsia="Times New Roman"/>
          <w:lang w:val="fi-FI" w:eastAsia="en-US"/>
        </w:rPr>
        <w:tab/>
      </w:r>
      <w:r w:rsidRPr="00CA43F5">
        <w:rPr>
          <w:lang w:val="fi-FI"/>
        </w:rPr>
        <w:t xml:space="preserve">Miten </w:t>
      </w:r>
      <w:r w:rsidR="00352004" w:rsidRPr="00CA43F5">
        <w:rPr>
          <w:lang w:val="fi-FI"/>
        </w:rPr>
        <w:t>Avtozma</w:t>
      </w:r>
      <w:r w:rsidRPr="00CA43F5">
        <w:rPr>
          <w:lang w:val="fi-FI"/>
        </w:rPr>
        <w:t>a käytetään</w:t>
      </w:r>
    </w:p>
    <w:p w14:paraId="57111232" w14:textId="77777777" w:rsidR="003B7027" w:rsidRPr="00CA43F5" w:rsidRDefault="00296A74" w:rsidP="00615DE1">
      <w:pPr>
        <w:ind w:left="567" w:hanging="567"/>
        <w:rPr>
          <w:lang w:val="fi-FI"/>
        </w:rPr>
      </w:pPr>
      <w:r w:rsidRPr="0028514E">
        <w:rPr>
          <w:rFonts w:eastAsia="Times New Roman"/>
          <w:lang w:val="fi-FI" w:eastAsia="en-US"/>
        </w:rPr>
        <w:t>4.</w:t>
      </w:r>
      <w:r w:rsidRPr="0028514E">
        <w:rPr>
          <w:rFonts w:eastAsia="Times New Roman"/>
          <w:lang w:val="fi-FI" w:eastAsia="en-US"/>
        </w:rPr>
        <w:tab/>
      </w:r>
      <w:r w:rsidRPr="00CA43F5">
        <w:rPr>
          <w:lang w:val="fi-FI"/>
        </w:rPr>
        <w:t>Mahdolliset haittavaikutukset</w:t>
      </w:r>
    </w:p>
    <w:p w14:paraId="44F3F8EE" w14:textId="1ABA0A8E" w:rsidR="003B7027" w:rsidRPr="00A34EAB" w:rsidRDefault="00296A74" w:rsidP="00615DE1">
      <w:pPr>
        <w:ind w:left="567" w:hanging="567"/>
        <w:rPr>
          <w:lang w:val="fi-FI"/>
        </w:rPr>
      </w:pPr>
      <w:r w:rsidRPr="0028514E">
        <w:rPr>
          <w:rFonts w:eastAsia="Times New Roman"/>
          <w:lang w:val="fi-FI" w:eastAsia="en-US"/>
        </w:rPr>
        <w:t>5.</w:t>
      </w:r>
      <w:r w:rsidRPr="0028514E">
        <w:rPr>
          <w:rFonts w:eastAsia="Times New Roman"/>
          <w:lang w:val="fi-FI" w:eastAsia="en-US"/>
        </w:rPr>
        <w:tab/>
      </w:r>
      <w:r w:rsidR="00352004" w:rsidRPr="00A34EAB">
        <w:rPr>
          <w:lang w:val="fi-FI"/>
        </w:rPr>
        <w:t>Avtozma</w:t>
      </w:r>
      <w:r w:rsidRPr="00A34EAB">
        <w:rPr>
          <w:lang w:val="fi-FI"/>
        </w:rPr>
        <w:t>n säilyttäminen</w:t>
      </w:r>
    </w:p>
    <w:p w14:paraId="5EA1AA76" w14:textId="77777777" w:rsidR="003B7027" w:rsidRDefault="00296A74" w:rsidP="00615DE1">
      <w:pPr>
        <w:ind w:left="567" w:hanging="567"/>
        <w:rPr>
          <w:lang w:val="fi-FI"/>
        </w:rPr>
      </w:pPr>
      <w:r w:rsidRPr="0028514E">
        <w:rPr>
          <w:rFonts w:eastAsia="Times New Roman"/>
          <w:lang w:val="fi-FI" w:eastAsia="en-US"/>
        </w:rPr>
        <w:t>6.</w:t>
      </w:r>
      <w:r w:rsidRPr="0028514E">
        <w:rPr>
          <w:rFonts w:eastAsia="Times New Roman"/>
          <w:lang w:val="fi-FI" w:eastAsia="en-US"/>
        </w:rPr>
        <w:tab/>
      </w:r>
      <w:r w:rsidRPr="00CA43F5">
        <w:rPr>
          <w:lang w:val="fi-FI"/>
        </w:rPr>
        <w:t>Pakkauksen sisältö ja muuta tietoa</w:t>
      </w:r>
    </w:p>
    <w:p w14:paraId="27564438" w14:textId="4198DD16" w:rsidR="009B2F1F" w:rsidRPr="00CA43F5" w:rsidRDefault="009B2F1F" w:rsidP="00615DE1">
      <w:pPr>
        <w:ind w:left="567" w:hanging="567"/>
        <w:rPr>
          <w:lang w:val="fi-FI"/>
        </w:rPr>
      </w:pPr>
      <w:r>
        <w:rPr>
          <w:lang w:val="fi-FI"/>
        </w:rPr>
        <w:t>7.</w:t>
      </w:r>
      <w:r>
        <w:rPr>
          <w:lang w:val="fi-FI"/>
        </w:rPr>
        <w:tab/>
        <w:t>Käyttöohjeet</w:t>
      </w:r>
    </w:p>
    <w:p w14:paraId="7B154F33" w14:textId="77777777" w:rsidR="003B7027" w:rsidRPr="0028514E" w:rsidRDefault="003B7027" w:rsidP="006E5F9A">
      <w:pPr>
        <w:pStyle w:val="a4"/>
        <w:ind w:left="0"/>
      </w:pPr>
    </w:p>
    <w:p w14:paraId="7B8C4BAA" w14:textId="77777777" w:rsidR="003B7027" w:rsidRPr="0028514E" w:rsidRDefault="003B7027" w:rsidP="006E5F9A">
      <w:pPr>
        <w:pStyle w:val="a4"/>
        <w:ind w:left="0"/>
      </w:pPr>
    </w:p>
    <w:p w14:paraId="503FA793" w14:textId="6E33B6D6" w:rsidR="003B7027" w:rsidRPr="0028514E" w:rsidRDefault="00296A74" w:rsidP="006E5F9A">
      <w:pPr>
        <w:pStyle w:val="2"/>
      </w:pPr>
      <w:r w:rsidRPr="0028514E">
        <w:t>1.</w:t>
      </w:r>
      <w:r w:rsidRPr="0028514E">
        <w:tab/>
        <w:t xml:space="preserve">Mitä </w:t>
      </w:r>
      <w:r w:rsidR="00352004">
        <w:t>Avtozma</w:t>
      </w:r>
      <w:r w:rsidRPr="0028514E">
        <w:t xml:space="preserve"> on ja mihin sitä käytetään</w:t>
      </w:r>
    </w:p>
    <w:p w14:paraId="350CA51E" w14:textId="77777777" w:rsidR="00605EB4" w:rsidRPr="0028514E" w:rsidRDefault="00605EB4" w:rsidP="00DD705A"/>
    <w:p w14:paraId="41274D42" w14:textId="24DDF8FA" w:rsidR="003B7027" w:rsidRPr="0028514E" w:rsidRDefault="00352004" w:rsidP="006E5F9A">
      <w:pPr>
        <w:pStyle w:val="a4"/>
        <w:ind w:left="0"/>
      </w:pPr>
      <w:r>
        <w:t>Avtozma</w:t>
      </w:r>
      <w:r w:rsidR="00296A74" w:rsidRPr="0028514E">
        <w:t xml:space="preserve">n vaikuttavana aineena on tosilitsumabi. Se on proteiini (monoklonaalinen vasta-aine), joka on valmistettu elävissä soluissa ja estää tietyn, elimistön tulehdusprosesseihin osallistuvan proteiinin, interleukiini-6 sytokiinin, toimintaa. Tämän proteiinin toimintaa estämällä voidaan vähentää elimistön tulehdusreaktioita. </w:t>
      </w:r>
      <w:r>
        <w:t>Avtozma</w:t>
      </w:r>
      <w:r w:rsidR="00296A74" w:rsidRPr="0028514E">
        <w:t>a käytetään:</w:t>
      </w:r>
    </w:p>
    <w:p w14:paraId="1BCBC342" w14:textId="77777777" w:rsidR="003B7027" w:rsidRPr="0028514E" w:rsidRDefault="003B7027" w:rsidP="006E5F9A">
      <w:pPr>
        <w:pStyle w:val="a4"/>
        <w:ind w:left="0"/>
      </w:pPr>
    </w:p>
    <w:p w14:paraId="730E6C20" w14:textId="77777777" w:rsidR="003B7027" w:rsidRPr="0028514E" w:rsidRDefault="00296A74" w:rsidP="003B2654">
      <w:pPr>
        <w:pStyle w:val="a"/>
        <w:rPr>
          <w:rFonts w:ascii="Symbol" w:hAnsi="Symbol"/>
        </w:rPr>
      </w:pPr>
      <w:r w:rsidRPr="0028514E">
        <w:rPr>
          <w:b/>
        </w:rPr>
        <w:t>kohtalaisen tai vaikean aktiivisen nivelreuman hoidossa aikuispotilaille</w:t>
      </w:r>
      <w:r w:rsidRPr="0028514E">
        <w:t>, jotka eivät ole saaneet riittävää apua aikaisemmasta hoidosta. Nivelreuma on autoimmuunisairaus.</w:t>
      </w:r>
    </w:p>
    <w:p w14:paraId="0B570DD3" w14:textId="77777777" w:rsidR="003B7027" w:rsidRPr="0028514E" w:rsidRDefault="003B7027" w:rsidP="00615DE1">
      <w:pPr>
        <w:pStyle w:val="a4"/>
        <w:tabs>
          <w:tab w:val="left" w:pos="450"/>
        </w:tabs>
        <w:ind w:left="567" w:hanging="567"/>
      </w:pPr>
    </w:p>
    <w:p w14:paraId="25BA176B" w14:textId="77777777" w:rsidR="003B7027" w:rsidRPr="0028514E" w:rsidRDefault="00296A74" w:rsidP="003B2654">
      <w:pPr>
        <w:pStyle w:val="a"/>
      </w:pPr>
      <w:r w:rsidRPr="003B2654">
        <w:rPr>
          <w:b/>
          <w:bCs/>
        </w:rPr>
        <w:t>vaikean aktiivisen ja etenevän nivelreuman hoitoon aikuispotilaille</w:t>
      </w:r>
      <w:r w:rsidRPr="0028514E">
        <w:t>, jotka eivät ole aiemmin käyttäneet metotreksaattia.</w:t>
      </w:r>
    </w:p>
    <w:p w14:paraId="6F212D73" w14:textId="77777777" w:rsidR="00605EB4" w:rsidRPr="00CA43F5" w:rsidRDefault="00605EB4" w:rsidP="00615DE1">
      <w:pPr>
        <w:ind w:left="567" w:hanging="567"/>
        <w:rPr>
          <w:rFonts w:ascii="Symbol" w:hAnsi="Symbol" w:hint="eastAsia"/>
          <w:lang w:val="fi-FI"/>
        </w:rPr>
      </w:pPr>
    </w:p>
    <w:p w14:paraId="66D97CDA" w14:textId="4B57337A" w:rsidR="003B7027" w:rsidRPr="0028514E" w:rsidRDefault="00352004" w:rsidP="00615DE1">
      <w:pPr>
        <w:pStyle w:val="a4"/>
        <w:tabs>
          <w:tab w:val="left" w:pos="450"/>
        </w:tabs>
        <w:ind w:left="567"/>
      </w:pPr>
      <w:r>
        <w:t>Avtozma</w:t>
      </w:r>
      <w:r w:rsidR="00296A74" w:rsidRPr="0028514E">
        <w:t xml:space="preserve"> lievittää nivelreuman oireita, kuten nivelkipua ja -turvotusta ja voi siten parantaa toimintakykyäsi päivittäisissä toiminnoissa. </w:t>
      </w:r>
      <w:r>
        <w:t>Avtozma</w:t>
      </w:r>
      <w:r w:rsidR="00296A74" w:rsidRPr="0028514E">
        <w:t>n on osoitettu hidastavan taudin aiheuttamia nivel- ja rustovaurioita ja lisäävän kykyäsi selviytyä päivittäisistä askareista.</w:t>
      </w:r>
    </w:p>
    <w:p w14:paraId="40979C93" w14:textId="77777777" w:rsidR="003B7027" w:rsidRPr="0028514E" w:rsidRDefault="003B7027" w:rsidP="00615DE1">
      <w:pPr>
        <w:pStyle w:val="a4"/>
        <w:tabs>
          <w:tab w:val="left" w:pos="450"/>
        </w:tabs>
        <w:ind w:left="567" w:hanging="567"/>
      </w:pPr>
    </w:p>
    <w:p w14:paraId="135E8407" w14:textId="28F1228D" w:rsidR="003B7027" w:rsidRPr="0028514E" w:rsidRDefault="00352004" w:rsidP="00615DE1">
      <w:pPr>
        <w:pStyle w:val="a4"/>
        <w:tabs>
          <w:tab w:val="left" w:pos="450"/>
        </w:tabs>
        <w:ind w:left="567"/>
      </w:pPr>
      <w:r>
        <w:t>Avtozma</w:t>
      </w:r>
      <w:r w:rsidR="00296A74" w:rsidRPr="0028514E">
        <w:t xml:space="preserve">-hoitoa annetaan yleensä yhdessä metotreksaatiksi kutsutun toisen nivelreumalääkkeen kanssa. </w:t>
      </w:r>
      <w:r>
        <w:t>Avtozma</w:t>
      </w:r>
      <w:r w:rsidR="00296A74" w:rsidRPr="0028514E">
        <w:t>a voidaan antaa myös yksin, jos lääkäri toteaa, että metotreksaatti ei sovi sinulle.</w:t>
      </w:r>
    </w:p>
    <w:p w14:paraId="2BFBC51B" w14:textId="77777777" w:rsidR="00605EB4" w:rsidRPr="0028514E" w:rsidRDefault="00605EB4" w:rsidP="00615DE1">
      <w:pPr>
        <w:pStyle w:val="a4"/>
        <w:tabs>
          <w:tab w:val="left" w:pos="450"/>
        </w:tabs>
        <w:ind w:left="567" w:hanging="567"/>
      </w:pPr>
    </w:p>
    <w:p w14:paraId="74C55800" w14:textId="77777777" w:rsidR="003B7027" w:rsidRPr="0028514E" w:rsidRDefault="00296A74" w:rsidP="003B2654">
      <w:pPr>
        <w:pStyle w:val="a"/>
      </w:pPr>
      <w:r w:rsidRPr="0028514E">
        <w:rPr>
          <w:b/>
        </w:rPr>
        <w:t>jättisoluarteriitiksi kutsutun valtimosairauden hoitoon aikuispotilaille</w:t>
      </w:r>
      <w:r w:rsidRPr="0028514E">
        <w:t xml:space="preserve">. Jättisoluarteriitti johtuu kehon suurimpien valtimoiden, etenkin verta päähän ja kaulaan kuljettavien valtimoiden, </w:t>
      </w:r>
      <w:r w:rsidRPr="0028514E">
        <w:lastRenderedPageBreak/>
        <w:t>tulehduksesta. Oireita voivat olla päänsärky, väsymys ja leukakipu. Seurauksia voivat olla aivohalvaus ja sokeutuminen.</w:t>
      </w:r>
    </w:p>
    <w:p w14:paraId="51CDE4DF" w14:textId="77777777" w:rsidR="00605EB4" w:rsidRPr="00CA43F5" w:rsidRDefault="00605EB4" w:rsidP="00615DE1">
      <w:pPr>
        <w:ind w:left="567" w:hanging="567"/>
        <w:rPr>
          <w:rFonts w:ascii="Symbol" w:hAnsi="Symbol" w:hint="eastAsia"/>
          <w:lang w:val="fi-FI"/>
        </w:rPr>
      </w:pPr>
    </w:p>
    <w:p w14:paraId="62D21600" w14:textId="45C74CF8" w:rsidR="003B7027" w:rsidRPr="0028514E" w:rsidRDefault="00352004" w:rsidP="00615DE1">
      <w:pPr>
        <w:pStyle w:val="a4"/>
        <w:tabs>
          <w:tab w:val="left" w:pos="450"/>
        </w:tabs>
        <w:ind w:left="567"/>
      </w:pPr>
      <w:r>
        <w:t>Avtozma</w:t>
      </w:r>
      <w:r w:rsidR="00296A74" w:rsidRPr="0028514E">
        <w:t xml:space="preserve"> voi lievittää pään, kaulan ja käsivarsien valtimoiden ja laskimoiden kipua ja turvotusta.</w:t>
      </w:r>
    </w:p>
    <w:p w14:paraId="30A2F9C8" w14:textId="77777777" w:rsidR="003B7027" w:rsidRPr="0028514E" w:rsidRDefault="003B7027" w:rsidP="00615DE1">
      <w:pPr>
        <w:pStyle w:val="a4"/>
        <w:tabs>
          <w:tab w:val="left" w:pos="450"/>
        </w:tabs>
        <w:ind w:left="567" w:hanging="567"/>
      </w:pPr>
    </w:p>
    <w:p w14:paraId="77554A31" w14:textId="09E0A675" w:rsidR="003B7027" w:rsidRPr="0028514E" w:rsidRDefault="00296A74" w:rsidP="00615DE1">
      <w:pPr>
        <w:pStyle w:val="a4"/>
        <w:tabs>
          <w:tab w:val="left" w:pos="450"/>
        </w:tabs>
        <w:ind w:left="567"/>
      </w:pPr>
      <w:r w:rsidRPr="0028514E">
        <w:t xml:space="preserve">Jättisoluarteriittia hoidetaan usein steroideiksi kutsutuilla lääkkeillä. Ne tavallisesti tehoavat, mutta suurina annoksina käytettyinä niillä voi olla haittavaikutuksia. Steroidiannoksen pienentäminen voi myös johtaa jättisoluarteriitin voimakkaaseen pahenemiseen. </w:t>
      </w:r>
      <w:r w:rsidR="00352004">
        <w:t>Avtozma</w:t>
      </w:r>
      <w:r w:rsidRPr="0028514E">
        <w:t>n lisääminen hoitoon tarkoittaa, että steroideja voidaan käyttää lyhyemmän aikaa, ja jättisoluarteriitti pysyy silti hallinnassa.</w:t>
      </w:r>
    </w:p>
    <w:p w14:paraId="1E0C2028" w14:textId="77777777" w:rsidR="003B7027" w:rsidRPr="0028514E" w:rsidRDefault="003B7027" w:rsidP="006E5F9A">
      <w:pPr>
        <w:pStyle w:val="a4"/>
        <w:tabs>
          <w:tab w:val="left" w:pos="450"/>
        </w:tabs>
        <w:ind w:left="0"/>
      </w:pPr>
    </w:p>
    <w:p w14:paraId="523A56CD" w14:textId="77777777" w:rsidR="003B7027" w:rsidRPr="0028514E" w:rsidRDefault="00296A74" w:rsidP="003B2654">
      <w:pPr>
        <w:pStyle w:val="a"/>
        <w:rPr>
          <w:rFonts w:ascii="Symbol" w:hAnsi="Symbol"/>
        </w:rPr>
      </w:pPr>
      <w:r w:rsidRPr="0028514E">
        <w:rPr>
          <w:b/>
        </w:rPr>
        <w:t xml:space="preserve">1-vuotiaille ja sitä vanhemmille lapsille ja nuorille aktiivisen </w:t>
      </w:r>
      <w:r w:rsidRPr="0028514E">
        <w:rPr>
          <w:b/>
          <w:i/>
        </w:rPr>
        <w:t xml:space="preserve">yleisoireisen lastenreuman </w:t>
      </w:r>
      <w:r w:rsidRPr="0028514E">
        <w:rPr>
          <w:b/>
        </w:rPr>
        <w:t xml:space="preserve">hoitoon. </w:t>
      </w:r>
      <w:r w:rsidRPr="0028514E">
        <w:t>Yleisoireinen lastenreuma on tulehdussairaus, joka aiheuttaa kipua ja turvotusta yhdessä tai useammassa nivelessä sekä kuumetta ja ihottumaa.</w:t>
      </w:r>
    </w:p>
    <w:p w14:paraId="2320E020" w14:textId="77777777" w:rsidR="003B2654" w:rsidRDefault="003B2654" w:rsidP="003B2654">
      <w:pPr>
        <w:pStyle w:val="a4"/>
        <w:tabs>
          <w:tab w:val="left" w:pos="450"/>
        </w:tabs>
        <w:ind w:left="567"/>
      </w:pPr>
    </w:p>
    <w:p w14:paraId="3F42E372" w14:textId="0A5E7A40" w:rsidR="003B7027" w:rsidRPr="0028514E" w:rsidRDefault="00352004" w:rsidP="003B2654">
      <w:pPr>
        <w:pStyle w:val="a4"/>
        <w:tabs>
          <w:tab w:val="left" w:pos="450"/>
        </w:tabs>
        <w:ind w:left="567"/>
      </w:pPr>
      <w:r>
        <w:t>Avtozma</w:t>
      </w:r>
      <w:r w:rsidR="00296A74" w:rsidRPr="0028514E">
        <w:t>a annetaan yleisoireisen lastenreuman oireiden lievittämiseksi ja sitä voidaan antaa yksin tai yhdessä metotreksaatin kanssa.</w:t>
      </w:r>
    </w:p>
    <w:p w14:paraId="041C729F" w14:textId="77777777" w:rsidR="003B7027" w:rsidRPr="0028514E" w:rsidRDefault="003B7027" w:rsidP="00615DE1">
      <w:pPr>
        <w:pStyle w:val="a4"/>
        <w:tabs>
          <w:tab w:val="left" w:pos="450"/>
        </w:tabs>
        <w:ind w:left="567" w:hanging="567"/>
      </w:pPr>
    </w:p>
    <w:p w14:paraId="5265E7F2" w14:textId="77777777" w:rsidR="003B7027" w:rsidRPr="0028514E" w:rsidRDefault="00296A74" w:rsidP="003B2654">
      <w:pPr>
        <w:pStyle w:val="a"/>
      </w:pPr>
      <w:r w:rsidRPr="0028514E">
        <w:rPr>
          <w:b/>
        </w:rPr>
        <w:t xml:space="preserve">2-vuotiaille ja sitä vanhemmille lapsille ja nuorille aktiivisen </w:t>
      </w:r>
      <w:r w:rsidRPr="0028514E">
        <w:rPr>
          <w:b/>
          <w:i/>
        </w:rPr>
        <w:t xml:space="preserve">polyartriitin </w:t>
      </w:r>
      <w:r w:rsidRPr="0028514E">
        <w:rPr>
          <w:b/>
        </w:rPr>
        <w:t xml:space="preserve">hoitoon. </w:t>
      </w:r>
      <w:r w:rsidRPr="0028514E">
        <w:t>Polyartriitti on tulehdussairaus, joka aiheuttaa kipua ja turvotusta yhdessä tai useammassa nivelessä.</w:t>
      </w:r>
    </w:p>
    <w:p w14:paraId="2A8012DF" w14:textId="77777777" w:rsidR="005F1B37" w:rsidRPr="00CA43F5" w:rsidRDefault="005F1B37" w:rsidP="00615DE1">
      <w:pPr>
        <w:ind w:left="567" w:hanging="567"/>
        <w:rPr>
          <w:rFonts w:ascii="Symbol" w:hAnsi="Symbol" w:hint="eastAsia"/>
          <w:lang w:val="fi-FI"/>
        </w:rPr>
      </w:pPr>
    </w:p>
    <w:p w14:paraId="0E60B454" w14:textId="65848F03" w:rsidR="003B7027" w:rsidRPr="0028514E" w:rsidRDefault="00352004" w:rsidP="00615DE1">
      <w:pPr>
        <w:pStyle w:val="a4"/>
        <w:ind w:left="567"/>
      </w:pPr>
      <w:r>
        <w:t>Avtozma</w:t>
      </w:r>
      <w:r w:rsidR="00296A74" w:rsidRPr="0028514E">
        <w:t>a annetaan polyartriitin oireiden lievittämiseksi ja sitä voidaan antaa yksin tai yhdessä metotreksaatin kanssa.</w:t>
      </w:r>
    </w:p>
    <w:p w14:paraId="2EF2C0A6" w14:textId="77777777" w:rsidR="003B7027" w:rsidRPr="0028514E" w:rsidRDefault="003B7027" w:rsidP="00615DE1">
      <w:pPr>
        <w:pStyle w:val="a4"/>
        <w:ind w:left="567" w:hanging="567"/>
      </w:pPr>
    </w:p>
    <w:p w14:paraId="31D57ABF" w14:textId="77777777" w:rsidR="005F1B37" w:rsidRPr="0028514E" w:rsidRDefault="005F1B37" w:rsidP="006E5F9A">
      <w:pPr>
        <w:pStyle w:val="a4"/>
        <w:ind w:left="0"/>
      </w:pPr>
    </w:p>
    <w:p w14:paraId="65D2AE14" w14:textId="296F54E9" w:rsidR="009C4816" w:rsidRDefault="00296A74" w:rsidP="006E5F9A">
      <w:pPr>
        <w:pStyle w:val="2"/>
      </w:pPr>
      <w:r w:rsidRPr="0028514E">
        <w:t>2.</w:t>
      </w:r>
      <w:r w:rsidRPr="0028514E">
        <w:tab/>
        <w:t xml:space="preserve">Mitä sinun on tiedettävä, ennen kuin käytät </w:t>
      </w:r>
      <w:r w:rsidR="00352004">
        <w:t>Avtozma</w:t>
      </w:r>
      <w:r w:rsidRPr="0028514E">
        <w:t xml:space="preserve">a </w:t>
      </w:r>
    </w:p>
    <w:p w14:paraId="5E6D140C" w14:textId="77777777" w:rsidR="009C4816" w:rsidRDefault="009C4816" w:rsidP="00DD705A"/>
    <w:p w14:paraId="19A707F3" w14:textId="2F193AEC" w:rsidR="003B7027" w:rsidRPr="009A3CB5" w:rsidRDefault="00296A74" w:rsidP="009A3CB5">
      <w:pPr>
        <w:rPr>
          <w:b/>
          <w:bCs/>
          <w:lang w:val="fi-FI"/>
        </w:rPr>
      </w:pPr>
      <w:r w:rsidRPr="009A3CB5">
        <w:rPr>
          <w:b/>
          <w:bCs/>
          <w:lang w:val="fi-FI"/>
        </w:rPr>
        <w:t xml:space="preserve">Älä käytä </w:t>
      </w:r>
      <w:r w:rsidR="00352004" w:rsidRPr="009A3CB5">
        <w:rPr>
          <w:b/>
          <w:bCs/>
          <w:lang w:val="fi-FI"/>
        </w:rPr>
        <w:t>Avtozma</w:t>
      </w:r>
      <w:r w:rsidRPr="009A3CB5">
        <w:rPr>
          <w:b/>
          <w:bCs/>
          <w:lang w:val="fi-FI"/>
        </w:rPr>
        <w:t>a</w:t>
      </w:r>
    </w:p>
    <w:p w14:paraId="37E8A4DC" w14:textId="77777777" w:rsidR="005F1B37" w:rsidRPr="0028514E" w:rsidRDefault="005F1B37" w:rsidP="00DD705A"/>
    <w:p w14:paraId="73094C82" w14:textId="50E5F640" w:rsidR="003B7027" w:rsidRPr="0028514E" w:rsidRDefault="00296A74" w:rsidP="003B2654">
      <w:pPr>
        <w:pStyle w:val="a"/>
        <w:rPr>
          <w:rFonts w:ascii="Symbol" w:hAnsi="Symbol"/>
        </w:rPr>
      </w:pPr>
      <w:r w:rsidRPr="0028514E">
        <w:t>jos olet tai hoitamasi lapsipotilas on allerginen tosilitsumabille tai tämän lääkkeen jollekin muulle aineelle (lueteltu kohdassa 6)</w:t>
      </w:r>
      <w:r w:rsidR="00352004">
        <w:t>. (Ks. erityisvaroitukset tämän kohdan lopussa otsikon ”Avtozma sisältää polysorbaattia” alla)</w:t>
      </w:r>
    </w:p>
    <w:p w14:paraId="46C90718" w14:textId="77777777" w:rsidR="003B7027" w:rsidRPr="0028514E" w:rsidRDefault="00296A74" w:rsidP="003B2654">
      <w:pPr>
        <w:pStyle w:val="a"/>
        <w:rPr>
          <w:rFonts w:ascii="Symbol" w:hAnsi="Symbol"/>
        </w:rPr>
      </w:pPr>
      <w:r w:rsidRPr="0028514E">
        <w:t>jos sinulla tai huollettavanasi olevalla lapsella on aktiivinen vaikea infektio.</w:t>
      </w:r>
    </w:p>
    <w:p w14:paraId="292204E7" w14:textId="77777777" w:rsidR="003B7027" w:rsidRPr="0028514E" w:rsidRDefault="003B7027" w:rsidP="006E5F9A">
      <w:pPr>
        <w:pStyle w:val="a4"/>
        <w:tabs>
          <w:tab w:val="left" w:pos="450"/>
        </w:tabs>
        <w:ind w:left="0"/>
      </w:pPr>
    </w:p>
    <w:p w14:paraId="1922DBF3" w14:textId="75F64620" w:rsidR="003B7027" w:rsidRPr="0028514E" w:rsidRDefault="00296A74" w:rsidP="006E5F9A">
      <w:pPr>
        <w:pStyle w:val="a4"/>
        <w:tabs>
          <w:tab w:val="left" w:pos="450"/>
        </w:tabs>
        <w:ind w:left="0"/>
      </w:pPr>
      <w:r w:rsidRPr="0028514E">
        <w:t xml:space="preserve">Kerro lääkärille, jos jokin näistä koskee sinua. Älä käytä </w:t>
      </w:r>
      <w:r w:rsidR="00352004">
        <w:t>Avtozma</w:t>
      </w:r>
      <w:r w:rsidRPr="0028514E">
        <w:t>a.</w:t>
      </w:r>
    </w:p>
    <w:p w14:paraId="695CBE6F" w14:textId="77777777" w:rsidR="003B7027" w:rsidRPr="0028514E" w:rsidRDefault="003B7027" w:rsidP="006E5F9A">
      <w:pPr>
        <w:pStyle w:val="a4"/>
        <w:tabs>
          <w:tab w:val="left" w:pos="450"/>
        </w:tabs>
        <w:ind w:left="0"/>
      </w:pPr>
    </w:p>
    <w:p w14:paraId="26029B44" w14:textId="77777777" w:rsidR="003B7027" w:rsidRPr="009A3CB5" w:rsidRDefault="00296A74" w:rsidP="009A3CB5">
      <w:pPr>
        <w:rPr>
          <w:b/>
          <w:bCs/>
          <w:lang w:val="fi-FI"/>
        </w:rPr>
      </w:pPr>
      <w:r w:rsidRPr="009A3CB5">
        <w:rPr>
          <w:b/>
          <w:bCs/>
          <w:lang w:val="fi-FI"/>
        </w:rPr>
        <w:t>Varoitukset ja varotoimet</w:t>
      </w:r>
    </w:p>
    <w:p w14:paraId="4D0B4B9B" w14:textId="77777777" w:rsidR="005F1B37" w:rsidRPr="009A3CB5" w:rsidRDefault="005F1B37" w:rsidP="00DD705A">
      <w:pPr>
        <w:rPr>
          <w:lang w:val="fi-FI"/>
        </w:rPr>
      </w:pPr>
    </w:p>
    <w:p w14:paraId="45605339" w14:textId="03ED2407" w:rsidR="003B7027" w:rsidRPr="0028514E" w:rsidRDefault="00296A74" w:rsidP="006E5F9A">
      <w:pPr>
        <w:pStyle w:val="a4"/>
        <w:tabs>
          <w:tab w:val="left" w:pos="450"/>
        </w:tabs>
        <w:ind w:left="0"/>
      </w:pPr>
      <w:r w:rsidRPr="0028514E">
        <w:t xml:space="preserve">Keskustele lääkärin, apteekkihenkilökunnan tai sairaanhoitajan kanssa ennen kuin käytät </w:t>
      </w:r>
      <w:r w:rsidR="00352004">
        <w:t>Avtozma</w:t>
      </w:r>
      <w:r w:rsidRPr="0028514E">
        <w:t>a.</w:t>
      </w:r>
    </w:p>
    <w:p w14:paraId="1B658A5A" w14:textId="77777777" w:rsidR="003B7027" w:rsidRPr="0028514E" w:rsidRDefault="003B7027" w:rsidP="006E5F9A">
      <w:pPr>
        <w:pStyle w:val="a4"/>
        <w:tabs>
          <w:tab w:val="left" w:pos="450"/>
        </w:tabs>
        <w:ind w:left="0"/>
      </w:pPr>
    </w:p>
    <w:p w14:paraId="21794D9A" w14:textId="77777777" w:rsidR="003B7027" w:rsidRPr="0028514E" w:rsidRDefault="00296A74" w:rsidP="003B2654">
      <w:pPr>
        <w:pStyle w:val="a"/>
      </w:pPr>
      <w:r w:rsidRPr="0028514E">
        <w:rPr>
          <w:b/>
        </w:rPr>
        <w:t>Kerro heti lääkärille</w:t>
      </w:r>
      <w:r w:rsidRPr="0028514E">
        <w:t xml:space="preserve">, jos havaitset </w:t>
      </w:r>
      <w:r w:rsidRPr="0028514E">
        <w:rPr>
          <w:b/>
        </w:rPr>
        <w:t>allergisia reaktioita</w:t>
      </w:r>
      <w:r w:rsidRPr="0028514E">
        <w:t>, kuten puristavaa tunnetta rintakehässä, hengityksen vinkumista, voimakasta huimausta tai pyörrytystä, huulien, kielen tai kasvojen turvotusta tai ihon kutinaa, nokkosihottumaa tai ihottumaa lääkkeen pistämisen (injektion) aikana tai sen jälkeen.</w:t>
      </w:r>
    </w:p>
    <w:p w14:paraId="45A2DB8C" w14:textId="77777777" w:rsidR="005F1B37" w:rsidRPr="00CA43F5" w:rsidRDefault="005F1B37" w:rsidP="009C4816">
      <w:pPr>
        <w:ind w:left="567" w:hanging="567"/>
        <w:rPr>
          <w:rFonts w:ascii="Symbol" w:hAnsi="Symbol" w:hint="eastAsia"/>
          <w:lang w:val="fi-FI"/>
        </w:rPr>
      </w:pPr>
    </w:p>
    <w:p w14:paraId="13CD5218" w14:textId="3B8BD152" w:rsidR="003B7027" w:rsidRPr="0028514E" w:rsidRDefault="00296A74" w:rsidP="003B2654">
      <w:pPr>
        <w:pStyle w:val="a"/>
        <w:rPr>
          <w:rFonts w:ascii="Symbol" w:hAnsi="Symbol"/>
        </w:rPr>
      </w:pPr>
      <w:r w:rsidRPr="0028514E">
        <w:t xml:space="preserve">Jos sinulla on esiintynyt allergisen reaktion oireita </w:t>
      </w:r>
      <w:r w:rsidR="00352004">
        <w:t>Avtozma</w:t>
      </w:r>
      <w:r w:rsidRPr="0028514E">
        <w:t>n pistämisen jälkeen, älä pistä seuraavaa annosta ennen kuin olet kertonut asiasta lääkärille JA lääkäri on kehottanut sinua ottamaan seuraavan annoksen.</w:t>
      </w:r>
    </w:p>
    <w:p w14:paraId="46D31A17" w14:textId="77777777" w:rsidR="003B7027" w:rsidRPr="0028514E" w:rsidRDefault="003B7027" w:rsidP="009C4816">
      <w:pPr>
        <w:pStyle w:val="a4"/>
        <w:ind w:left="567" w:hanging="567"/>
      </w:pPr>
    </w:p>
    <w:p w14:paraId="2B9CC71D" w14:textId="7DEA1A24" w:rsidR="003B7027" w:rsidRPr="0028514E" w:rsidRDefault="00296A74" w:rsidP="003B2654">
      <w:pPr>
        <w:pStyle w:val="a"/>
      </w:pPr>
      <w:r w:rsidRPr="0028514E">
        <w:t xml:space="preserve">Jos sinulla on mikä tahansa </w:t>
      </w:r>
      <w:r w:rsidRPr="0028514E">
        <w:rPr>
          <w:b/>
        </w:rPr>
        <w:t>infektio</w:t>
      </w:r>
      <w:r w:rsidRPr="0028514E">
        <w:t xml:space="preserve">, lyhyt- tai pitkäaikainen, tai jos sairastat usein infektiotauteja. </w:t>
      </w:r>
      <w:r w:rsidRPr="0028514E">
        <w:rPr>
          <w:b/>
        </w:rPr>
        <w:t>Kerro välittömästi lääkärille</w:t>
      </w:r>
      <w:r w:rsidRPr="0028514E">
        <w:t xml:space="preserve">, jos tunnet itsesi sairaaksi. </w:t>
      </w:r>
      <w:r w:rsidR="00352004">
        <w:t>Avtozma</w:t>
      </w:r>
      <w:r w:rsidRPr="0028514E">
        <w:t xml:space="preserve"> voi heikentää elimistön kykyä puolustautua infektioita vastaan ja se voi pahentaa jo olemassa olevia infektioita tai lisätä uusien infektioiden riskiä.</w:t>
      </w:r>
    </w:p>
    <w:p w14:paraId="388F6672" w14:textId="77777777" w:rsidR="005F1B37" w:rsidRPr="00CA43F5" w:rsidRDefault="005F1B37" w:rsidP="009C4816">
      <w:pPr>
        <w:ind w:left="567" w:hanging="567"/>
        <w:rPr>
          <w:rFonts w:ascii="Symbol" w:hAnsi="Symbol" w:hint="eastAsia"/>
          <w:lang w:val="fi-FI"/>
        </w:rPr>
      </w:pPr>
    </w:p>
    <w:p w14:paraId="705A051E" w14:textId="42F00079" w:rsidR="003B7027" w:rsidRPr="0028514E" w:rsidRDefault="00296A74" w:rsidP="003B2654">
      <w:pPr>
        <w:pStyle w:val="a"/>
      </w:pPr>
      <w:r w:rsidRPr="0028514E">
        <w:lastRenderedPageBreak/>
        <w:t xml:space="preserve">Kerro lääkärille, jos sinulla on ollut </w:t>
      </w:r>
      <w:r w:rsidRPr="0028514E">
        <w:rPr>
          <w:b/>
        </w:rPr>
        <w:t>tuberkuloosi</w:t>
      </w:r>
      <w:r w:rsidRPr="0028514E">
        <w:t xml:space="preserve">. Ennen </w:t>
      </w:r>
      <w:r w:rsidR="00352004">
        <w:t>Avtozma</w:t>
      </w:r>
      <w:r w:rsidRPr="0028514E">
        <w:t xml:space="preserve">-hoidon aloittamista lääkäri tutkii, onko sinulla tuberkuloosiin viittaavia merkkejä tai oireita. Kerro välittömästi lääkärille, jos havaitset tuberkuloosiin viittaavia oireita (esim. itsepintainen yskä, painon lasku, voimattomuus, lievä lämmönnousu) tai saat minkä tahansa infektion </w:t>
      </w:r>
      <w:r w:rsidR="00352004">
        <w:t>Avtozma</w:t>
      </w:r>
      <w:r w:rsidRPr="0028514E">
        <w:t>-hoidon aikana tai sen jälkeen.</w:t>
      </w:r>
    </w:p>
    <w:p w14:paraId="48834AB5" w14:textId="77777777" w:rsidR="005F1B37" w:rsidRPr="00CA43F5" w:rsidRDefault="005F1B37" w:rsidP="009C4816">
      <w:pPr>
        <w:ind w:left="567" w:hanging="567"/>
        <w:rPr>
          <w:rFonts w:ascii="Symbol" w:hAnsi="Symbol" w:hint="eastAsia"/>
          <w:lang w:val="fi-FI"/>
        </w:rPr>
      </w:pPr>
    </w:p>
    <w:p w14:paraId="6FD5D080" w14:textId="77777777" w:rsidR="003B7027" w:rsidRPr="0028514E" w:rsidRDefault="00296A74" w:rsidP="003B2654">
      <w:pPr>
        <w:pStyle w:val="a"/>
        <w:rPr>
          <w:rFonts w:ascii="Symbol" w:hAnsi="Symbol"/>
        </w:rPr>
      </w:pPr>
      <w:r w:rsidRPr="0028514E">
        <w:t xml:space="preserve">Kerro lääkärille, jos sinulla on ollut </w:t>
      </w:r>
      <w:r w:rsidRPr="0028514E">
        <w:rPr>
          <w:b/>
        </w:rPr>
        <w:t xml:space="preserve">suolistohaavaumia </w:t>
      </w:r>
      <w:r w:rsidRPr="0028514E">
        <w:t xml:space="preserve">tai </w:t>
      </w:r>
      <w:r w:rsidRPr="0028514E">
        <w:rPr>
          <w:b/>
        </w:rPr>
        <w:t>divertikuliittia</w:t>
      </w:r>
      <w:r w:rsidRPr="0028514E">
        <w:t>. Oireita voivat olla vatsakipu, selittämättömät muutokset suoliston toiminnassa ja samanaikainen kuume.</w:t>
      </w:r>
    </w:p>
    <w:p w14:paraId="78ACBB07" w14:textId="77777777" w:rsidR="003B7027" w:rsidRPr="00CA43F5" w:rsidRDefault="003B7027" w:rsidP="003B2654">
      <w:pPr>
        <w:rPr>
          <w:lang w:val="fi-FI"/>
        </w:rPr>
      </w:pPr>
    </w:p>
    <w:p w14:paraId="158FF78D" w14:textId="0C4F005F" w:rsidR="003B7027" w:rsidRPr="0028514E" w:rsidRDefault="00296A74" w:rsidP="003B2654">
      <w:pPr>
        <w:pStyle w:val="a"/>
        <w:rPr>
          <w:rFonts w:ascii="Symbol" w:hAnsi="Symbol"/>
        </w:rPr>
      </w:pPr>
      <w:r w:rsidRPr="0028514E">
        <w:t xml:space="preserve">Kerro lääkärille, jos sinulla on </w:t>
      </w:r>
      <w:r w:rsidRPr="0028514E">
        <w:rPr>
          <w:b/>
        </w:rPr>
        <w:t>maksasairaus</w:t>
      </w:r>
      <w:r w:rsidRPr="0028514E">
        <w:t xml:space="preserve">. Lääkäri voi määrätä sinut verikokeeseen selvittääkseen maksasi toimintaa ennen </w:t>
      </w:r>
      <w:r w:rsidR="00352004">
        <w:t>Avtozma</w:t>
      </w:r>
      <w:r w:rsidRPr="0028514E">
        <w:t>-hoidon aloittamista.</w:t>
      </w:r>
    </w:p>
    <w:p w14:paraId="4F18A760" w14:textId="77777777" w:rsidR="003B7027" w:rsidRPr="0028514E" w:rsidRDefault="003B7027" w:rsidP="009C4816">
      <w:pPr>
        <w:pStyle w:val="a4"/>
        <w:ind w:left="567" w:hanging="567"/>
      </w:pPr>
    </w:p>
    <w:p w14:paraId="7FD9EED4" w14:textId="6FB91760" w:rsidR="003B7027" w:rsidRPr="0028514E" w:rsidRDefault="00296A74" w:rsidP="003B2654">
      <w:pPr>
        <w:pStyle w:val="a"/>
        <w:rPr>
          <w:rFonts w:ascii="Symbol" w:hAnsi="Symbol"/>
        </w:rPr>
      </w:pPr>
      <w:r w:rsidRPr="0028514E">
        <w:t xml:space="preserve">Kerro lääkärille, jos </w:t>
      </w:r>
      <w:r w:rsidRPr="0028514E">
        <w:rPr>
          <w:b/>
        </w:rPr>
        <w:t xml:space="preserve">potilas on hiljattain rokotettu </w:t>
      </w:r>
      <w:r w:rsidRPr="0028514E">
        <w:t xml:space="preserve">tai hänelle suunnitellaan rokotuksen antamista. Kaikille potilaille suositellaan rokotusten antamista voimassa olevien rokotussuositusten mukaisesti ennen </w:t>
      </w:r>
      <w:r w:rsidR="00352004">
        <w:t>Avtozma</w:t>
      </w:r>
      <w:r w:rsidRPr="0028514E">
        <w:t xml:space="preserve">-hoidon aloittamista. Tietyntyyppisiä rokotteita ei pidä antaa </w:t>
      </w:r>
      <w:r w:rsidR="00352004">
        <w:t>Avtozma</w:t>
      </w:r>
      <w:r w:rsidRPr="0028514E">
        <w:t>-hoidon aikana.</w:t>
      </w:r>
    </w:p>
    <w:p w14:paraId="66AC3CDD" w14:textId="77777777" w:rsidR="003B7027" w:rsidRPr="0028514E" w:rsidRDefault="003B7027" w:rsidP="009C4816">
      <w:pPr>
        <w:pStyle w:val="a4"/>
        <w:ind w:left="567" w:hanging="567"/>
      </w:pPr>
    </w:p>
    <w:p w14:paraId="78A7E23E" w14:textId="2AC2A2F4" w:rsidR="003B7027" w:rsidRPr="0028514E" w:rsidRDefault="00296A74" w:rsidP="003B2654">
      <w:pPr>
        <w:pStyle w:val="a"/>
      </w:pPr>
      <w:r w:rsidRPr="0028514E">
        <w:t xml:space="preserve">Kerro lääkärille, jos sairastat </w:t>
      </w:r>
      <w:r w:rsidRPr="0028514E">
        <w:rPr>
          <w:b/>
        </w:rPr>
        <w:t>syöpää</w:t>
      </w:r>
      <w:r w:rsidRPr="0028514E">
        <w:t xml:space="preserve">. Lääkäri päättää, sopiiko </w:t>
      </w:r>
      <w:r w:rsidR="00352004">
        <w:t>Avtozma</w:t>
      </w:r>
      <w:r w:rsidRPr="0028514E">
        <w:t>-hoito sinulle.</w:t>
      </w:r>
    </w:p>
    <w:p w14:paraId="5B9F5D4E" w14:textId="77777777" w:rsidR="005F1B37" w:rsidRPr="00CA43F5" w:rsidRDefault="005F1B37" w:rsidP="009C4816">
      <w:pPr>
        <w:ind w:left="567" w:hanging="567"/>
        <w:rPr>
          <w:rFonts w:ascii="Symbol" w:hAnsi="Symbol" w:hint="eastAsia"/>
          <w:lang w:val="fi-FI"/>
        </w:rPr>
      </w:pPr>
    </w:p>
    <w:p w14:paraId="0BCB720D" w14:textId="07F245D5" w:rsidR="003B7027" w:rsidRPr="0028514E" w:rsidRDefault="00296A74" w:rsidP="003B2654">
      <w:pPr>
        <w:pStyle w:val="a"/>
        <w:rPr>
          <w:rFonts w:ascii="Symbol" w:hAnsi="Symbol"/>
        </w:rPr>
      </w:pPr>
      <w:r w:rsidRPr="0028514E">
        <w:t xml:space="preserve">Kerro lääkärille, jos sinulla on todettu </w:t>
      </w:r>
      <w:r w:rsidRPr="0028514E">
        <w:rPr>
          <w:b/>
        </w:rPr>
        <w:t>sydän- ja verisuonisairauksien riskitekijöitä</w:t>
      </w:r>
      <w:r w:rsidRPr="0028514E">
        <w:t xml:space="preserve">, kuten kohonnut verenpaine ja kohonneet kolesterolitasot. Näitä riskitekijöitä tulee seurata </w:t>
      </w:r>
      <w:r w:rsidR="00352004">
        <w:t>Avtozma</w:t>
      </w:r>
      <w:r w:rsidRPr="0028514E">
        <w:t>- hoidon aikana.</w:t>
      </w:r>
    </w:p>
    <w:p w14:paraId="16E301BD" w14:textId="77777777" w:rsidR="003B7027" w:rsidRPr="0028514E" w:rsidRDefault="003B7027" w:rsidP="009C4816">
      <w:pPr>
        <w:pStyle w:val="a4"/>
        <w:ind w:left="567" w:hanging="567"/>
      </w:pPr>
    </w:p>
    <w:p w14:paraId="1DC67F29" w14:textId="77777777" w:rsidR="003B7027" w:rsidRPr="0028514E" w:rsidRDefault="00296A74" w:rsidP="003B2654">
      <w:pPr>
        <w:pStyle w:val="a"/>
      </w:pPr>
      <w:r w:rsidRPr="0028514E">
        <w:t xml:space="preserve">Jos sinulla on todettu kohtalainen tai vaikea </w:t>
      </w:r>
      <w:r w:rsidRPr="0028514E">
        <w:rPr>
          <w:b/>
        </w:rPr>
        <w:t>munuaisten vajaatoiminta</w:t>
      </w:r>
      <w:r w:rsidRPr="0028514E">
        <w:t>, lääkäri seuraa munuaistesi toimintaa.</w:t>
      </w:r>
    </w:p>
    <w:p w14:paraId="63091704" w14:textId="77777777" w:rsidR="005F1B37" w:rsidRPr="00CA43F5" w:rsidRDefault="005F1B37" w:rsidP="009C4816">
      <w:pPr>
        <w:ind w:left="567" w:hanging="567"/>
        <w:rPr>
          <w:rFonts w:ascii="Symbol" w:hAnsi="Symbol" w:hint="eastAsia"/>
          <w:lang w:val="fi-FI"/>
        </w:rPr>
      </w:pPr>
    </w:p>
    <w:p w14:paraId="6EC4ED76" w14:textId="77777777" w:rsidR="003B7027" w:rsidRPr="0028514E" w:rsidRDefault="00296A74" w:rsidP="003B2654">
      <w:pPr>
        <w:pStyle w:val="a"/>
        <w:rPr>
          <w:b/>
        </w:rPr>
      </w:pPr>
      <w:r w:rsidRPr="0028514E">
        <w:t xml:space="preserve">Kerro lääkärille, jos sinulla on </w:t>
      </w:r>
      <w:r w:rsidRPr="0028514E">
        <w:rPr>
          <w:b/>
        </w:rPr>
        <w:t>jatkuvaa päänsärkyä.</w:t>
      </w:r>
    </w:p>
    <w:p w14:paraId="13D6AF1F" w14:textId="77777777" w:rsidR="005F1B37" w:rsidRPr="00CA43F5" w:rsidRDefault="005F1B37" w:rsidP="003B2654">
      <w:pPr>
        <w:rPr>
          <w:lang w:val="fi-FI"/>
        </w:rPr>
      </w:pPr>
    </w:p>
    <w:p w14:paraId="2E08F76D" w14:textId="746DB206" w:rsidR="003B7027" w:rsidRPr="0028514E" w:rsidRDefault="00296A74" w:rsidP="006E5F9A">
      <w:pPr>
        <w:pStyle w:val="a4"/>
        <w:ind w:left="0"/>
      </w:pPr>
      <w:r w:rsidRPr="0028514E">
        <w:t xml:space="preserve">Lääkäri määrää sinut verikokeeseen ennen </w:t>
      </w:r>
      <w:r w:rsidR="00352004">
        <w:t>Avtozma</w:t>
      </w:r>
      <w:r w:rsidRPr="0028514E">
        <w:t>-hoidon aloittamista alhaisen valkosolu- tai verihiutalemäärän tai liian korkeiden maksaentsyymiarvojen selvittämiseksi.</w:t>
      </w:r>
    </w:p>
    <w:p w14:paraId="2908EF29" w14:textId="77777777" w:rsidR="003B7027" w:rsidRPr="0028514E" w:rsidRDefault="003B7027" w:rsidP="006E5F9A">
      <w:pPr>
        <w:pStyle w:val="a4"/>
        <w:ind w:left="0"/>
      </w:pPr>
    </w:p>
    <w:p w14:paraId="56CBB436" w14:textId="77777777" w:rsidR="003B7027" w:rsidRPr="009A3CB5" w:rsidRDefault="00296A74" w:rsidP="009A3CB5">
      <w:pPr>
        <w:rPr>
          <w:b/>
          <w:bCs/>
          <w:lang w:val="fi-FI"/>
        </w:rPr>
      </w:pPr>
      <w:r w:rsidRPr="009A3CB5">
        <w:rPr>
          <w:b/>
          <w:bCs/>
          <w:lang w:val="fi-FI"/>
        </w:rPr>
        <w:t>Lapset ja nuoret</w:t>
      </w:r>
    </w:p>
    <w:p w14:paraId="5FCD5DEC" w14:textId="34274DBA" w:rsidR="003B7027" w:rsidRPr="0028514E" w:rsidRDefault="00296A74" w:rsidP="006E5F9A">
      <w:pPr>
        <w:pStyle w:val="a4"/>
        <w:ind w:left="0"/>
      </w:pPr>
      <w:r w:rsidRPr="0028514E">
        <w:t xml:space="preserve">Ihon alle pistettävää </w:t>
      </w:r>
      <w:r w:rsidR="00352004">
        <w:t>Avtozma</w:t>
      </w:r>
      <w:r w:rsidRPr="0028514E">
        <w:t xml:space="preserve">-injektiota ei suositella alle 1-vuotiaille potilaille. </w:t>
      </w:r>
      <w:r w:rsidR="00352004">
        <w:t>Avtozma</w:t>
      </w:r>
      <w:r w:rsidRPr="0028514E">
        <w:t>-hoitoa ei saa antaa aktiivista yleisoireista lastenreumaa sairastaville lapsipotilaille, joiden paino on alle 10 kg.</w:t>
      </w:r>
    </w:p>
    <w:p w14:paraId="64990C8F" w14:textId="77777777" w:rsidR="005F1B37" w:rsidRPr="0028514E" w:rsidRDefault="005F1B37" w:rsidP="006E5F9A">
      <w:pPr>
        <w:pStyle w:val="a4"/>
        <w:ind w:left="0"/>
      </w:pPr>
    </w:p>
    <w:p w14:paraId="5E83C461" w14:textId="62DDB8A0" w:rsidR="003B7027" w:rsidRPr="0028514E" w:rsidRDefault="00296A74" w:rsidP="006E5F9A">
      <w:pPr>
        <w:pStyle w:val="a4"/>
        <w:ind w:left="0"/>
      </w:pPr>
      <w:r w:rsidRPr="0028514E">
        <w:t xml:space="preserve">Kerro lääkärille, jos lapsi on aiemmin sairastanut </w:t>
      </w:r>
      <w:r w:rsidRPr="0028514E">
        <w:rPr>
          <w:b/>
          <w:i/>
        </w:rPr>
        <w:t xml:space="preserve">makrofagiaktivaatio-oireyhtymää </w:t>
      </w:r>
      <w:r w:rsidRPr="0028514E">
        <w:t>(tietynlaisten verisolujen hallitsematonta lisääntymistä)</w:t>
      </w:r>
      <w:r w:rsidRPr="0028514E">
        <w:rPr>
          <w:b/>
          <w:i/>
        </w:rPr>
        <w:t xml:space="preserve">. </w:t>
      </w:r>
      <w:r w:rsidRPr="0028514E">
        <w:t xml:space="preserve">Lääkäri päättää, sopiiko </w:t>
      </w:r>
      <w:r w:rsidR="00352004">
        <w:t>Avtozma</w:t>
      </w:r>
      <w:r w:rsidRPr="0028514E">
        <w:t>-hoito hänelle.</w:t>
      </w:r>
    </w:p>
    <w:p w14:paraId="0011B5CD" w14:textId="77777777" w:rsidR="003B7027" w:rsidRPr="0028514E" w:rsidRDefault="003B7027" w:rsidP="006E5F9A">
      <w:pPr>
        <w:pStyle w:val="a4"/>
        <w:ind w:left="0"/>
      </w:pPr>
    </w:p>
    <w:p w14:paraId="427836EA" w14:textId="6F00CD14" w:rsidR="003B7027" w:rsidRPr="009A3CB5" w:rsidRDefault="00296A74" w:rsidP="009A3CB5">
      <w:pPr>
        <w:rPr>
          <w:b/>
          <w:bCs/>
          <w:lang w:val="fi-FI"/>
        </w:rPr>
      </w:pPr>
      <w:r w:rsidRPr="009A3CB5">
        <w:rPr>
          <w:b/>
          <w:bCs/>
          <w:lang w:val="fi-FI"/>
        </w:rPr>
        <w:t xml:space="preserve">Muut lääkevalmisteet ja </w:t>
      </w:r>
      <w:r w:rsidR="00352004" w:rsidRPr="009A3CB5">
        <w:rPr>
          <w:b/>
          <w:bCs/>
          <w:lang w:val="fi-FI"/>
        </w:rPr>
        <w:t>Avtozma</w:t>
      </w:r>
    </w:p>
    <w:p w14:paraId="18DF86C1" w14:textId="0CC87B3E" w:rsidR="003B7027" w:rsidRPr="0028514E" w:rsidRDefault="00296A74" w:rsidP="006E5F9A">
      <w:pPr>
        <w:pStyle w:val="a4"/>
        <w:ind w:left="0"/>
      </w:pPr>
      <w:r w:rsidRPr="0028514E">
        <w:t xml:space="preserve">Kerro lääkärille, jos parhaillaan käytät tai olet äskettäin käyttänyt muita lääkkeitä. </w:t>
      </w:r>
      <w:r w:rsidR="00352004">
        <w:t>Avtozma</w:t>
      </w:r>
      <w:r w:rsidRPr="0028514E">
        <w:t xml:space="preserve"> voi vaikuttaa muiden lääkkeiden tehoon, jolloin niiden annosta voi olla tarpeen muuttaa. </w:t>
      </w:r>
      <w:r w:rsidRPr="0028514E">
        <w:rPr>
          <w:b/>
        </w:rPr>
        <w:t>Kerro lääkärille</w:t>
      </w:r>
      <w:r w:rsidRPr="0028514E">
        <w:t>, jos käytät lääkkeitä, jotka sisältävät jonkin seuraavista vaikuttavista aineista:</w:t>
      </w:r>
    </w:p>
    <w:p w14:paraId="52414FC3" w14:textId="77777777" w:rsidR="003B7027" w:rsidRPr="003B2654" w:rsidRDefault="00296A74" w:rsidP="003B2654">
      <w:pPr>
        <w:pStyle w:val="a"/>
      </w:pPr>
      <w:r w:rsidRPr="003B2654">
        <w:t>metyyliprednisoloni, deksametasoni (käytetään tulehduksen lievittämiseksi)</w:t>
      </w:r>
    </w:p>
    <w:p w14:paraId="2E9DC7C7" w14:textId="77777777" w:rsidR="003B7027" w:rsidRPr="003B2654" w:rsidRDefault="00296A74" w:rsidP="003B2654">
      <w:pPr>
        <w:pStyle w:val="a"/>
      </w:pPr>
      <w:r w:rsidRPr="003B2654">
        <w:t>simvastatiini tai atorvastatiini (käytetään alentamaan kolesterolitasoja)</w:t>
      </w:r>
    </w:p>
    <w:p w14:paraId="7605F242" w14:textId="77777777" w:rsidR="003B7027" w:rsidRPr="003B2654" w:rsidRDefault="00296A74" w:rsidP="003B2654">
      <w:pPr>
        <w:pStyle w:val="a"/>
      </w:pPr>
      <w:r w:rsidRPr="003B2654">
        <w:t>kalsiuminestäjät, esim. amlodipiini (käytetään korkean verenpaineen hoitoon)</w:t>
      </w:r>
    </w:p>
    <w:p w14:paraId="5D2BCD6E" w14:textId="77777777" w:rsidR="003B7027" w:rsidRPr="003B2654" w:rsidRDefault="00296A74" w:rsidP="003B2654">
      <w:pPr>
        <w:pStyle w:val="a"/>
      </w:pPr>
      <w:r w:rsidRPr="003B2654">
        <w:t>teofylliini (käytetään astman hoitoon)</w:t>
      </w:r>
    </w:p>
    <w:p w14:paraId="7474CDC0" w14:textId="77777777" w:rsidR="003B7027" w:rsidRPr="003B2654" w:rsidRDefault="00296A74" w:rsidP="003B2654">
      <w:pPr>
        <w:pStyle w:val="a"/>
      </w:pPr>
      <w:r w:rsidRPr="003B2654">
        <w:t>varfariini tai fenprokumoni (käytetään verenohennuslääkkeinä)</w:t>
      </w:r>
    </w:p>
    <w:p w14:paraId="400621F5" w14:textId="77777777" w:rsidR="003B7027" w:rsidRPr="003B2654" w:rsidRDefault="00296A74" w:rsidP="003B2654">
      <w:pPr>
        <w:pStyle w:val="a"/>
      </w:pPr>
      <w:r w:rsidRPr="003B2654">
        <w:t>fenytoiini (käytetään kouristuslääkkeenä)</w:t>
      </w:r>
    </w:p>
    <w:p w14:paraId="46517A5D" w14:textId="77777777" w:rsidR="003B7027" w:rsidRPr="003B2654" w:rsidRDefault="00296A74" w:rsidP="003B2654">
      <w:pPr>
        <w:pStyle w:val="a"/>
      </w:pPr>
      <w:r w:rsidRPr="003B2654">
        <w:t>siklosporiini (käytetään elinsiirtojen yhteydessä vaimentamaan immuunijärjestelmää)</w:t>
      </w:r>
    </w:p>
    <w:p w14:paraId="3ED00AC4" w14:textId="77777777" w:rsidR="003B7027" w:rsidRPr="003B2654" w:rsidRDefault="00296A74" w:rsidP="003B2654">
      <w:pPr>
        <w:pStyle w:val="a"/>
      </w:pPr>
      <w:r w:rsidRPr="003B2654">
        <w:t>bentsodiatsepiinit, esim. tematsepaami (käytetään ahdistuksen lievittämiseen).</w:t>
      </w:r>
    </w:p>
    <w:p w14:paraId="4E39D7E5" w14:textId="77777777" w:rsidR="005F1B37" w:rsidRPr="003B2654" w:rsidRDefault="005F1B37" w:rsidP="006E5F9A">
      <w:pPr>
        <w:pStyle w:val="a4"/>
        <w:ind w:left="0"/>
      </w:pPr>
    </w:p>
    <w:p w14:paraId="1C1C4C1A" w14:textId="09E1090D" w:rsidR="003B7027" w:rsidRPr="0028514E" w:rsidRDefault="00296A74" w:rsidP="003B2654">
      <w:pPr>
        <w:pStyle w:val="a4"/>
        <w:ind w:left="0"/>
      </w:pPr>
      <w:r w:rsidRPr="0028514E">
        <w:t xml:space="preserve">Riittämättömän kliinisen kokemuksen takia </w:t>
      </w:r>
      <w:r w:rsidR="0005547E">
        <w:t>tosilitsumabia</w:t>
      </w:r>
      <w:r w:rsidRPr="0028514E">
        <w:t xml:space="preserve"> ei suositella käytettäväksi yhdessä muiden nivelreuman, yleisoireisen lastenreuman, polyartriitin tai jättisoluarteriitin hoitoon tarkoitettujen biologisten lääkkeiden kanssa.</w:t>
      </w:r>
    </w:p>
    <w:p w14:paraId="04A0481B" w14:textId="77777777" w:rsidR="003B7027" w:rsidRPr="0028514E" w:rsidRDefault="003B7027" w:rsidP="003B2654">
      <w:pPr>
        <w:pStyle w:val="a4"/>
        <w:ind w:left="0"/>
      </w:pPr>
    </w:p>
    <w:p w14:paraId="13FAF24D" w14:textId="77777777" w:rsidR="003B7027" w:rsidRPr="0028514E" w:rsidRDefault="00296A74" w:rsidP="00CA43F5">
      <w:pPr>
        <w:pStyle w:val="2"/>
        <w:keepNext/>
      </w:pPr>
      <w:r w:rsidRPr="0028514E">
        <w:lastRenderedPageBreak/>
        <w:t>Raskaus, imetys ja hedelmällisyys</w:t>
      </w:r>
    </w:p>
    <w:p w14:paraId="1D2E3A2F" w14:textId="77777777" w:rsidR="005F1B37" w:rsidRPr="009A3CB5" w:rsidRDefault="005F1B37" w:rsidP="00DD705A">
      <w:pPr>
        <w:rPr>
          <w:lang w:val="fi-FI"/>
        </w:rPr>
      </w:pPr>
    </w:p>
    <w:p w14:paraId="117AD81F" w14:textId="1924ED74" w:rsidR="003B7027" w:rsidRPr="00CA43F5" w:rsidRDefault="00352004" w:rsidP="003B2654">
      <w:pPr>
        <w:rPr>
          <w:lang w:val="fi-FI"/>
        </w:rPr>
      </w:pPr>
      <w:r w:rsidRPr="00CA43F5">
        <w:rPr>
          <w:b/>
          <w:lang w:val="fi-FI"/>
        </w:rPr>
        <w:t>Avtozma</w:t>
      </w:r>
      <w:r w:rsidR="00296A74" w:rsidRPr="00CA43F5">
        <w:rPr>
          <w:b/>
          <w:lang w:val="fi-FI"/>
        </w:rPr>
        <w:t>a ei pidä käyttää raskauden aikana</w:t>
      </w:r>
      <w:r w:rsidR="00296A74" w:rsidRPr="00CA43F5">
        <w:rPr>
          <w:lang w:val="fi-FI"/>
        </w:rPr>
        <w:t>, ellei se ole ehdottoman välttämätöntä. Kerro lääkärille, jos olet tai epäilet olevasi raskaana tai suunnittelet raskautta.</w:t>
      </w:r>
    </w:p>
    <w:p w14:paraId="30C1D5D5" w14:textId="77777777" w:rsidR="005F1B37" w:rsidRPr="00CA43F5" w:rsidRDefault="005F1B37" w:rsidP="003B2654">
      <w:pPr>
        <w:rPr>
          <w:lang w:val="fi-FI"/>
        </w:rPr>
      </w:pPr>
    </w:p>
    <w:p w14:paraId="17352B8A" w14:textId="77777777" w:rsidR="003B7027" w:rsidRPr="00CA43F5" w:rsidRDefault="00296A74" w:rsidP="003B2654">
      <w:pPr>
        <w:rPr>
          <w:lang w:val="fi-FI"/>
        </w:rPr>
      </w:pPr>
      <w:r w:rsidRPr="00CA43F5">
        <w:rPr>
          <w:b/>
          <w:lang w:val="fi-FI"/>
        </w:rPr>
        <w:t xml:space="preserve">Hedelmällisessä iässä olevien naisten on </w:t>
      </w:r>
      <w:r w:rsidRPr="00CA43F5">
        <w:rPr>
          <w:lang w:val="fi-FI"/>
        </w:rPr>
        <w:t>käytettävä luotettavaa ehkäisyä hoidon aikana ja vähintään kolmen kuukauden ajan hoidon päättymisen jälkeen.</w:t>
      </w:r>
    </w:p>
    <w:p w14:paraId="6DD41AD5" w14:textId="77777777" w:rsidR="005F1B37" w:rsidRPr="00CA43F5" w:rsidRDefault="005F1B37" w:rsidP="003B2654">
      <w:pPr>
        <w:rPr>
          <w:lang w:val="fi-FI"/>
        </w:rPr>
      </w:pPr>
    </w:p>
    <w:p w14:paraId="7D164514" w14:textId="3F3563F6" w:rsidR="003B7027" w:rsidRPr="00CA43F5" w:rsidRDefault="00296A74" w:rsidP="003B2654">
      <w:pPr>
        <w:rPr>
          <w:lang w:val="fi-FI"/>
        </w:rPr>
      </w:pPr>
      <w:r w:rsidRPr="00CA43F5">
        <w:rPr>
          <w:b/>
          <w:lang w:val="fi-FI"/>
        </w:rPr>
        <w:t xml:space="preserve">Lopeta imettäminen, jos sinulle suunnitellaan </w:t>
      </w:r>
      <w:r w:rsidR="00352004" w:rsidRPr="00CA43F5">
        <w:rPr>
          <w:b/>
          <w:lang w:val="fi-FI"/>
        </w:rPr>
        <w:t>Avtozma</w:t>
      </w:r>
      <w:r w:rsidRPr="00CA43F5">
        <w:rPr>
          <w:b/>
          <w:lang w:val="fi-FI"/>
        </w:rPr>
        <w:t xml:space="preserve">n antamista </w:t>
      </w:r>
      <w:r w:rsidRPr="00CA43F5">
        <w:rPr>
          <w:lang w:val="fi-FI"/>
        </w:rPr>
        <w:t xml:space="preserve">ja keskustele asiasta lääkärin kanssa. Odota viimeisen hoitokerran jälkeen vähintään 3 kuukautta ennen kuin aloitat imettämisen. Ei tiedetä, erittyykö </w:t>
      </w:r>
      <w:r w:rsidR="00352004" w:rsidRPr="00CA43F5">
        <w:rPr>
          <w:lang w:val="fi-FI"/>
        </w:rPr>
        <w:t>Avtozma</w:t>
      </w:r>
      <w:r w:rsidRPr="00CA43F5">
        <w:rPr>
          <w:lang w:val="fi-FI"/>
        </w:rPr>
        <w:t xml:space="preserve"> äidinmaitoon.</w:t>
      </w:r>
    </w:p>
    <w:p w14:paraId="5A64F917" w14:textId="77777777" w:rsidR="003B7027" w:rsidRPr="0028514E" w:rsidRDefault="003B7027" w:rsidP="003B2654">
      <w:pPr>
        <w:pStyle w:val="a4"/>
        <w:ind w:left="0"/>
      </w:pPr>
    </w:p>
    <w:p w14:paraId="6EB4C5B0" w14:textId="77777777" w:rsidR="003B7027" w:rsidRPr="009A3CB5" w:rsidRDefault="00296A74" w:rsidP="009A3CB5">
      <w:pPr>
        <w:rPr>
          <w:b/>
          <w:bCs/>
          <w:lang w:val="fi-FI"/>
        </w:rPr>
      </w:pPr>
      <w:r w:rsidRPr="009A3CB5">
        <w:rPr>
          <w:b/>
          <w:bCs/>
          <w:lang w:val="fi-FI"/>
        </w:rPr>
        <w:t>Ajaminen ja koneiden käyttö</w:t>
      </w:r>
    </w:p>
    <w:p w14:paraId="2810E514" w14:textId="77777777" w:rsidR="003B7027" w:rsidRPr="0028514E" w:rsidRDefault="00296A74" w:rsidP="003B2654">
      <w:pPr>
        <w:pStyle w:val="a4"/>
        <w:ind w:left="0"/>
      </w:pPr>
      <w:r w:rsidRPr="0028514E">
        <w:t>Tämä lääke voi aiheuttaa huimausta. Jos tunnet huimausta, älä aja autoa tai käytä koneita.</w:t>
      </w:r>
    </w:p>
    <w:p w14:paraId="2B30F8B9" w14:textId="16CF2319" w:rsidR="003B7027" w:rsidRPr="009A3CB5" w:rsidRDefault="003B7027" w:rsidP="009A3CB5">
      <w:pPr>
        <w:rPr>
          <w:b/>
          <w:bCs/>
          <w:lang w:val="fi-FI"/>
        </w:rPr>
      </w:pPr>
    </w:p>
    <w:p w14:paraId="65879663" w14:textId="77777777" w:rsidR="00352004" w:rsidRPr="009A3CB5" w:rsidRDefault="00352004" w:rsidP="009A3CB5">
      <w:pPr>
        <w:rPr>
          <w:b/>
          <w:bCs/>
          <w:lang w:val="fi-FI"/>
        </w:rPr>
      </w:pPr>
      <w:r w:rsidRPr="009A3CB5">
        <w:rPr>
          <w:b/>
          <w:bCs/>
          <w:lang w:val="fi-FI"/>
        </w:rPr>
        <w:t>Avtozma sisältää polysorbaattia</w:t>
      </w:r>
    </w:p>
    <w:p w14:paraId="455484B3" w14:textId="144E4853" w:rsidR="00352004" w:rsidRPr="0028514E" w:rsidRDefault="00352004" w:rsidP="00352004">
      <w:pPr>
        <w:pStyle w:val="a4"/>
        <w:ind w:left="0"/>
      </w:pPr>
      <w:r w:rsidRPr="0028514E">
        <w:t xml:space="preserve">Tämä lääke sisältää </w:t>
      </w:r>
      <w:r>
        <w:t>0,2 mg polysorbaatti 80</w:t>
      </w:r>
      <w:r w:rsidR="00461828">
        <w:t>:tä</w:t>
      </w:r>
      <w:r>
        <w:t xml:space="preserve"> per esitäytetty ruisku. Polysorbaatit saattavat aiheuttaa allergisia reaktioita. Jos sinulla on allergioita, kerro asiasta lääkärille.</w:t>
      </w:r>
    </w:p>
    <w:p w14:paraId="10C29D7D" w14:textId="77777777" w:rsidR="003B7027" w:rsidRPr="0028514E" w:rsidRDefault="003B7027" w:rsidP="003B2654">
      <w:pPr>
        <w:pStyle w:val="a4"/>
        <w:ind w:left="0"/>
      </w:pPr>
    </w:p>
    <w:p w14:paraId="15207471" w14:textId="7E489CE5" w:rsidR="003B7027" w:rsidRPr="0028514E" w:rsidRDefault="00296A74" w:rsidP="003B2654">
      <w:pPr>
        <w:pStyle w:val="2"/>
      </w:pPr>
      <w:r w:rsidRPr="0028514E">
        <w:t>3.</w:t>
      </w:r>
      <w:r w:rsidRPr="0028514E">
        <w:tab/>
        <w:t xml:space="preserve">Miten </w:t>
      </w:r>
      <w:r w:rsidR="00352004">
        <w:t>Avtozma</w:t>
      </w:r>
      <w:r w:rsidRPr="0028514E">
        <w:t>a käytetään</w:t>
      </w:r>
    </w:p>
    <w:p w14:paraId="191FD717" w14:textId="77777777" w:rsidR="005F1B37" w:rsidRPr="0028514E" w:rsidRDefault="005F1B37" w:rsidP="003B2654">
      <w:pPr>
        <w:pStyle w:val="a4"/>
        <w:ind w:left="0"/>
      </w:pPr>
    </w:p>
    <w:p w14:paraId="758B3E21" w14:textId="77777777" w:rsidR="003B7027" w:rsidRPr="0028514E" w:rsidRDefault="00296A74" w:rsidP="003B2654">
      <w:pPr>
        <w:pStyle w:val="a4"/>
        <w:ind w:left="0"/>
      </w:pPr>
      <w:r w:rsidRPr="0028514E">
        <w:t>Käytä tätä lääkettä juuri siten kuin lääkäri on määrännyt tai apteekkihenkilökunta on neuvonut. Tarkista ohjeet lääkäriltä, apteekista tai sairaanhoitajalta, jos olet epävarma.</w:t>
      </w:r>
    </w:p>
    <w:p w14:paraId="79DB81B4" w14:textId="77777777" w:rsidR="005F1B37" w:rsidRPr="0028514E" w:rsidRDefault="005F1B37" w:rsidP="003B2654">
      <w:pPr>
        <w:pStyle w:val="a4"/>
        <w:ind w:left="0"/>
      </w:pPr>
    </w:p>
    <w:p w14:paraId="750BD132" w14:textId="77777777" w:rsidR="003B7027" w:rsidRPr="0028514E" w:rsidRDefault="00296A74" w:rsidP="003B2654">
      <w:pPr>
        <w:pStyle w:val="a4"/>
        <w:ind w:left="0"/>
      </w:pPr>
      <w:r w:rsidRPr="0028514E">
        <w:t>Hoidon määrää ja aloittaa nivelreuman, yleisoireisen lastenreuman, polyartriitin tai jättisoluarteriitin diagnosointiin ja hoitoon perehtynyt lääkäri.</w:t>
      </w:r>
    </w:p>
    <w:p w14:paraId="61656046" w14:textId="77777777" w:rsidR="003B7027" w:rsidRPr="0028514E" w:rsidRDefault="003B7027" w:rsidP="003B2654">
      <w:pPr>
        <w:pStyle w:val="a4"/>
        <w:ind w:left="0"/>
      </w:pPr>
    </w:p>
    <w:p w14:paraId="092B5A0A" w14:textId="77777777" w:rsidR="003B7027" w:rsidRPr="009A3CB5" w:rsidRDefault="00296A74" w:rsidP="009A3CB5">
      <w:pPr>
        <w:rPr>
          <w:b/>
          <w:bCs/>
          <w:lang w:val="fi-FI"/>
        </w:rPr>
      </w:pPr>
      <w:r w:rsidRPr="009A3CB5">
        <w:rPr>
          <w:b/>
          <w:bCs/>
          <w:lang w:val="fi-FI"/>
        </w:rPr>
        <w:t>Suositeltu annos</w:t>
      </w:r>
    </w:p>
    <w:p w14:paraId="5F29E7BB" w14:textId="77777777" w:rsidR="003B7027" w:rsidRPr="0028514E" w:rsidRDefault="00296A74" w:rsidP="003B2654">
      <w:pPr>
        <w:pStyle w:val="a4"/>
        <w:ind w:left="0"/>
      </w:pPr>
      <w:r w:rsidRPr="0028514E">
        <w:t>Annostus aikuisille nivelreuman tai jättisoluarteriitin hoitoon on 162 mg (yhden esitäytetyn ruiskun sisältö) kerran viikossa.</w:t>
      </w:r>
    </w:p>
    <w:p w14:paraId="65ABD051" w14:textId="77777777" w:rsidR="003B7027" w:rsidRPr="0028514E" w:rsidRDefault="003B7027" w:rsidP="003B2654">
      <w:pPr>
        <w:pStyle w:val="a4"/>
        <w:ind w:left="0"/>
      </w:pPr>
    </w:p>
    <w:p w14:paraId="0B639609" w14:textId="77777777" w:rsidR="005F1B37" w:rsidRPr="009A3CB5" w:rsidRDefault="00296A74" w:rsidP="009A3CB5">
      <w:pPr>
        <w:rPr>
          <w:b/>
          <w:bCs/>
          <w:lang w:val="fi-FI"/>
        </w:rPr>
      </w:pPr>
      <w:r w:rsidRPr="009A3CB5">
        <w:rPr>
          <w:b/>
          <w:bCs/>
          <w:lang w:val="fi-FI"/>
        </w:rPr>
        <w:t>Yleisoireista lastenreumaa sairastavat lapset ja nuoret (1-vuotiaat ja vanhemmat)</w:t>
      </w:r>
    </w:p>
    <w:p w14:paraId="067F8C3F" w14:textId="42B7F6CD" w:rsidR="003B7027" w:rsidRPr="009A3CB5" w:rsidRDefault="00296A74" w:rsidP="009A3CB5">
      <w:pPr>
        <w:rPr>
          <w:b/>
          <w:bCs/>
          <w:lang w:val="fi-FI"/>
        </w:rPr>
      </w:pPr>
      <w:r w:rsidRPr="009A3CB5">
        <w:rPr>
          <w:b/>
          <w:bCs/>
          <w:lang w:val="fi-FI"/>
        </w:rPr>
        <w:t xml:space="preserve">Tavanomainen </w:t>
      </w:r>
      <w:r w:rsidR="009459C1" w:rsidRPr="009A3CB5">
        <w:rPr>
          <w:b/>
          <w:bCs/>
          <w:lang w:val="fi-FI"/>
        </w:rPr>
        <w:t>Avtozma</w:t>
      </w:r>
      <w:r w:rsidRPr="009A3CB5">
        <w:rPr>
          <w:b/>
          <w:bCs/>
          <w:lang w:val="fi-FI"/>
        </w:rPr>
        <w:t>-annos riippuu potilaan painosta.</w:t>
      </w:r>
    </w:p>
    <w:p w14:paraId="66341078" w14:textId="77777777" w:rsidR="003B7027" w:rsidRPr="0028514E" w:rsidRDefault="00296A74" w:rsidP="003B2654">
      <w:pPr>
        <w:pStyle w:val="a"/>
        <w:rPr>
          <w:rFonts w:ascii="Symbol" w:hAnsi="Symbol"/>
          <w:b/>
        </w:rPr>
      </w:pPr>
      <w:r w:rsidRPr="0028514E">
        <w:t xml:space="preserve">Jos potilaan paino on </w:t>
      </w:r>
      <w:r w:rsidRPr="0028514E">
        <w:rPr>
          <w:b/>
        </w:rPr>
        <w:t>alle 30 kg</w:t>
      </w:r>
      <w:r w:rsidRPr="0028514E">
        <w:t>: annos on 162 mg (yhden esitäytetyn ruiskun sisältö) kerran kahdessa viikossa</w:t>
      </w:r>
    </w:p>
    <w:p w14:paraId="7668C5A6" w14:textId="77777777" w:rsidR="003B7027" w:rsidRPr="0028514E" w:rsidRDefault="00296A74" w:rsidP="003B2654">
      <w:pPr>
        <w:pStyle w:val="a"/>
        <w:rPr>
          <w:rFonts w:ascii="Symbol" w:hAnsi="Symbol"/>
        </w:rPr>
      </w:pPr>
      <w:r w:rsidRPr="0028514E">
        <w:t xml:space="preserve">Jos potilaan paino on </w:t>
      </w:r>
      <w:r w:rsidRPr="0028514E">
        <w:rPr>
          <w:b/>
        </w:rPr>
        <w:t>30 kg tai enemmän</w:t>
      </w:r>
      <w:r w:rsidRPr="0028514E">
        <w:t>: annos on 162 mg (yhden esitäytetyn ruiskun sisältö) kerran viikossa</w:t>
      </w:r>
      <w:r w:rsidRPr="0028514E">
        <w:rPr>
          <w:b/>
        </w:rPr>
        <w:t>.</w:t>
      </w:r>
    </w:p>
    <w:p w14:paraId="2C736D63" w14:textId="77777777" w:rsidR="003B7027" w:rsidRPr="0028514E" w:rsidRDefault="003B7027" w:rsidP="006E5F9A">
      <w:pPr>
        <w:pStyle w:val="a4"/>
        <w:tabs>
          <w:tab w:val="left" w:pos="540"/>
        </w:tabs>
        <w:ind w:left="0"/>
        <w:rPr>
          <w:b/>
        </w:rPr>
      </w:pPr>
    </w:p>
    <w:p w14:paraId="63384102" w14:textId="2683E8D2" w:rsidR="003B7027" w:rsidRPr="009A3CB5" w:rsidRDefault="00296A74" w:rsidP="009A3CB5">
      <w:pPr>
        <w:rPr>
          <w:b/>
          <w:bCs/>
          <w:lang w:val="fi-FI"/>
        </w:rPr>
      </w:pPr>
      <w:r w:rsidRPr="009A3CB5">
        <w:rPr>
          <w:b/>
          <w:bCs/>
          <w:lang w:val="fi-FI"/>
        </w:rPr>
        <w:t xml:space="preserve">Polyartriittia sairastavat lapset ja nuoret (2-vuotiaat ja vanhemmat) Tavanomainen </w:t>
      </w:r>
      <w:r w:rsidR="009459C1" w:rsidRPr="009A3CB5">
        <w:rPr>
          <w:b/>
          <w:bCs/>
          <w:lang w:val="fi-FI"/>
        </w:rPr>
        <w:t>Avtozma</w:t>
      </w:r>
      <w:r w:rsidRPr="009A3CB5">
        <w:rPr>
          <w:b/>
          <w:bCs/>
          <w:lang w:val="fi-FI"/>
        </w:rPr>
        <w:t>-annos riippuu potilaan painosta.</w:t>
      </w:r>
    </w:p>
    <w:p w14:paraId="0022E5F6" w14:textId="77777777" w:rsidR="003B7027" w:rsidRPr="003B2654" w:rsidRDefault="00296A74" w:rsidP="003B2654">
      <w:pPr>
        <w:pStyle w:val="a"/>
        <w:rPr>
          <w:b/>
        </w:rPr>
      </w:pPr>
      <w:r w:rsidRPr="003B2654">
        <w:t xml:space="preserve">Jos potilaan paino on </w:t>
      </w:r>
      <w:r w:rsidRPr="003B2654">
        <w:rPr>
          <w:b/>
        </w:rPr>
        <w:t>alle 30 kg</w:t>
      </w:r>
      <w:r w:rsidRPr="003B2654">
        <w:t xml:space="preserve">: annos on 162 mg (yhden esitäytetyn ruiskun sisältö) </w:t>
      </w:r>
      <w:r w:rsidRPr="003B2654">
        <w:rPr>
          <w:b/>
        </w:rPr>
        <w:t>kerran kolmessa viikossa</w:t>
      </w:r>
    </w:p>
    <w:p w14:paraId="55DCC7FC" w14:textId="77777777" w:rsidR="003B7027" w:rsidRPr="003B2654" w:rsidRDefault="00296A74" w:rsidP="003B2654">
      <w:pPr>
        <w:pStyle w:val="a"/>
      </w:pPr>
      <w:r w:rsidRPr="003B2654">
        <w:t xml:space="preserve">Jos potilaan paino on </w:t>
      </w:r>
      <w:r w:rsidRPr="003B2654">
        <w:rPr>
          <w:b/>
        </w:rPr>
        <w:t>30 kg tai enemmän</w:t>
      </w:r>
      <w:r w:rsidRPr="003B2654">
        <w:t>: annos on 162 mg (yhden esitäytetyn ruiskun sisältö)</w:t>
      </w:r>
      <w:r w:rsidR="005F1B37" w:rsidRPr="003B2654">
        <w:t xml:space="preserve"> </w:t>
      </w:r>
      <w:r w:rsidRPr="003B2654">
        <w:rPr>
          <w:b/>
          <w:bCs/>
        </w:rPr>
        <w:t>kerran kahdessa viikossa</w:t>
      </w:r>
      <w:r w:rsidRPr="003B2654">
        <w:t>.</w:t>
      </w:r>
    </w:p>
    <w:p w14:paraId="11F1028A" w14:textId="77777777" w:rsidR="005F1B37" w:rsidRPr="0028514E" w:rsidRDefault="005F1B37" w:rsidP="006E5F9A">
      <w:pPr>
        <w:pStyle w:val="a4"/>
        <w:ind w:left="0"/>
      </w:pPr>
    </w:p>
    <w:p w14:paraId="65FB30E3" w14:textId="486A0C6C" w:rsidR="003B7027" w:rsidRPr="0028514E" w:rsidRDefault="009459C1" w:rsidP="006E5F9A">
      <w:pPr>
        <w:pStyle w:val="a4"/>
        <w:ind w:left="0"/>
      </w:pPr>
      <w:r>
        <w:t>Avtozma</w:t>
      </w:r>
      <w:r w:rsidR="00296A74" w:rsidRPr="0028514E">
        <w:t xml:space="preserve"> annetaan pistoksena ihon alle (</w:t>
      </w:r>
      <w:r w:rsidR="00296A74" w:rsidRPr="0028514E">
        <w:rPr>
          <w:i/>
        </w:rPr>
        <w:t>ihonalaisesti</w:t>
      </w:r>
      <w:r w:rsidR="00296A74" w:rsidRPr="0028514E">
        <w:t xml:space="preserve">). Lääkäri tai sairaanhoitaja saattaa antaa </w:t>
      </w:r>
      <w:r>
        <w:t>Avtozma</w:t>
      </w:r>
      <w:r w:rsidR="00296A74" w:rsidRPr="0028514E">
        <w:t xml:space="preserve">-pistoksen sinulle hoidon alussa. Lääkäri voi kuitenkin päättää, että voit itse pistää </w:t>
      </w:r>
      <w:r>
        <w:t>Avtozma</w:t>
      </w:r>
      <w:r w:rsidR="00296A74" w:rsidRPr="0028514E">
        <w:t xml:space="preserve">n. Tällöin sinulle neuvotaan, miten </w:t>
      </w:r>
      <w:r>
        <w:t>Avtozma</w:t>
      </w:r>
      <w:r w:rsidR="00296A74" w:rsidRPr="0028514E">
        <w:t xml:space="preserve"> pistetään. Jos potilas, esim. lapsi, ei voi pistää </w:t>
      </w:r>
      <w:r>
        <w:t>Avtozma</w:t>
      </w:r>
      <w:r w:rsidR="00296A74" w:rsidRPr="0028514E">
        <w:t>-pistosta itse, vanhemmat ja potilasta hoitavat henkilöt saavat opastusta lääkkeen pistämiseen.</w:t>
      </w:r>
    </w:p>
    <w:p w14:paraId="708F5C9D" w14:textId="77777777" w:rsidR="003B7027" w:rsidRPr="0028514E" w:rsidRDefault="003B7027" w:rsidP="006E5F9A">
      <w:pPr>
        <w:pStyle w:val="a4"/>
        <w:ind w:left="0"/>
      </w:pPr>
    </w:p>
    <w:p w14:paraId="46E0DF4E" w14:textId="77777777" w:rsidR="003B7027" w:rsidRPr="0028514E" w:rsidRDefault="00296A74" w:rsidP="006E5F9A">
      <w:pPr>
        <w:pStyle w:val="a4"/>
        <w:ind w:left="0"/>
      </w:pPr>
      <w:r w:rsidRPr="0028514E">
        <w:t>Keskustele lääkärin kanssa, jos sinulla on kysymyksiä lääkkeen pistämisestä itsellesi tai hoidossasi olevalle lapselle. Yksityiskohtaiset ohjeet lääkkeen pistämiseen löydät tämän pakkausselosteen lopusta.</w:t>
      </w:r>
    </w:p>
    <w:p w14:paraId="3BE39F4F" w14:textId="77777777" w:rsidR="003B7027" w:rsidRPr="0028514E" w:rsidRDefault="003B7027" w:rsidP="006E5F9A">
      <w:pPr>
        <w:pStyle w:val="a4"/>
        <w:ind w:left="0"/>
      </w:pPr>
    </w:p>
    <w:p w14:paraId="266369B9" w14:textId="276B709D" w:rsidR="003B7027" w:rsidRPr="0028514E" w:rsidRDefault="00296A74" w:rsidP="00CA43F5">
      <w:pPr>
        <w:pStyle w:val="2"/>
        <w:keepNext/>
      </w:pPr>
      <w:r w:rsidRPr="0028514E">
        <w:lastRenderedPageBreak/>
        <w:t xml:space="preserve">Jos otat enemmän </w:t>
      </w:r>
      <w:r w:rsidR="009459C1">
        <w:t>Avtozma</w:t>
      </w:r>
      <w:r w:rsidRPr="0028514E">
        <w:t>a kuin pitäisi</w:t>
      </w:r>
    </w:p>
    <w:p w14:paraId="4EDBB7BF" w14:textId="5FCC07A8" w:rsidR="003B7027" w:rsidRPr="0028514E" w:rsidRDefault="00296A74" w:rsidP="006E5F9A">
      <w:pPr>
        <w:pStyle w:val="a4"/>
        <w:ind w:left="0"/>
      </w:pPr>
      <w:r w:rsidRPr="0028514E">
        <w:t xml:space="preserve">On epätodennäköistä, että saisit lääkettä liikaa, koska </w:t>
      </w:r>
      <w:r w:rsidR="009459C1">
        <w:t>Avtozma</w:t>
      </w:r>
      <w:r w:rsidRPr="0028514E">
        <w:t>a otetaan yhden esitäytetyn ruiskun sisältämä määrä. Jos kuitenkin olet huolissasi tästä, keskustele asiasta lääkärin, apteekkihenkilökunnan tai sairaanhoitajan kanssa.</w:t>
      </w:r>
    </w:p>
    <w:p w14:paraId="5E24F68C" w14:textId="77777777" w:rsidR="003B7027" w:rsidRPr="0028514E" w:rsidRDefault="003B7027" w:rsidP="006E5F9A">
      <w:pPr>
        <w:pStyle w:val="a4"/>
        <w:ind w:left="0"/>
      </w:pPr>
    </w:p>
    <w:p w14:paraId="4B1342BC" w14:textId="77777777" w:rsidR="003B7027" w:rsidRPr="009A3CB5" w:rsidRDefault="00296A74" w:rsidP="009A3CB5">
      <w:pPr>
        <w:rPr>
          <w:b/>
          <w:bCs/>
          <w:lang w:val="fi-FI"/>
        </w:rPr>
      </w:pPr>
      <w:r w:rsidRPr="009A3CB5">
        <w:rPr>
          <w:b/>
          <w:bCs/>
          <w:lang w:val="fi-FI"/>
        </w:rPr>
        <w:t>Jos nivelreumaa tai jättisoluarteriittia sairastavan aikuisen tai yleisoireista lastenreumaa sairastavan lapsen tai nuoren annos jää ottamatta tai unohtuu</w:t>
      </w:r>
    </w:p>
    <w:p w14:paraId="3CF3F306" w14:textId="314EA2F5" w:rsidR="003B7027" w:rsidRPr="0028514E" w:rsidRDefault="00296A74" w:rsidP="006E5F9A">
      <w:pPr>
        <w:pStyle w:val="a4"/>
        <w:ind w:left="0"/>
      </w:pPr>
      <w:r w:rsidRPr="0028514E">
        <w:t xml:space="preserve">On erittäin tärkeää käyttää </w:t>
      </w:r>
      <w:r w:rsidR="009459C1">
        <w:t>Avtozma</w:t>
      </w:r>
      <w:r w:rsidRPr="0028514E">
        <w:t>a juuri siten kuin lääkäri on määrännyt. Huolehdi seuraavan annoksen ottamisesta.</w:t>
      </w:r>
    </w:p>
    <w:p w14:paraId="75BF0704" w14:textId="77777777" w:rsidR="003B7027" w:rsidRPr="0028514E" w:rsidRDefault="00296A74" w:rsidP="003B2654">
      <w:pPr>
        <w:pStyle w:val="a"/>
        <w:rPr>
          <w:rFonts w:ascii="Symbol" w:hAnsi="Symbol"/>
          <w:b/>
        </w:rPr>
      </w:pPr>
      <w:r w:rsidRPr="0028514E">
        <w:t>Jos huomaat 7 päivän kuluessa viikoittaisen annoksen unohtuneen, ota annos hoito-ohjelman mukaisena seuraavana lääkkeenottoajankohtana.</w:t>
      </w:r>
    </w:p>
    <w:p w14:paraId="3C7D1C7D" w14:textId="77777777" w:rsidR="003B7027" w:rsidRPr="0028514E" w:rsidRDefault="00296A74" w:rsidP="003B2654">
      <w:pPr>
        <w:pStyle w:val="a"/>
        <w:rPr>
          <w:rFonts w:ascii="Symbol" w:hAnsi="Symbol"/>
          <w:b/>
        </w:rPr>
      </w:pPr>
      <w:r w:rsidRPr="0028514E">
        <w:t>Jos huomaat 7 päivän kuluessa kerran kahdessa viikossa otettavan annoksen unohtuneen, pistä annos heti sen muistaessasi, ja ota seuraava annos normaalina lääkkeenottoajankohtana.</w:t>
      </w:r>
    </w:p>
    <w:p w14:paraId="26BAC0F4" w14:textId="30CE4C33" w:rsidR="003B7027" w:rsidRPr="0028514E" w:rsidRDefault="00296A74" w:rsidP="003B2654">
      <w:pPr>
        <w:pStyle w:val="a"/>
        <w:rPr>
          <w:rFonts w:ascii="Symbol" w:hAnsi="Symbol"/>
        </w:rPr>
      </w:pPr>
      <w:r w:rsidRPr="0028514E">
        <w:t xml:space="preserve">Jos huomaat vasta myöhemmin kuin 7 päivän kuluessa annoksen unohtuneen tai jos et ole varma, milloin </w:t>
      </w:r>
      <w:r w:rsidR="009459C1">
        <w:t>Avtozma</w:t>
      </w:r>
      <w:r w:rsidRPr="0028514E">
        <w:t xml:space="preserve"> pitäisi pistää, soita lääkärille tai apteekkiin.</w:t>
      </w:r>
    </w:p>
    <w:p w14:paraId="65890670" w14:textId="77777777" w:rsidR="003B7027" w:rsidRPr="0028514E" w:rsidRDefault="003B7027" w:rsidP="006E5F9A">
      <w:pPr>
        <w:pStyle w:val="a4"/>
        <w:tabs>
          <w:tab w:val="left" w:pos="540"/>
        </w:tabs>
        <w:ind w:left="0"/>
      </w:pPr>
    </w:p>
    <w:p w14:paraId="54C8E08F" w14:textId="77777777" w:rsidR="003B7027" w:rsidRPr="009A3CB5" w:rsidRDefault="00296A74" w:rsidP="009A3CB5">
      <w:pPr>
        <w:rPr>
          <w:b/>
          <w:bCs/>
          <w:lang w:val="fi-FI"/>
        </w:rPr>
      </w:pPr>
      <w:r w:rsidRPr="009A3CB5">
        <w:rPr>
          <w:b/>
          <w:bCs/>
          <w:lang w:val="fi-FI"/>
        </w:rPr>
        <w:t>Jos polyartriittia sairastavan lapsen tai nuoren annos jää ottamatta tai unohtuu</w:t>
      </w:r>
    </w:p>
    <w:p w14:paraId="395BC10A" w14:textId="754E0708" w:rsidR="003B7027" w:rsidRPr="0028514E" w:rsidRDefault="00296A74" w:rsidP="006E5F9A">
      <w:pPr>
        <w:pStyle w:val="a4"/>
        <w:tabs>
          <w:tab w:val="left" w:pos="540"/>
        </w:tabs>
        <w:ind w:left="0"/>
      </w:pPr>
      <w:r w:rsidRPr="0028514E">
        <w:t xml:space="preserve">On erittäin tärkeää käyttää </w:t>
      </w:r>
      <w:r w:rsidR="009459C1">
        <w:t>Avtozma</w:t>
      </w:r>
      <w:r w:rsidRPr="0028514E">
        <w:t>a juuri siten kuin lääkäri on määrännyt. Huolehdi seuraavan annoksen ottamisesta.</w:t>
      </w:r>
    </w:p>
    <w:p w14:paraId="1009767A" w14:textId="77777777" w:rsidR="003B7027" w:rsidRPr="0028514E" w:rsidRDefault="00296A74" w:rsidP="003B2654">
      <w:pPr>
        <w:pStyle w:val="a"/>
        <w:rPr>
          <w:rFonts w:ascii="Symbol" w:hAnsi="Symbol"/>
        </w:rPr>
      </w:pPr>
      <w:r w:rsidRPr="0028514E">
        <w:t>Jos annoksen unohtuminen huomataan 7 päivän kuluessa, pistä annos heti sen muistaessasi ja seuraava annos normaalina lääkkeenottoajankohtana.</w:t>
      </w:r>
    </w:p>
    <w:p w14:paraId="5612D1A1" w14:textId="4D70BB30" w:rsidR="003B7027" w:rsidRPr="0028514E" w:rsidRDefault="00296A74" w:rsidP="003B2654">
      <w:pPr>
        <w:pStyle w:val="a"/>
        <w:rPr>
          <w:rFonts w:ascii="Symbol" w:hAnsi="Symbol"/>
        </w:rPr>
      </w:pPr>
      <w:r w:rsidRPr="0028514E">
        <w:t xml:space="preserve">Jos annoksen unohtuminen huomataan myöhemmin kuin 7 päivän kuluessa tai jos et ole varma, milloin </w:t>
      </w:r>
      <w:r w:rsidR="009459C1">
        <w:t>Avtozma</w:t>
      </w:r>
      <w:r w:rsidRPr="0028514E">
        <w:t xml:space="preserve"> pitäisi pistää, soita lääkärille tai apteekkiin.</w:t>
      </w:r>
    </w:p>
    <w:p w14:paraId="2B00E6E1" w14:textId="77777777" w:rsidR="003B7027" w:rsidRPr="0028514E" w:rsidRDefault="003B7027" w:rsidP="006E5F9A">
      <w:pPr>
        <w:pStyle w:val="a4"/>
        <w:ind w:left="0"/>
      </w:pPr>
    </w:p>
    <w:p w14:paraId="5CA613F6" w14:textId="78C9EEE2" w:rsidR="003B7027" w:rsidRPr="009A3CB5" w:rsidRDefault="00296A74" w:rsidP="009A3CB5">
      <w:pPr>
        <w:rPr>
          <w:b/>
          <w:bCs/>
          <w:lang w:val="fi-FI"/>
        </w:rPr>
      </w:pPr>
      <w:r w:rsidRPr="009A3CB5">
        <w:rPr>
          <w:b/>
          <w:bCs/>
          <w:lang w:val="fi-FI"/>
        </w:rPr>
        <w:t xml:space="preserve">Jos lopetat </w:t>
      </w:r>
      <w:r w:rsidR="009459C1" w:rsidRPr="009A3CB5">
        <w:rPr>
          <w:b/>
          <w:bCs/>
          <w:lang w:val="fi-FI"/>
        </w:rPr>
        <w:t>Avtozma</w:t>
      </w:r>
      <w:r w:rsidRPr="009A3CB5">
        <w:rPr>
          <w:b/>
          <w:bCs/>
          <w:lang w:val="fi-FI"/>
        </w:rPr>
        <w:t>-hoidon</w:t>
      </w:r>
    </w:p>
    <w:p w14:paraId="6A58B67B" w14:textId="75DE5B1F" w:rsidR="003B7027" w:rsidRPr="0028514E" w:rsidRDefault="00296A74" w:rsidP="006E5F9A">
      <w:pPr>
        <w:pStyle w:val="a4"/>
        <w:ind w:left="0"/>
      </w:pPr>
      <w:r w:rsidRPr="0028514E">
        <w:t xml:space="preserve">Älä lopeta </w:t>
      </w:r>
      <w:r w:rsidR="009459C1">
        <w:t>Avtozma</w:t>
      </w:r>
      <w:r w:rsidRPr="0028514E">
        <w:t>n käyttöä, ennen kuin olet keskustellut asiasta lääkärin kanssa.</w:t>
      </w:r>
    </w:p>
    <w:p w14:paraId="685D7F06" w14:textId="77777777" w:rsidR="003B7027" w:rsidRPr="0028514E" w:rsidRDefault="003B7027" w:rsidP="006E5F9A">
      <w:pPr>
        <w:pStyle w:val="a4"/>
        <w:ind w:left="0"/>
      </w:pPr>
    </w:p>
    <w:p w14:paraId="65DEEA0F" w14:textId="77777777" w:rsidR="003B7027" w:rsidRPr="0028514E" w:rsidRDefault="00296A74" w:rsidP="006E5F9A">
      <w:pPr>
        <w:pStyle w:val="a4"/>
        <w:ind w:left="0"/>
      </w:pPr>
      <w:r w:rsidRPr="0028514E">
        <w:t>Jos sinulla on kysymyksiä tämän lääkkeen käytöstä, käänny lääkärin, apteekkihenkilökunnan tai sairaanhoitajan puoleen.</w:t>
      </w:r>
    </w:p>
    <w:p w14:paraId="33C63C55" w14:textId="77777777" w:rsidR="003B7027" w:rsidRPr="0028514E" w:rsidRDefault="003B7027" w:rsidP="006E5F9A">
      <w:pPr>
        <w:pStyle w:val="a4"/>
        <w:ind w:left="0"/>
      </w:pPr>
    </w:p>
    <w:p w14:paraId="57055E85" w14:textId="77777777" w:rsidR="003B7027" w:rsidRPr="0028514E" w:rsidRDefault="003B7027" w:rsidP="006E5F9A">
      <w:pPr>
        <w:pStyle w:val="a4"/>
        <w:ind w:left="0"/>
      </w:pPr>
    </w:p>
    <w:p w14:paraId="040805C3" w14:textId="77777777" w:rsidR="003B7027" w:rsidRPr="0028514E" w:rsidRDefault="00296A74" w:rsidP="006E5F9A">
      <w:pPr>
        <w:pStyle w:val="2"/>
        <w:tabs>
          <w:tab w:val="left" w:pos="540"/>
        </w:tabs>
      </w:pPr>
      <w:r w:rsidRPr="0028514E">
        <w:t>4.</w:t>
      </w:r>
      <w:r w:rsidRPr="0028514E">
        <w:tab/>
        <w:t>Mahdolliset haittavaikutukset</w:t>
      </w:r>
    </w:p>
    <w:p w14:paraId="42D1BD77" w14:textId="77777777" w:rsidR="005F1B37" w:rsidRPr="009A3CB5" w:rsidRDefault="005F1B37" w:rsidP="00DD705A">
      <w:pPr>
        <w:rPr>
          <w:lang w:val="fi-FI"/>
        </w:rPr>
      </w:pPr>
    </w:p>
    <w:p w14:paraId="035E5DD8" w14:textId="6E5A9A63" w:rsidR="003B7027" w:rsidRPr="0028514E" w:rsidRDefault="00296A74" w:rsidP="006E5F9A">
      <w:pPr>
        <w:pStyle w:val="a4"/>
        <w:ind w:left="0"/>
      </w:pPr>
      <w:r w:rsidRPr="0028514E">
        <w:t xml:space="preserve">Kuten kaikki lääkkeet, tämäkin lääke voi aiheuttaa haittavaikutuksia. Kaikki eivät kuitenkaan niitä saa. Haittavaikutuksia voi ilmaantua vielä kolmen (3) kuukauden jälkeenkin viimeisestä </w:t>
      </w:r>
      <w:r w:rsidR="009459C1">
        <w:t>Avtozma</w:t>
      </w:r>
      <w:r w:rsidRPr="0028514E">
        <w:t>- annoksesta.</w:t>
      </w:r>
    </w:p>
    <w:p w14:paraId="5642D240" w14:textId="77777777" w:rsidR="003B7027" w:rsidRPr="0028514E" w:rsidRDefault="003B7027" w:rsidP="006E5F9A">
      <w:pPr>
        <w:pStyle w:val="a4"/>
        <w:ind w:left="0"/>
      </w:pPr>
    </w:p>
    <w:p w14:paraId="5C88D696" w14:textId="77777777" w:rsidR="003B7027" w:rsidRPr="009A3CB5" w:rsidRDefault="00296A74" w:rsidP="009A3CB5">
      <w:pPr>
        <w:rPr>
          <w:b/>
          <w:bCs/>
          <w:lang w:val="fi-FI"/>
        </w:rPr>
      </w:pPr>
      <w:r w:rsidRPr="009A3CB5">
        <w:rPr>
          <w:b/>
          <w:bCs/>
          <w:lang w:val="fi-FI"/>
        </w:rPr>
        <w:t>Mahdolliset vakavat haittavaikutukset: ota heti yhteyttä lääkäriin.</w:t>
      </w:r>
    </w:p>
    <w:p w14:paraId="089D2392" w14:textId="77777777" w:rsidR="003B7027" w:rsidRPr="00CA43F5" w:rsidRDefault="00296A74" w:rsidP="006E5F9A">
      <w:pPr>
        <w:rPr>
          <w:i/>
          <w:lang w:val="fi-FI"/>
        </w:rPr>
      </w:pPr>
      <w:r w:rsidRPr="00CA43F5">
        <w:rPr>
          <w:i/>
          <w:lang w:val="fi-FI"/>
        </w:rPr>
        <w:t>Nämä ovat yleisiä: niitä saattaa esiintyä enintään yhdellä potilaalla 10:stä</w:t>
      </w:r>
    </w:p>
    <w:p w14:paraId="0F6A3ACF" w14:textId="77777777" w:rsidR="003B7027" w:rsidRPr="0028514E" w:rsidRDefault="003B7027" w:rsidP="006E5F9A">
      <w:pPr>
        <w:pStyle w:val="a4"/>
        <w:ind w:left="0"/>
        <w:rPr>
          <w:i/>
        </w:rPr>
      </w:pPr>
    </w:p>
    <w:p w14:paraId="795ED576" w14:textId="77777777" w:rsidR="003B7027" w:rsidRPr="00CA43F5" w:rsidRDefault="00296A74" w:rsidP="006E5F9A">
      <w:pPr>
        <w:rPr>
          <w:lang w:val="fi-FI"/>
        </w:rPr>
      </w:pPr>
      <w:r w:rsidRPr="00CA43F5">
        <w:rPr>
          <w:b/>
          <w:lang w:val="fi-FI"/>
        </w:rPr>
        <w:t xml:space="preserve">Allergiset reaktiot </w:t>
      </w:r>
      <w:r w:rsidRPr="00CA43F5">
        <w:rPr>
          <w:lang w:val="fi-FI"/>
        </w:rPr>
        <w:t>pistoksen aikana tai pistoksen jälkeen:</w:t>
      </w:r>
    </w:p>
    <w:p w14:paraId="46300DE6" w14:textId="77777777" w:rsidR="003B7027" w:rsidRPr="0028514E" w:rsidRDefault="00296A74" w:rsidP="003B2654">
      <w:pPr>
        <w:pStyle w:val="a"/>
        <w:rPr>
          <w:rFonts w:ascii="Symbol" w:hAnsi="Symbol"/>
        </w:rPr>
      </w:pPr>
      <w:r w:rsidRPr="0028514E">
        <w:t>hengitysvaikeudet, puristava tunne rintakehässä tai pyörrytys</w:t>
      </w:r>
    </w:p>
    <w:p w14:paraId="3C91F81D" w14:textId="77777777" w:rsidR="003B7027" w:rsidRPr="0028514E" w:rsidRDefault="00296A74" w:rsidP="003B2654">
      <w:pPr>
        <w:pStyle w:val="a"/>
        <w:rPr>
          <w:rFonts w:ascii="Symbol" w:hAnsi="Symbol"/>
        </w:rPr>
      </w:pPr>
      <w:r w:rsidRPr="0028514E">
        <w:t>ihottuma, kutina, nokkosrokko, huulten, kielen tai kasvojen turpoaminen.</w:t>
      </w:r>
    </w:p>
    <w:p w14:paraId="46E835EB" w14:textId="77777777" w:rsidR="005F1B37" w:rsidRPr="0028514E" w:rsidRDefault="005F1B37" w:rsidP="006E5F9A">
      <w:pPr>
        <w:pStyle w:val="a4"/>
        <w:ind w:left="0"/>
      </w:pPr>
    </w:p>
    <w:p w14:paraId="556959DA" w14:textId="77777777" w:rsidR="003B7027" w:rsidRPr="0028514E" w:rsidRDefault="00296A74" w:rsidP="006E5F9A">
      <w:pPr>
        <w:pStyle w:val="a4"/>
        <w:ind w:left="0"/>
      </w:pPr>
      <w:r w:rsidRPr="0028514E">
        <w:t xml:space="preserve">Jos havaitset jotakin näistä, ota </w:t>
      </w:r>
      <w:r w:rsidRPr="0028514E">
        <w:rPr>
          <w:b/>
        </w:rPr>
        <w:t xml:space="preserve">välittömästi </w:t>
      </w:r>
      <w:r w:rsidRPr="0028514E">
        <w:t>yhteyttä lääkäriin.</w:t>
      </w:r>
    </w:p>
    <w:p w14:paraId="45A8E619" w14:textId="77777777" w:rsidR="003B7027" w:rsidRPr="0028514E" w:rsidRDefault="003B7027" w:rsidP="006E5F9A">
      <w:pPr>
        <w:pStyle w:val="a4"/>
        <w:ind w:left="0"/>
      </w:pPr>
    </w:p>
    <w:p w14:paraId="7B90281E" w14:textId="77777777" w:rsidR="003B7027" w:rsidRPr="009A3CB5" w:rsidRDefault="00296A74" w:rsidP="009A3CB5">
      <w:pPr>
        <w:rPr>
          <w:b/>
          <w:bCs/>
          <w:lang w:val="fi-FI"/>
        </w:rPr>
      </w:pPr>
      <w:r w:rsidRPr="009A3CB5">
        <w:rPr>
          <w:b/>
          <w:bCs/>
          <w:lang w:val="fi-FI"/>
        </w:rPr>
        <w:t>Vakavan infektion oireet:</w:t>
      </w:r>
    </w:p>
    <w:p w14:paraId="645FFB56" w14:textId="77777777" w:rsidR="003B7027" w:rsidRPr="0028514E" w:rsidRDefault="00296A74" w:rsidP="003B2654">
      <w:pPr>
        <w:pStyle w:val="a"/>
        <w:rPr>
          <w:rFonts w:ascii="Symbol" w:hAnsi="Symbol"/>
        </w:rPr>
      </w:pPr>
      <w:r w:rsidRPr="0028514E">
        <w:t>kuume ja vilunväristykset</w:t>
      </w:r>
    </w:p>
    <w:p w14:paraId="5139F692" w14:textId="77777777" w:rsidR="003B7027" w:rsidRPr="0028514E" w:rsidRDefault="00296A74" w:rsidP="003B2654">
      <w:pPr>
        <w:pStyle w:val="a"/>
        <w:rPr>
          <w:rFonts w:ascii="Symbol" w:hAnsi="Symbol"/>
        </w:rPr>
      </w:pPr>
      <w:r w:rsidRPr="0028514E">
        <w:t>rakkulat suussa tai iholla</w:t>
      </w:r>
    </w:p>
    <w:p w14:paraId="37B52132" w14:textId="77777777" w:rsidR="003B7027" w:rsidRPr="0028514E" w:rsidRDefault="00296A74" w:rsidP="003B2654">
      <w:pPr>
        <w:pStyle w:val="a"/>
        <w:rPr>
          <w:rFonts w:ascii="Symbol" w:hAnsi="Symbol"/>
        </w:rPr>
      </w:pPr>
      <w:r w:rsidRPr="0028514E">
        <w:t>vatsakipu.</w:t>
      </w:r>
    </w:p>
    <w:p w14:paraId="3AC7530E" w14:textId="77777777" w:rsidR="003B7027" w:rsidRPr="0028514E" w:rsidRDefault="003B7027" w:rsidP="006E5F9A">
      <w:pPr>
        <w:pStyle w:val="a4"/>
        <w:ind w:left="0"/>
      </w:pPr>
    </w:p>
    <w:p w14:paraId="0BCA1C67" w14:textId="77777777" w:rsidR="003B7027" w:rsidRPr="009A3CB5" w:rsidRDefault="00296A74" w:rsidP="009A3CB5">
      <w:pPr>
        <w:rPr>
          <w:b/>
          <w:bCs/>
          <w:lang w:val="fi-FI"/>
        </w:rPr>
      </w:pPr>
      <w:r w:rsidRPr="009A3CB5">
        <w:rPr>
          <w:b/>
          <w:bCs/>
          <w:lang w:val="fi-FI"/>
        </w:rPr>
        <w:t>Maksatoksisuuden oireet</w:t>
      </w:r>
    </w:p>
    <w:p w14:paraId="63B04680" w14:textId="77777777" w:rsidR="003B7027" w:rsidRPr="00CA43F5" w:rsidRDefault="00296A74" w:rsidP="006E5F9A">
      <w:pPr>
        <w:rPr>
          <w:i/>
          <w:lang w:val="fi-FI"/>
        </w:rPr>
      </w:pPr>
      <w:r w:rsidRPr="00CA43F5">
        <w:rPr>
          <w:i/>
          <w:lang w:val="fi-FI"/>
        </w:rPr>
        <w:t>Näitä saattaa esiintyä enintään yhdellä potilaalla 1000:sta</w:t>
      </w:r>
    </w:p>
    <w:p w14:paraId="7C8D8758" w14:textId="77777777" w:rsidR="003B7027" w:rsidRPr="0028514E" w:rsidRDefault="00296A74" w:rsidP="003B2654">
      <w:pPr>
        <w:pStyle w:val="a"/>
        <w:rPr>
          <w:rFonts w:ascii="Symbol" w:hAnsi="Symbol"/>
        </w:rPr>
      </w:pPr>
      <w:r w:rsidRPr="0028514E">
        <w:t>väsymys</w:t>
      </w:r>
    </w:p>
    <w:p w14:paraId="5C8E3BEB" w14:textId="77777777" w:rsidR="003B7027" w:rsidRPr="0028514E" w:rsidRDefault="00296A74" w:rsidP="003B2654">
      <w:pPr>
        <w:pStyle w:val="a"/>
        <w:rPr>
          <w:rFonts w:ascii="Symbol" w:hAnsi="Symbol"/>
        </w:rPr>
      </w:pPr>
      <w:r w:rsidRPr="0028514E">
        <w:t>vatsakipu</w:t>
      </w:r>
    </w:p>
    <w:p w14:paraId="579D9770" w14:textId="77777777" w:rsidR="003B7027" w:rsidRPr="0028514E" w:rsidRDefault="00296A74" w:rsidP="003B2654">
      <w:pPr>
        <w:pStyle w:val="a"/>
        <w:rPr>
          <w:rFonts w:ascii="Symbol" w:hAnsi="Symbol"/>
        </w:rPr>
      </w:pPr>
      <w:r w:rsidRPr="0028514E">
        <w:t>keltaisuus (ihon tai silmien keltaisuutta).</w:t>
      </w:r>
    </w:p>
    <w:p w14:paraId="53C78132" w14:textId="77777777" w:rsidR="003B7027" w:rsidRPr="00CA43F5" w:rsidRDefault="003B7027" w:rsidP="003B2654">
      <w:pPr>
        <w:rPr>
          <w:lang w:val="fi-FI"/>
        </w:rPr>
      </w:pPr>
    </w:p>
    <w:p w14:paraId="27B44F61" w14:textId="77777777" w:rsidR="003B7027" w:rsidRPr="00CA43F5" w:rsidRDefault="00296A74" w:rsidP="006E5F9A">
      <w:pPr>
        <w:rPr>
          <w:lang w:val="fi-FI"/>
        </w:rPr>
      </w:pPr>
      <w:r w:rsidRPr="00CA43F5">
        <w:rPr>
          <w:lang w:val="fi-FI"/>
        </w:rPr>
        <w:t xml:space="preserve">Jos havaitset jotakin näistä, ota </w:t>
      </w:r>
      <w:r w:rsidRPr="00CA43F5">
        <w:rPr>
          <w:b/>
          <w:lang w:val="fi-FI"/>
        </w:rPr>
        <w:t xml:space="preserve">mahdollisimman pian </w:t>
      </w:r>
      <w:r w:rsidRPr="00CA43F5">
        <w:rPr>
          <w:lang w:val="fi-FI"/>
        </w:rPr>
        <w:t>yhteyttä lääkäriin.</w:t>
      </w:r>
    </w:p>
    <w:p w14:paraId="4B560B83" w14:textId="77777777" w:rsidR="003B7027" w:rsidRPr="0028514E" w:rsidRDefault="003B7027" w:rsidP="006E5F9A">
      <w:pPr>
        <w:pStyle w:val="a4"/>
        <w:ind w:left="0"/>
      </w:pPr>
    </w:p>
    <w:p w14:paraId="3F04812C" w14:textId="77777777" w:rsidR="003B7027" w:rsidRPr="003B2CC6" w:rsidRDefault="00296A74" w:rsidP="009A3CB5">
      <w:pPr>
        <w:rPr>
          <w:lang w:val="fi-FI"/>
          <w:rPrChange w:id="40" w:author="만든 이">
            <w:rPr/>
          </w:rPrChange>
        </w:rPr>
      </w:pPr>
      <w:r w:rsidRPr="009A3CB5">
        <w:rPr>
          <w:b/>
          <w:bCs/>
          <w:lang w:val="fi-FI"/>
        </w:rPr>
        <w:t>Hyvin yleisiä haittavaikutuksia:</w:t>
      </w:r>
    </w:p>
    <w:p w14:paraId="2ADC53FF" w14:textId="77777777" w:rsidR="003B7027" w:rsidRPr="00CA43F5" w:rsidRDefault="00296A74" w:rsidP="006E5F9A">
      <w:pPr>
        <w:rPr>
          <w:i/>
          <w:lang w:val="fi-FI"/>
        </w:rPr>
      </w:pPr>
      <w:r w:rsidRPr="00CA43F5">
        <w:rPr>
          <w:i/>
          <w:lang w:val="fi-FI"/>
        </w:rPr>
        <w:t>Näitä saattaa esiintyä useammalla kuin yhdellä potilaalla 10:stä</w:t>
      </w:r>
    </w:p>
    <w:p w14:paraId="618F1D66" w14:textId="77777777" w:rsidR="003B7027" w:rsidRPr="0028514E" w:rsidRDefault="00296A74" w:rsidP="003B2654">
      <w:pPr>
        <w:pStyle w:val="a"/>
        <w:rPr>
          <w:rFonts w:ascii="Symbol" w:hAnsi="Symbol"/>
        </w:rPr>
      </w:pPr>
      <w:r w:rsidRPr="0028514E">
        <w:t>ylähengitystieinfektiot, joiden tyypilliset oireet ovat yskä, nenän tukkoisuus, nenän vuotaminen, kurkkukipu ja päänsärky</w:t>
      </w:r>
    </w:p>
    <w:p w14:paraId="4A67C1FF" w14:textId="77777777" w:rsidR="003B7027" w:rsidRPr="0028514E" w:rsidRDefault="00296A74" w:rsidP="003B2654">
      <w:pPr>
        <w:pStyle w:val="a"/>
        <w:rPr>
          <w:rFonts w:ascii="Symbol" w:hAnsi="Symbol"/>
        </w:rPr>
      </w:pPr>
      <w:r w:rsidRPr="0028514E">
        <w:t>korkeat veren rasva-arvot (</w:t>
      </w:r>
      <w:r w:rsidRPr="0028514E">
        <w:rPr>
          <w:i/>
        </w:rPr>
        <w:t>kolesteroliarvot</w:t>
      </w:r>
      <w:r w:rsidRPr="0028514E">
        <w:t>)</w:t>
      </w:r>
    </w:p>
    <w:p w14:paraId="098A3BB7" w14:textId="77777777" w:rsidR="003B7027" w:rsidRPr="0028514E" w:rsidRDefault="00296A74" w:rsidP="003B2654">
      <w:pPr>
        <w:pStyle w:val="a"/>
      </w:pPr>
      <w:r w:rsidRPr="0028514E">
        <w:t>pistoskohdan reaktiot.</w:t>
      </w:r>
    </w:p>
    <w:p w14:paraId="17219A6C" w14:textId="77777777" w:rsidR="005F1B37" w:rsidRPr="0028514E" w:rsidRDefault="005F1B37" w:rsidP="006E5F9A">
      <w:pPr>
        <w:tabs>
          <w:tab w:val="left" w:pos="540"/>
          <w:tab w:val="left" w:pos="1607"/>
        </w:tabs>
        <w:rPr>
          <w:rFonts w:ascii="Symbol" w:hAnsi="Symbol" w:hint="eastAsia"/>
        </w:rPr>
      </w:pPr>
    </w:p>
    <w:p w14:paraId="7F2DEAE3" w14:textId="77777777" w:rsidR="003B7027" w:rsidRPr="009A3CB5" w:rsidRDefault="00296A74" w:rsidP="009A3CB5">
      <w:pPr>
        <w:rPr>
          <w:b/>
          <w:bCs/>
          <w:lang w:val="fi-FI"/>
        </w:rPr>
      </w:pPr>
      <w:r w:rsidRPr="009A3CB5">
        <w:rPr>
          <w:b/>
          <w:bCs/>
          <w:lang w:val="fi-FI"/>
        </w:rPr>
        <w:t>Yleisiä haittavaikutuksia:</w:t>
      </w:r>
    </w:p>
    <w:p w14:paraId="1F98F583" w14:textId="77777777" w:rsidR="003B7027" w:rsidRPr="00CA43F5" w:rsidRDefault="00296A74" w:rsidP="006E5F9A">
      <w:pPr>
        <w:rPr>
          <w:i/>
          <w:lang w:val="fi-FI"/>
        </w:rPr>
      </w:pPr>
      <w:r w:rsidRPr="00CA43F5">
        <w:rPr>
          <w:i/>
          <w:lang w:val="fi-FI"/>
        </w:rPr>
        <w:t>Näitä saattaa esiintyä enintään yhdellä potilaalla 10:stä</w:t>
      </w:r>
    </w:p>
    <w:p w14:paraId="4A0F5D8F" w14:textId="77777777" w:rsidR="003B7027" w:rsidRPr="0028514E" w:rsidRDefault="00296A74" w:rsidP="003B2654">
      <w:pPr>
        <w:pStyle w:val="a"/>
        <w:rPr>
          <w:rFonts w:ascii="Symbol" w:hAnsi="Symbol"/>
        </w:rPr>
      </w:pPr>
      <w:r w:rsidRPr="0028514E">
        <w:t>keuhkoinfektio (keuhkokuume)</w:t>
      </w:r>
    </w:p>
    <w:p w14:paraId="4A850EEA" w14:textId="77777777" w:rsidR="003B7027" w:rsidRPr="0028514E" w:rsidRDefault="00296A74" w:rsidP="003B2654">
      <w:pPr>
        <w:pStyle w:val="a"/>
        <w:rPr>
          <w:rFonts w:ascii="Symbol" w:hAnsi="Symbol"/>
        </w:rPr>
      </w:pPr>
      <w:r w:rsidRPr="0028514E">
        <w:t>vyöruusu (</w:t>
      </w:r>
      <w:r w:rsidRPr="0028514E">
        <w:rPr>
          <w:i/>
        </w:rPr>
        <w:t>herpes zoster</w:t>
      </w:r>
      <w:r w:rsidRPr="0028514E">
        <w:t>)</w:t>
      </w:r>
    </w:p>
    <w:p w14:paraId="6D9A0A49" w14:textId="77777777" w:rsidR="003B7027" w:rsidRPr="0028514E" w:rsidRDefault="00296A74" w:rsidP="003B2654">
      <w:pPr>
        <w:pStyle w:val="a"/>
        <w:rPr>
          <w:rFonts w:ascii="Symbol" w:hAnsi="Symbol"/>
        </w:rPr>
      </w:pPr>
      <w:r w:rsidRPr="0028514E">
        <w:t xml:space="preserve">yskänrokko eli huuliherpes (suun </w:t>
      </w:r>
      <w:r w:rsidRPr="0028514E">
        <w:rPr>
          <w:i/>
        </w:rPr>
        <w:t xml:space="preserve">herpes simplex </w:t>
      </w:r>
      <w:r w:rsidRPr="0028514E">
        <w:t>-infektio), rakkulat</w:t>
      </w:r>
    </w:p>
    <w:p w14:paraId="49898635" w14:textId="77777777" w:rsidR="003B7027" w:rsidRPr="0028514E" w:rsidRDefault="00296A74" w:rsidP="003B2654">
      <w:pPr>
        <w:pStyle w:val="a"/>
        <w:rPr>
          <w:rFonts w:ascii="Symbol" w:hAnsi="Symbol"/>
        </w:rPr>
      </w:pPr>
      <w:r w:rsidRPr="0028514E">
        <w:t>ihoinfektio (selluliitti), johon voi liittyä myös kuumetta ja vilunväristyksiä</w:t>
      </w:r>
    </w:p>
    <w:p w14:paraId="3BEE8A7A" w14:textId="77777777" w:rsidR="003B7027" w:rsidRPr="0028514E" w:rsidRDefault="00296A74" w:rsidP="003B2654">
      <w:pPr>
        <w:pStyle w:val="a"/>
        <w:rPr>
          <w:rFonts w:ascii="Symbol" w:hAnsi="Symbol"/>
        </w:rPr>
      </w:pPr>
      <w:r w:rsidRPr="0028514E">
        <w:t>ihottuma ja kutina, nokkosrokko</w:t>
      </w:r>
    </w:p>
    <w:p w14:paraId="49434163" w14:textId="77777777" w:rsidR="003B7027" w:rsidRPr="0028514E" w:rsidRDefault="00296A74" w:rsidP="003B2654">
      <w:pPr>
        <w:pStyle w:val="a"/>
        <w:rPr>
          <w:rFonts w:ascii="Symbol" w:hAnsi="Symbol"/>
        </w:rPr>
      </w:pPr>
      <w:r w:rsidRPr="0028514E">
        <w:t>allergiset reaktiot (yliherkkyys)</w:t>
      </w:r>
    </w:p>
    <w:p w14:paraId="34304F5A" w14:textId="77777777" w:rsidR="003B7027" w:rsidRPr="0028514E" w:rsidRDefault="00296A74" w:rsidP="003B2654">
      <w:pPr>
        <w:pStyle w:val="a"/>
        <w:rPr>
          <w:rFonts w:ascii="Symbol" w:hAnsi="Symbol"/>
        </w:rPr>
      </w:pPr>
      <w:r w:rsidRPr="0028514E">
        <w:t>silmäinfektio (konjunktiviitti)</w:t>
      </w:r>
    </w:p>
    <w:p w14:paraId="3C61081C" w14:textId="77777777" w:rsidR="003B7027" w:rsidRPr="0028514E" w:rsidRDefault="00296A74" w:rsidP="003B2654">
      <w:pPr>
        <w:pStyle w:val="a"/>
        <w:rPr>
          <w:rFonts w:ascii="Symbol" w:hAnsi="Symbol"/>
        </w:rPr>
      </w:pPr>
      <w:r w:rsidRPr="0028514E">
        <w:t>päänsärky, huimaus, korkea verenpaine</w:t>
      </w:r>
    </w:p>
    <w:p w14:paraId="718100E5" w14:textId="77777777" w:rsidR="003B7027" w:rsidRPr="0028514E" w:rsidRDefault="00296A74" w:rsidP="003B2654">
      <w:pPr>
        <w:pStyle w:val="a"/>
        <w:rPr>
          <w:rFonts w:ascii="Symbol" w:hAnsi="Symbol"/>
        </w:rPr>
      </w:pPr>
      <w:r w:rsidRPr="0028514E">
        <w:t>suun haavaumat, vatsakipu</w:t>
      </w:r>
    </w:p>
    <w:p w14:paraId="7D0C5284" w14:textId="77777777" w:rsidR="003B7027" w:rsidRPr="0028514E" w:rsidRDefault="00296A74" w:rsidP="003B2654">
      <w:pPr>
        <w:pStyle w:val="a"/>
        <w:rPr>
          <w:rFonts w:ascii="Symbol" w:hAnsi="Symbol"/>
        </w:rPr>
      </w:pPr>
      <w:r w:rsidRPr="0028514E">
        <w:t>nesteen kertyminen (turvotus) alaraajoihin, painon nousu</w:t>
      </w:r>
    </w:p>
    <w:p w14:paraId="5CC67F92" w14:textId="77777777" w:rsidR="003B7027" w:rsidRPr="0028514E" w:rsidRDefault="00296A74" w:rsidP="003B2654">
      <w:pPr>
        <w:pStyle w:val="a"/>
        <w:rPr>
          <w:rFonts w:ascii="Symbol" w:hAnsi="Symbol"/>
        </w:rPr>
      </w:pPr>
      <w:r w:rsidRPr="0028514E">
        <w:t>yskä, hengenahdistus</w:t>
      </w:r>
    </w:p>
    <w:p w14:paraId="4618FA5A" w14:textId="77777777" w:rsidR="003B7027" w:rsidRPr="0028514E" w:rsidRDefault="00296A74" w:rsidP="003B2654">
      <w:pPr>
        <w:pStyle w:val="a"/>
        <w:rPr>
          <w:rFonts w:ascii="Symbol" w:hAnsi="Symbol"/>
        </w:rPr>
      </w:pPr>
      <w:r w:rsidRPr="0028514E">
        <w:t>verikokeissa todettu alhainen valkosoluarvo (neutropenia, leukopenia)</w:t>
      </w:r>
    </w:p>
    <w:p w14:paraId="47492144" w14:textId="77777777" w:rsidR="003B7027" w:rsidRPr="0028514E" w:rsidRDefault="00296A74" w:rsidP="003B2654">
      <w:pPr>
        <w:pStyle w:val="a"/>
        <w:rPr>
          <w:rFonts w:ascii="Symbol" w:hAnsi="Symbol"/>
        </w:rPr>
      </w:pPr>
      <w:r w:rsidRPr="0028514E">
        <w:t>poikkeavat maksan toimintakokeet (kohonneet transaminaasiarvot)</w:t>
      </w:r>
    </w:p>
    <w:p w14:paraId="5B8E0DFC" w14:textId="77777777" w:rsidR="003B7027" w:rsidRPr="00E44F77" w:rsidRDefault="00296A74" w:rsidP="003B2654">
      <w:pPr>
        <w:pStyle w:val="a"/>
        <w:rPr>
          <w:rFonts w:ascii="Symbol" w:hAnsi="Symbol"/>
        </w:rPr>
      </w:pPr>
      <w:r w:rsidRPr="00E44F77">
        <w:t>verikokeissa todettu kohonnut bilirubiini</w:t>
      </w:r>
    </w:p>
    <w:p w14:paraId="73BB660B" w14:textId="77777777" w:rsidR="003B7027" w:rsidRPr="00E44F77" w:rsidRDefault="00296A74" w:rsidP="003B2654">
      <w:pPr>
        <w:pStyle w:val="a"/>
        <w:rPr>
          <w:rFonts w:ascii="Symbol" w:hAnsi="Symbol"/>
        </w:rPr>
      </w:pPr>
      <w:r w:rsidRPr="00E44F77">
        <w:t>veren matala fibrinogeenipitoisuus (fibrinogeeni on veren hyytymiseen osallistuva valkuaisaine).</w:t>
      </w:r>
    </w:p>
    <w:p w14:paraId="7746AA9B" w14:textId="77777777" w:rsidR="003B7027" w:rsidRPr="0028514E" w:rsidRDefault="003B7027" w:rsidP="006E5F9A">
      <w:pPr>
        <w:pStyle w:val="a4"/>
        <w:ind w:left="0"/>
      </w:pPr>
    </w:p>
    <w:p w14:paraId="6D0BEAD3" w14:textId="77777777" w:rsidR="003B7027" w:rsidRPr="009A3CB5" w:rsidRDefault="00296A74" w:rsidP="009A3CB5">
      <w:pPr>
        <w:rPr>
          <w:b/>
          <w:bCs/>
          <w:lang w:val="fi-FI"/>
        </w:rPr>
      </w:pPr>
      <w:r w:rsidRPr="009A3CB5">
        <w:rPr>
          <w:b/>
          <w:bCs/>
          <w:lang w:val="fi-FI"/>
        </w:rPr>
        <w:t>Melko harvinaisia haittavaikutuksia:</w:t>
      </w:r>
    </w:p>
    <w:p w14:paraId="7D3C9DDB" w14:textId="77777777" w:rsidR="003B7027" w:rsidRPr="00CA43F5" w:rsidRDefault="00296A74" w:rsidP="006E5F9A">
      <w:pPr>
        <w:rPr>
          <w:i/>
          <w:lang w:val="fi-FI"/>
        </w:rPr>
      </w:pPr>
      <w:r w:rsidRPr="00CA43F5">
        <w:rPr>
          <w:i/>
          <w:lang w:val="fi-FI"/>
        </w:rPr>
        <w:t>Näitä saattaa esiintyä enintään yhdellä potilaalla 100:sta</w:t>
      </w:r>
    </w:p>
    <w:p w14:paraId="1980C87B" w14:textId="77777777" w:rsidR="003B7027" w:rsidRPr="0028514E" w:rsidRDefault="00296A74" w:rsidP="003B2654">
      <w:pPr>
        <w:pStyle w:val="a"/>
        <w:rPr>
          <w:rFonts w:ascii="Symbol" w:hAnsi="Symbol"/>
        </w:rPr>
      </w:pPr>
      <w:r w:rsidRPr="0028514E">
        <w:t>divertikuliitti (kuume, pahoinvointi, ripuli, ummetus, vatsakipu)</w:t>
      </w:r>
    </w:p>
    <w:p w14:paraId="7C97DC24" w14:textId="77777777" w:rsidR="003B7027" w:rsidRPr="0028514E" w:rsidRDefault="00296A74" w:rsidP="003B2654">
      <w:pPr>
        <w:pStyle w:val="a"/>
        <w:rPr>
          <w:rFonts w:ascii="Symbol" w:hAnsi="Symbol"/>
        </w:rPr>
      </w:pPr>
      <w:r w:rsidRPr="0028514E">
        <w:t>punaiset turvonneet alueet suussa</w:t>
      </w:r>
    </w:p>
    <w:p w14:paraId="68E53987" w14:textId="77777777" w:rsidR="003B7027" w:rsidRPr="0028514E" w:rsidRDefault="00296A74" w:rsidP="003B2654">
      <w:pPr>
        <w:pStyle w:val="a"/>
        <w:rPr>
          <w:rFonts w:ascii="Symbol" w:hAnsi="Symbol"/>
        </w:rPr>
      </w:pPr>
      <w:r w:rsidRPr="0028514E">
        <w:t>korkeat veren rasva-arvot (triglyseridit)</w:t>
      </w:r>
    </w:p>
    <w:p w14:paraId="3CDCD1FA" w14:textId="77777777" w:rsidR="003B7027" w:rsidRPr="0028514E" w:rsidRDefault="00296A74" w:rsidP="003B2654">
      <w:pPr>
        <w:pStyle w:val="a"/>
        <w:rPr>
          <w:rFonts w:ascii="Symbol" w:hAnsi="Symbol"/>
        </w:rPr>
      </w:pPr>
      <w:r w:rsidRPr="0028514E">
        <w:t>mahahaava</w:t>
      </w:r>
    </w:p>
    <w:p w14:paraId="7E7026CD" w14:textId="77777777" w:rsidR="003B7027" w:rsidRPr="0028514E" w:rsidRDefault="00296A74" w:rsidP="003B2654">
      <w:pPr>
        <w:pStyle w:val="a"/>
        <w:rPr>
          <w:rFonts w:ascii="Symbol" w:hAnsi="Symbol"/>
        </w:rPr>
      </w:pPr>
      <w:r w:rsidRPr="0028514E">
        <w:t>munuaiskivet</w:t>
      </w:r>
    </w:p>
    <w:p w14:paraId="2F8D9583" w14:textId="77777777" w:rsidR="003B7027" w:rsidRPr="0028514E" w:rsidRDefault="00296A74" w:rsidP="003B2654">
      <w:pPr>
        <w:pStyle w:val="a"/>
        <w:rPr>
          <w:rFonts w:ascii="Symbol" w:hAnsi="Symbol"/>
        </w:rPr>
      </w:pPr>
      <w:r w:rsidRPr="0028514E">
        <w:t>kilpirauhasen vajaatoiminta.</w:t>
      </w:r>
    </w:p>
    <w:p w14:paraId="65AD92FC" w14:textId="77777777" w:rsidR="003B7027" w:rsidRPr="0028514E" w:rsidRDefault="003B7027" w:rsidP="006E5F9A">
      <w:pPr>
        <w:pStyle w:val="a4"/>
        <w:ind w:left="0"/>
      </w:pPr>
    </w:p>
    <w:p w14:paraId="4EECC9ED" w14:textId="77777777" w:rsidR="003B7027" w:rsidRPr="009A3CB5" w:rsidRDefault="00296A74" w:rsidP="009A3CB5">
      <w:pPr>
        <w:rPr>
          <w:b/>
          <w:bCs/>
          <w:lang w:val="fi-FI"/>
        </w:rPr>
      </w:pPr>
      <w:r w:rsidRPr="009A3CB5">
        <w:rPr>
          <w:b/>
          <w:bCs/>
          <w:lang w:val="fi-FI"/>
        </w:rPr>
        <w:t>Harvinaisia haittavaikutuksia:</w:t>
      </w:r>
    </w:p>
    <w:p w14:paraId="6D0B7704" w14:textId="77777777" w:rsidR="003B7027" w:rsidRPr="00CA43F5" w:rsidRDefault="00296A74" w:rsidP="006E5F9A">
      <w:pPr>
        <w:rPr>
          <w:i/>
          <w:lang w:val="fi-FI"/>
        </w:rPr>
      </w:pPr>
      <w:r w:rsidRPr="00CA43F5">
        <w:rPr>
          <w:i/>
          <w:lang w:val="fi-FI"/>
        </w:rPr>
        <w:t>Näitä saattaa esiintyä enintään yhdellä potilaalla 1000:sta</w:t>
      </w:r>
    </w:p>
    <w:p w14:paraId="6BE1C033" w14:textId="77777777" w:rsidR="003B7027" w:rsidRPr="0028514E" w:rsidRDefault="00296A74" w:rsidP="003B2654">
      <w:pPr>
        <w:pStyle w:val="a"/>
        <w:rPr>
          <w:rFonts w:ascii="Symbol" w:hAnsi="Symbol"/>
        </w:rPr>
      </w:pPr>
      <w:r w:rsidRPr="0028514E">
        <w:t>Stevens-Johnsonin oireyhtymä (ihottuma, joka voi johtaa vaikeaan ihon rakkuloitumiseen ja kuoriutumiseen)</w:t>
      </w:r>
    </w:p>
    <w:p w14:paraId="4E974629" w14:textId="77777777" w:rsidR="003B7027" w:rsidRPr="0028514E" w:rsidRDefault="00296A74" w:rsidP="003B2654">
      <w:pPr>
        <w:pStyle w:val="a"/>
        <w:rPr>
          <w:rFonts w:ascii="Symbol" w:hAnsi="Symbol"/>
        </w:rPr>
      </w:pPr>
      <w:r w:rsidRPr="0028514E">
        <w:t>kuolemaan johtavat allergiset reaktiot (anafylaksia)</w:t>
      </w:r>
    </w:p>
    <w:p w14:paraId="1C6B6073" w14:textId="77777777" w:rsidR="003B7027" w:rsidRPr="0028514E" w:rsidRDefault="00296A74" w:rsidP="003B2654">
      <w:pPr>
        <w:pStyle w:val="a"/>
        <w:rPr>
          <w:rFonts w:ascii="Symbol" w:hAnsi="Symbol"/>
        </w:rPr>
      </w:pPr>
      <w:r w:rsidRPr="0028514E">
        <w:t>maksatulehdus (hepatiitti), keltaisuus.</w:t>
      </w:r>
    </w:p>
    <w:p w14:paraId="5E5FCF2D" w14:textId="77777777" w:rsidR="003B7027" w:rsidRPr="0028514E" w:rsidRDefault="003B7027" w:rsidP="006E5F9A">
      <w:pPr>
        <w:pStyle w:val="a4"/>
        <w:ind w:left="0"/>
      </w:pPr>
    </w:p>
    <w:p w14:paraId="1C9BE26B" w14:textId="77777777" w:rsidR="003B7027" w:rsidRPr="009A3CB5" w:rsidRDefault="00296A74" w:rsidP="009A3CB5">
      <w:pPr>
        <w:rPr>
          <w:b/>
          <w:bCs/>
          <w:lang w:val="fi-FI"/>
        </w:rPr>
      </w:pPr>
      <w:r w:rsidRPr="009A3CB5">
        <w:rPr>
          <w:b/>
          <w:bCs/>
          <w:lang w:val="fi-FI"/>
        </w:rPr>
        <w:t>Hyvin harvinaisia haittavaikutuksia:</w:t>
      </w:r>
    </w:p>
    <w:p w14:paraId="2349DA05" w14:textId="77777777" w:rsidR="003B7027" w:rsidRPr="00CA43F5" w:rsidRDefault="00296A74" w:rsidP="006E5F9A">
      <w:pPr>
        <w:rPr>
          <w:i/>
          <w:lang w:val="fi-FI"/>
        </w:rPr>
      </w:pPr>
      <w:r w:rsidRPr="00CA43F5">
        <w:rPr>
          <w:i/>
          <w:lang w:val="fi-FI"/>
        </w:rPr>
        <w:t>Näitä saattaa esiintyä enintään yhdellä potilaalla 10 000:sta</w:t>
      </w:r>
    </w:p>
    <w:p w14:paraId="633DBFAA" w14:textId="77777777" w:rsidR="003B7027" w:rsidRPr="0028514E" w:rsidRDefault="00296A74" w:rsidP="003B2654">
      <w:pPr>
        <w:pStyle w:val="a"/>
        <w:rPr>
          <w:rFonts w:ascii="Symbol" w:hAnsi="Symbol"/>
        </w:rPr>
      </w:pPr>
      <w:r w:rsidRPr="0028514E">
        <w:t>valkoisten ja punaisten verisolujen sekä verihiutaleiden niukkuus</w:t>
      </w:r>
    </w:p>
    <w:p w14:paraId="52EED265" w14:textId="77777777" w:rsidR="003B7027" w:rsidRPr="0028514E" w:rsidRDefault="00296A74" w:rsidP="003B2654">
      <w:pPr>
        <w:pStyle w:val="a"/>
        <w:rPr>
          <w:rFonts w:ascii="Symbol" w:hAnsi="Symbol"/>
        </w:rPr>
      </w:pPr>
      <w:r w:rsidRPr="0028514E">
        <w:t>maksan vajaatoiminta.</w:t>
      </w:r>
    </w:p>
    <w:p w14:paraId="2F0A4D46" w14:textId="77777777" w:rsidR="003B7027" w:rsidRPr="0028514E" w:rsidRDefault="003B7027" w:rsidP="006E5F9A">
      <w:pPr>
        <w:pStyle w:val="a4"/>
        <w:ind w:left="0"/>
      </w:pPr>
    </w:p>
    <w:p w14:paraId="39435571" w14:textId="77777777" w:rsidR="003B7027" w:rsidRPr="00CA43F5" w:rsidRDefault="00296A74" w:rsidP="006E5F9A">
      <w:pPr>
        <w:rPr>
          <w:lang w:val="fi-FI"/>
        </w:rPr>
      </w:pPr>
      <w:r w:rsidRPr="00CA43F5">
        <w:rPr>
          <w:b/>
          <w:lang w:val="fi-FI"/>
        </w:rPr>
        <w:t xml:space="preserve">Haittavaikutukset yleisoireista lastenreumaa tai polyartriittia sairastavilla lapsilla ja nuorilla </w:t>
      </w:r>
      <w:r w:rsidRPr="00CA43F5">
        <w:rPr>
          <w:lang w:val="fi-FI"/>
        </w:rPr>
        <w:t>Haittavaikutukset ovat yleisoireista lastenreumaa tai polyartriittia sairastavilla lapsilla ja nuorilla yleensä samankaltaisia kuin aikuisilla. Joitakin haittavaikutuksia esiintyy lapsilla ja nuorilla useammin: nenän ja kurkun tulehdus, päänsärky, pahoinvointi ja vähentynyt veren valkosolumäärä.</w:t>
      </w:r>
    </w:p>
    <w:p w14:paraId="67318FD0" w14:textId="77777777" w:rsidR="003B7027" w:rsidRPr="0028514E" w:rsidRDefault="003B7027" w:rsidP="006E5F9A">
      <w:pPr>
        <w:pStyle w:val="a4"/>
        <w:ind w:left="0"/>
      </w:pPr>
    </w:p>
    <w:p w14:paraId="73670E81" w14:textId="77777777" w:rsidR="003B7027" w:rsidRPr="009A3CB5" w:rsidRDefault="00296A74" w:rsidP="009A3CB5">
      <w:pPr>
        <w:rPr>
          <w:b/>
          <w:bCs/>
          <w:lang w:val="fi-FI"/>
        </w:rPr>
      </w:pPr>
      <w:r w:rsidRPr="009A3CB5">
        <w:rPr>
          <w:b/>
          <w:bCs/>
          <w:lang w:val="fi-FI"/>
        </w:rPr>
        <w:lastRenderedPageBreak/>
        <w:t>Haittavaikutuksista ilmoittaminen</w:t>
      </w:r>
    </w:p>
    <w:p w14:paraId="53A452F0" w14:textId="77777777" w:rsidR="003B7027" w:rsidRPr="0028514E" w:rsidRDefault="00296A74" w:rsidP="006E5F9A">
      <w:pPr>
        <w:pStyle w:val="a4"/>
        <w:ind w:left="0"/>
        <w:rPr>
          <w:color w:val="000000"/>
        </w:rPr>
      </w:pPr>
      <w:r w:rsidRPr="0028514E">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fldChar w:fldCharType="begin"/>
      </w:r>
      <w:r>
        <w:instrText>HYPERLINK "https://www.ema.europa.eu/documents/template-form/appendix-v-adverse-drug-reaction-reporting-details_en.doc" \h</w:instrText>
      </w:r>
      <w:r>
        <w:fldChar w:fldCharType="separate"/>
      </w:r>
      <w:r w:rsidRPr="0028514E">
        <w:rPr>
          <w:color w:val="0000FF"/>
          <w:u w:val="single" w:color="0000FF"/>
          <w:shd w:val="clear" w:color="auto" w:fill="C1C1C1"/>
        </w:rPr>
        <w:t>liitteessä V</w:t>
      </w:r>
      <w:r>
        <w:fldChar w:fldCharType="end"/>
      </w:r>
      <w:r w:rsidRPr="0028514E">
        <w:rPr>
          <w:color w:val="0000FF"/>
          <w:u w:val="single" w:color="0000FF"/>
          <w:shd w:val="clear" w:color="auto" w:fill="C1C1C1"/>
        </w:rPr>
        <w:t xml:space="preserve"> </w:t>
      </w:r>
      <w:r w:rsidRPr="0028514E">
        <w:rPr>
          <w:color w:val="000000"/>
          <w:shd w:val="clear" w:color="auto" w:fill="C1C1C1"/>
        </w:rPr>
        <w:t>luetellun kansallisen</w:t>
      </w:r>
      <w:r w:rsidRPr="0028514E">
        <w:rPr>
          <w:color w:val="000000"/>
        </w:rPr>
        <w:t xml:space="preserve"> </w:t>
      </w:r>
      <w:r w:rsidRPr="0028514E">
        <w:rPr>
          <w:color w:val="000000"/>
          <w:shd w:val="clear" w:color="auto" w:fill="C1C1C1"/>
        </w:rPr>
        <w:t>ilmoitusjärjestelmän kautta</w:t>
      </w:r>
      <w:r w:rsidRPr="0028514E">
        <w:rPr>
          <w:color w:val="000000"/>
        </w:rPr>
        <w:t>. Ilmoittamalla haittavaikutuksista voit auttaa saamaan enemmän tietoa tämän lääkevalmisteen turvallisuudesta.</w:t>
      </w:r>
    </w:p>
    <w:p w14:paraId="620EA690" w14:textId="77777777" w:rsidR="005F1B37" w:rsidRPr="0028514E" w:rsidRDefault="005F1B37" w:rsidP="006E5F9A">
      <w:pPr>
        <w:pStyle w:val="a4"/>
        <w:ind w:left="0"/>
        <w:rPr>
          <w:color w:val="000000"/>
        </w:rPr>
      </w:pPr>
    </w:p>
    <w:p w14:paraId="6718D94C" w14:textId="77777777" w:rsidR="005F1B37" w:rsidRPr="0028514E" w:rsidRDefault="005F1B37" w:rsidP="006E5F9A">
      <w:pPr>
        <w:pStyle w:val="a4"/>
        <w:ind w:left="0"/>
      </w:pPr>
    </w:p>
    <w:p w14:paraId="3F552388" w14:textId="24E1B7FC" w:rsidR="003B7027" w:rsidRPr="0028514E" w:rsidRDefault="00296A74" w:rsidP="00053D1E">
      <w:pPr>
        <w:pStyle w:val="2"/>
        <w:keepNext/>
      </w:pPr>
      <w:r w:rsidRPr="0028514E">
        <w:t>5.</w:t>
      </w:r>
      <w:r w:rsidRPr="0028514E">
        <w:tab/>
      </w:r>
      <w:r w:rsidR="009459C1">
        <w:t>Avtozma</w:t>
      </w:r>
      <w:r w:rsidRPr="0028514E">
        <w:t>n säilyttäminen</w:t>
      </w:r>
    </w:p>
    <w:p w14:paraId="4040F9F7" w14:textId="77777777" w:rsidR="005F1B37" w:rsidRPr="0028514E" w:rsidRDefault="005F1B37" w:rsidP="00DD705A"/>
    <w:p w14:paraId="17C23F3E" w14:textId="77777777" w:rsidR="003B7027" w:rsidRPr="0028514E" w:rsidRDefault="00296A74" w:rsidP="00053D1E">
      <w:pPr>
        <w:pStyle w:val="a4"/>
        <w:ind w:left="0"/>
      </w:pPr>
      <w:r w:rsidRPr="0028514E">
        <w:t>Ei lasten ulottuville eikä näkyville.</w:t>
      </w:r>
    </w:p>
    <w:p w14:paraId="1200DE15" w14:textId="77777777" w:rsidR="003B7027" w:rsidRPr="0028514E" w:rsidRDefault="003B7027" w:rsidP="00053D1E">
      <w:pPr>
        <w:pStyle w:val="a4"/>
        <w:ind w:left="0"/>
      </w:pPr>
    </w:p>
    <w:p w14:paraId="465473B7" w14:textId="77777777" w:rsidR="003B7027" w:rsidRPr="0028514E" w:rsidRDefault="00296A74" w:rsidP="00053D1E">
      <w:pPr>
        <w:pStyle w:val="a4"/>
        <w:ind w:left="0"/>
      </w:pPr>
      <w:r w:rsidRPr="0028514E">
        <w:t>Älä käytä tätä lääkettä esitäytetyn ruiskun etiketissä ja kotelossa mainitun viimeisen käyttöpäivämäärän (Käyt. viim.) jälkeen. Viimeinen käyttöpäivämäärä tarkoittaa kuukauden viimeistä päivää.</w:t>
      </w:r>
    </w:p>
    <w:p w14:paraId="30E81424" w14:textId="77777777" w:rsidR="003B7027" w:rsidRPr="0028514E" w:rsidRDefault="003B7027" w:rsidP="00053D1E">
      <w:pPr>
        <w:pStyle w:val="a4"/>
        <w:ind w:left="0"/>
      </w:pPr>
    </w:p>
    <w:p w14:paraId="525968B1" w14:textId="025C074E" w:rsidR="003B7027" w:rsidRPr="0028514E" w:rsidRDefault="00296A74" w:rsidP="00053D1E">
      <w:pPr>
        <w:pStyle w:val="a4"/>
        <w:ind w:left="0"/>
      </w:pPr>
      <w:r w:rsidRPr="0028514E">
        <w:t xml:space="preserve">Säilytä jääkaapissa (2 °C – 8 °C). Ei saa jäätyä. Kun esitäytetty ruisku on otettu jääkaapista, se voidaan säilyttää enintään 30 °C:n lämpötilassa korkeintaan </w:t>
      </w:r>
      <w:r w:rsidR="009459C1">
        <w:t>3</w:t>
      </w:r>
      <w:r w:rsidRPr="0028514E">
        <w:t xml:space="preserve"> viikkoa.</w:t>
      </w:r>
    </w:p>
    <w:p w14:paraId="4B12304E" w14:textId="77777777" w:rsidR="005F1B37" w:rsidRPr="0028514E" w:rsidRDefault="005F1B37" w:rsidP="00053D1E">
      <w:pPr>
        <w:pStyle w:val="a4"/>
        <w:ind w:left="0"/>
      </w:pPr>
    </w:p>
    <w:p w14:paraId="13D410A8" w14:textId="77777777" w:rsidR="003B7027" w:rsidRPr="0028514E" w:rsidRDefault="00296A74" w:rsidP="00053D1E">
      <w:pPr>
        <w:pStyle w:val="a4"/>
        <w:ind w:left="0"/>
      </w:pPr>
      <w:r w:rsidRPr="0028514E">
        <w:t>Pidä esitäytetyt ruiskut ulkopakkauksessa. Herkkä valolle. Herkkä kosteudelle.</w:t>
      </w:r>
    </w:p>
    <w:p w14:paraId="498FBB39" w14:textId="77777777" w:rsidR="003B7027" w:rsidRPr="0028514E" w:rsidRDefault="003B7027" w:rsidP="00053D1E">
      <w:pPr>
        <w:pStyle w:val="a4"/>
        <w:ind w:left="0"/>
      </w:pPr>
    </w:p>
    <w:p w14:paraId="2A0E4A68" w14:textId="1F90FD20" w:rsidR="003B7027" w:rsidRPr="0028514E" w:rsidRDefault="00296A74" w:rsidP="00053D1E">
      <w:pPr>
        <w:pStyle w:val="a4"/>
        <w:ind w:left="0"/>
      </w:pPr>
      <w:r w:rsidRPr="0028514E">
        <w:t xml:space="preserve">Älä käytä ruiskua, jos lääke on sameaa tai siinä on hiukkasia tai jos liuos ei ole väritöntä tai </w:t>
      </w:r>
      <w:r w:rsidR="009459C1">
        <w:t>keltaista</w:t>
      </w:r>
      <w:r w:rsidR="009459C1" w:rsidRPr="0028514E">
        <w:t xml:space="preserve"> </w:t>
      </w:r>
      <w:r w:rsidRPr="0028514E">
        <w:t>tai jos esitäytetyn ruiskun jokin osa vaikuttaa vialliselta.</w:t>
      </w:r>
    </w:p>
    <w:p w14:paraId="01494350" w14:textId="77777777" w:rsidR="005F1B37" w:rsidRPr="0028514E" w:rsidRDefault="005F1B37" w:rsidP="00053D1E">
      <w:pPr>
        <w:pStyle w:val="a4"/>
        <w:ind w:left="0"/>
      </w:pPr>
    </w:p>
    <w:p w14:paraId="72A80B22" w14:textId="77777777" w:rsidR="003B7027" w:rsidRPr="0028514E" w:rsidRDefault="00296A74" w:rsidP="00053D1E">
      <w:pPr>
        <w:pStyle w:val="a4"/>
        <w:ind w:left="0"/>
      </w:pPr>
      <w:r w:rsidRPr="0028514E">
        <w:t>Ruiskua ei saa ravistaa. Pistäminen on aloitettava 5 minuutin kuluessa siitä, kun neulan suojakorkki on poistettu, jotta lääkkeen kuivuminen ja neulan tukkeutuminen voidaan välttää. Jos esitäytettyä ruiskua ei käytetä 5 minuutin kuluessa siitä, kun neulan suojakorkki on poistettu, ruisku on laitettava pistävälle ja viiltävälle jätteelle tarkoitettuun astiaan, ja käyttöön on otettava uusi esitäytetty ruisku.</w:t>
      </w:r>
    </w:p>
    <w:p w14:paraId="33C00499" w14:textId="77777777" w:rsidR="003B7027" w:rsidRPr="0028514E" w:rsidRDefault="003B7027" w:rsidP="00053D1E">
      <w:pPr>
        <w:pStyle w:val="a4"/>
        <w:ind w:left="0"/>
      </w:pPr>
    </w:p>
    <w:p w14:paraId="687D4084" w14:textId="77777777" w:rsidR="003B7027" w:rsidRPr="0028514E" w:rsidRDefault="00296A74" w:rsidP="00053D1E">
      <w:pPr>
        <w:pStyle w:val="a4"/>
        <w:ind w:left="0"/>
      </w:pPr>
      <w:r w:rsidRPr="0028514E">
        <w:t>Jos et neulan ihon alle pistämisen jälkeen pysty painamaan ruiskun mäntää, sinun on laitettava esitäytetty ruisku pistävälle ja viiltävälle jätteelle tarkoitettuun astiaan ja otettava käyttöön uusi esitäytetty ruisku.</w:t>
      </w:r>
    </w:p>
    <w:p w14:paraId="2820E71D" w14:textId="77777777" w:rsidR="003B7027" w:rsidRPr="0028514E" w:rsidRDefault="003B7027" w:rsidP="00053D1E">
      <w:pPr>
        <w:pStyle w:val="a4"/>
        <w:ind w:left="0"/>
      </w:pPr>
    </w:p>
    <w:p w14:paraId="114F113D" w14:textId="77777777" w:rsidR="005F1B37" w:rsidRPr="0028514E" w:rsidRDefault="005F1B37" w:rsidP="00053D1E">
      <w:pPr>
        <w:pStyle w:val="a4"/>
        <w:ind w:left="0"/>
      </w:pPr>
    </w:p>
    <w:p w14:paraId="788856F7" w14:textId="77777777" w:rsidR="009459C1" w:rsidRDefault="00296A74" w:rsidP="00053D1E">
      <w:pPr>
        <w:pStyle w:val="2"/>
      </w:pPr>
      <w:r w:rsidRPr="0028514E">
        <w:t>6.</w:t>
      </w:r>
      <w:r w:rsidRPr="0028514E">
        <w:tab/>
        <w:t xml:space="preserve">Pakkauksen sisältö ja muuta tietoa </w:t>
      </w:r>
    </w:p>
    <w:p w14:paraId="2FF6AD62" w14:textId="77777777" w:rsidR="009459C1" w:rsidRPr="009A3CB5" w:rsidRDefault="009459C1" w:rsidP="00DD705A">
      <w:pPr>
        <w:rPr>
          <w:lang w:val="fi-FI"/>
        </w:rPr>
      </w:pPr>
    </w:p>
    <w:p w14:paraId="57B37AF6" w14:textId="22A8B64F" w:rsidR="005F1B37" w:rsidRPr="009A3CB5" w:rsidRDefault="00296A74" w:rsidP="009A3CB5">
      <w:pPr>
        <w:rPr>
          <w:b/>
          <w:bCs/>
          <w:lang w:val="fi-FI"/>
        </w:rPr>
      </w:pPr>
      <w:r w:rsidRPr="009A3CB5">
        <w:rPr>
          <w:b/>
          <w:bCs/>
          <w:lang w:val="fi-FI"/>
        </w:rPr>
        <w:t xml:space="preserve">Mitä </w:t>
      </w:r>
      <w:r w:rsidR="009459C1" w:rsidRPr="009A3CB5">
        <w:rPr>
          <w:b/>
          <w:bCs/>
          <w:lang w:val="fi-FI"/>
        </w:rPr>
        <w:t>Avtozma</w:t>
      </w:r>
      <w:r w:rsidRPr="009A3CB5">
        <w:rPr>
          <w:b/>
          <w:bCs/>
          <w:lang w:val="fi-FI"/>
        </w:rPr>
        <w:t xml:space="preserve"> sisältää</w:t>
      </w:r>
    </w:p>
    <w:p w14:paraId="1B810DA1" w14:textId="77777777" w:rsidR="003B7027" w:rsidRPr="00053D1E" w:rsidRDefault="00296A74" w:rsidP="00053D1E">
      <w:pPr>
        <w:pStyle w:val="a"/>
      </w:pPr>
      <w:r w:rsidRPr="00053D1E">
        <w:t>Vaikuttava aine on tosilitsumabi.</w:t>
      </w:r>
    </w:p>
    <w:p w14:paraId="40F4A04C" w14:textId="77777777" w:rsidR="003B7027" w:rsidRPr="00053D1E" w:rsidRDefault="00296A74" w:rsidP="001327AB">
      <w:pPr>
        <w:pStyle w:val="a4"/>
        <w:ind w:left="567"/>
      </w:pPr>
      <w:r w:rsidRPr="00053D1E">
        <w:t>Jokainen esitäytetty ruisku sisältää 162 mg tosilitsumabia 0,9 ml:ssa.</w:t>
      </w:r>
    </w:p>
    <w:p w14:paraId="03B6500A" w14:textId="77777777" w:rsidR="003B7027" w:rsidRPr="00053D1E" w:rsidRDefault="003B7027" w:rsidP="006E5F9A">
      <w:pPr>
        <w:pStyle w:val="a4"/>
        <w:ind w:left="0"/>
      </w:pPr>
    </w:p>
    <w:p w14:paraId="04294D9A" w14:textId="1A395E83" w:rsidR="003B7027" w:rsidRPr="00053D1E" w:rsidRDefault="00296A74" w:rsidP="00053D1E">
      <w:pPr>
        <w:pStyle w:val="a"/>
      </w:pPr>
      <w:r w:rsidRPr="00053D1E">
        <w:t>Muut aineet ovat L-histidiini,</w:t>
      </w:r>
      <w:r w:rsidR="00A5656C" w:rsidRPr="00A5656C">
        <w:t xml:space="preserve"> </w:t>
      </w:r>
      <w:r w:rsidR="00C26E34" w:rsidRPr="00C26E34">
        <w:rPr>
          <w:rFonts w:eastAsia="맑은 고딕" w:hint="eastAsia"/>
          <w:lang w:eastAsia="ko-KR"/>
        </w:rPr>
        <w:t>L-histidiinimonohydrokloridimonohydraatti</w:t>
      </w:r>
      <w:r w:rsidR="00A5656C">
        <w:rPr>
          <w:rFonts w:eastAsia="맑은 고딕" w:hint="eastAsia"/>
          <w:lang w:eastAsia="ko-KR"/>
        </w:rPr>
        <w:t>,</w:t>
      </w:r>
      <w:r w:rsidRPr="00053D1E">
        <w:t xml:space="preserve"> </w:t>
      </w:r>
      <w:r w:rsidR="009459C1">
        <w:t>L‑treoniini</w:t>
      </w:r>
      <w:r w:rsidRPr="00053D1E">
        <w:t xml:space="preserve">, </w:t>
      </w:r>
      <w:r w:rsidR="00915253">
        <w:t>L‑metioniini</w:t>
      </w:r>
      <w:r w:rsidR="00894F07">
        <w:rPr>
          <w:rFonts w:eastAsia="맑은 고딕" w:hint="eastAsia"/>
          <w:lang w:eastAsia="ko-KR"/>
        </w:rPr>
        <w:t>,</w:t>
      </w:r>
      <w:r w:rsidR="00915253" w:rsidRPr="00053D1E">
        <w:t xml:space="preserve"> </w:t>
      </w:r>
      <w:r w:rsidRPr="00053D1E">
        <w:t>polysorbaatti 80, injektionesteisiin käytettävä vesi.</w:t>
      </w:r>
    </w:p>
    <w:p w14:paraId="3F92C8BD" w14:textId="77777777" w:rsidR="003B7027" w:rsidRPr="00053D1E" w:rsidRDefault="003B7027" w:rsidP="006E5F9A">
      <w:pPr>
        <w:pStyle w:val="a4"/>
        <w:ind w:left="0"/>
      </w:pPr>
    </w:p>
    <w:p w14:paraId="7D2BD28C" w14:textId="77777777" w:rsidR="003B7027" w:rsidRPr="009A3CB5" w:rsidRDefault="00296A74" w:rsidP="009A3CB5">
      <w:pPr>
        <w:rPr>
          <w:b/>
          <w:bCs/>
          <w:lang w:val="fi-FI"/>
        </w:rPr>
      </w:pPr>
      <w:r w:rsidRPr="009A3CB5">
        <w:rPr>
          <w:b/>
          <w:bCs/>
          <w:lang w:val="fi-FI"/>
        </w:rPr>
        <w:t>Lääkevalmisteen kuvaus ja pakkauskoot</w:t>
      </w:r>
    </w:p>
    <w:p w14:paraId="1539478A" w14:textId="1C70FE58" w:rsidR="003B7027" w:rsidRPr="00053D1E" w:rsidRDefault="00A201A2" w:rsidP="006E5F9A">
      <w:pPr>
        <w:pStyle w:val="a4"/>
        <w:ind w:left="0"/>
      </w:pPr>
      <w:r>
        <w:t>Avtozma</w:t>
      </w:r>
      <w:r w:rsidRPr="00053D1E">
        <w:t xml:space="preserve"> </w:t>
      </w:r>
      <w:r w:rsidR="00296A74" w:rsidRPr="00053D1E">
        <w:t xml:space="preserve">on injektioneste, liuos. Liuos on väritöntä tai </w:t>
      </w:r>
      <w:r>
        <w:t>keltaista</w:t>
      </w:r>
      <w:r w:rsidR="00296A74" w:rsidRPr="00053D1E">
        <w:t>.</w:t>
      </w:r>
    </w:p>
    <w:p w14:paraId="517A2437" w14:textId="6257342B" w:rsidR="003B7027" w:rsidRPr="00053D1E" w:rsidRDefault="003B7027" w:rsidP="006E5F9A">
      <w:pPr>
        <w:pStyle w:val="a4"/>
        <w:ind w:left="0"/>
      </w:pPr>
    </w:p>
    <w:p w14:paraId="55CC3CD4" w14:textId="35DA350F" w:rsidR="003B7027" w:rsidRPr="00053D1E" w:rsidRDefault="00A201A2" w:rsidP="006E5F9A">
      <w:pPr>
        <w:pStyle w:val="a4"/>
        <w:ind w:left="0"/>
      </w:pPr>
      <w:r>
        <w:t>Avtozma</w:t>
      </w:r>
      <w:r w:rsidRPr="00053D1E">
        <w:t xml:space="preserve"> </w:t>
      </w:r>
      <w:r w:rsidR="00296A74" w:rsidRPr="00053D1E">
        <w:t>on pakattu 0,9 ml:n esitäytettyyn ruiskuun, joka sisältää 162 mg tosilitsumabi- injektionestettä, liuosta.</w:t>
      </w:r>
    </w:p>
    <w:p w14:paraId="17466B9B" w14:textId="77777777" w:rsidR="003B7027" w:rsidRDefault="003B7027" w:rsidP="006E5F9A">
      <w:pPr>
        <w:pStyle w:val="a4"/>
        <w:ind w:left="0"/>
      </w:pPr>
    </w:p>
    <w:p w14:paraId="1A882A99" w14:textId="77777777" w:rsidR="00A201A2" w:rsidRDefault="00A201A2" w:rsidP="00A201A2">
      <w:pPr>
        <w:pStyle w:val="a4"/>
        <w:ind w:left="0"/>
      </w:pPr>
      <w:r>
        <w:t>Potilaan käyttöön tarkoitettuja esitäytettyjä Avtozma-ruiskuja on saatavilla pakkauksissa, jotka sisältävät:</w:t>
      </w:r>
    </w:p>
    <w:p w14:paraId="74D6E8D3" w14:textId="77777777" w:rsidR="00A201A2" w:rsidRDefault="00A201A2" w:rsidP="00A201A2">
      <w:pPr>
        <w:pStyle w:val="a"/>
      </w:pPr>
      <w:r>
        <w:t>1 esitäytetyn ruiskun</w:t>
      </w:r>
    </w:p>
    <w:p w14:paraId="7B859FA9" w14:textId="1583C368" w:rsidR="003B2CC6" w:rsidRDefault="003B2CC6" w:rsidP="003B2CC6">
      <w:pPr>
        <w:pStyle w:val="a"/>
        <w:rPr>
          <w:ins w:id="41" w:author="만든 이"/>
        </w:rPr>
      </w:pPr>
      <w:ins w:id="42" w:author="만든 이">
        <w:r>
          <w:rPr>
            <w:rFonts w:eastAsia="맑은 고딕" w:hint="eastAsia"/>
            <w:lang w:eastAsia="ko-KR"/>
          </w:rPr>
          <w:t>2</w:t>
        </w:r>
        <w:r>
          <w:t> esitäytettyä ruiskua</w:t>
        </w:r>
      </w:ins>
    </w:p>
    <w:p w14:paraId="73AEDE29" w14:textId="77777777" w:rsidR="00A201A2" w:rsidRDefault="00A201A2" w:rsidP="00A201A2">
      <w:pPr>
        <w:pStyle w:val="a"/>
      </w:pPr>
      <w:r>
        <w:t>4 esitäytettyä ruiskua</w:t>
      </w:r>
    </w:p>
    <w:p w14:paraId="168DC04F" w14:textId="7E37FF0F" w:rsidR="00A201A2" w:rsidRDefault="00A201A2" w:rsidP="00A201A2">
      <w:pPr>
        <w:pStyle w:val="a"/>
      </w:pPr>
      <w:r>
        <w:t xml:space="preserve">12 esitäytettyä ruiskua </w:t>
      </w:r>
      <w:r w:rsidR="00473FA3">
        <w:t xml:space="preserve">(3 pakkausta, joissa kussakin 4 esitäytettyä ruiskua) </w:t>
      </w:r>
      <w:r>
        <w:t>(monipakkaus)</w:t>
      </w:r>
    </w:p>
    <w:p w14:paraId="50FBC596" w14:textId="77777777" w:rsidR="00A201A2" w:rsidRPr="00053D1E" w:rsidRDefault="00A201A2" w:rsidP="006E5F9A">
      <w:pPr>
        <w:pStyle w:val="a4"/>
        <w:ind w:left="0"/>
      </w:pPr>
    </w:p>
    <w:p w14:paraId="039AE3F1" w14:textId="0F32580B" w:rsidR="003B7027" w:rsidRPr="00CA43F5" w:rsidRDefault="00296A74" w:rsidP="006E5F9A">
      <w:pPr>
        <w:rPr>
          <w:lang w:val="fi-FI"/>
        </w:rPr>
      </w:pPr>
      <w:r w:rsidRPr="00CA43F5">
        <w:rPr>
          <w:lang w:val="fi-FI"/>
        </w:rPr>
        <w:t>Kaikkia pakkauskokoja ei välttämättä ole myynnissä.</w:t>
      </w:r>
    </w:p>
    <w:p w14:paraId="682744BA" w14:textId="77777777" w:rsidR="003B7027" w:rsidRPr="00053D1E" w:rsidRDefault="003B7027" w:rsidP="006E5F9A">
      <w:pPr>
        <w:pStyle w:val="a4"/>
        <w:ind w:left="0"/>
      </w:pPr>
    </w:p>
    <w:p w14:paraId="45848BE8" w14:textId="77777777" w:rsidR="005F1B37" w:rsidRPr="00E919A5" w:rsidRDefault="00296A74" w:rsidP="00C1572A">
      <w:pPr>
        <w:keepNext/>
        <w:keepLines/>
        <w:rPr>
          <w:b/>
          <w:lang w:val="fi-FI"/>
        </w:rPr>
      </w:pPr>
      <w:r w:rsidRPr="00E919A5">
        <w:rPr>
          <w:b/>
          <w:lang w:val="fi-FI"/>
        </w:rPr>
        <w:t>Myyntiluvan haltija</w:t>
      </w:r>
    </w:p>
    <w:p w14:paraId="5BF7B7A7" w14:textId="77777777" w:rsidR="00A201A2" w:rsidRPr="00E919A5" w:rsidRDefault="00A201A2" w:rsidP="00A201A2">
      <w:pPr>
        <w:keepNext/>
        <w:rPr>
          <w:lang w:val="fi-FI"/>
        </w:rPr>
      </w:pPr>
      <w:r w:rsidRPr="00E919A5">
        <w:rPr>
          <w:lang w:val="fi-FI"/>
        </w:rPr>
        <w:t>Celltrion Healthcare Hungary Kft.</w:t>
      </w:r>
    </w:p>
    <w:p w14:paraId="494D579C" w14:textId="77777777" w:rsidR="00A201A2" w:rsidRPr="00E919A5" w:rsidRDefault="00A201A2" w:rsidP="00A201A2">
      <w:pPr>
        <w:keepNext/>
        <w:rPr>
          <w:lang w:val="fi-FI"/>
        </w:rPr>
      </w:pPr>
      <w:r w:rsidRPr="00E919A5">
        <w:rPr>
          <w:lang w:val="fi-FI"/>
        </w:rPr>
        <w:t>1062 Budapest</w:t>
      </w:r>
    </w:p>
    <w:p w14:paraId="3726E2A0" w14:textId="77777777" w:rsidR="00A201A2" w:rsidRPr="00840707" w:rsidRDefault="00A201A2" w:rsidP="00A201A2">
      <w:pPr>
        <w:keepNext/>
      </w:pPr>
      <w:r w:rsidRPr="00840707">
        <w:t xml:space="preserve">Váci </w:t>
      </w:r>
      <w:proofErr w:type="spellStart"/>
      <w:r w:rsidRPr="00840707">
        <w:t>út</w:t>
      </w:r>
      <w:proofErr w:type="spellEnd"/>
      <w:r w:rsidRPr="00840707">
        <w:t xml:space="preserve"> 1-3. </w:t>
      </w:r>
      <w:proofErr w:type="spellStart"/>
      <w:r w:rsidRPr="00840707">
        <w:t>WestEnd</w:t>
      </w:r>
      <w:proofErr w:type="spellEnd"/>
      <w:r w:rsidRPr="00840707">
        <w:t xml:space="preserve"> Office Building B </w:t>
      </w:r>
      <w:proofErr w:type="spellStart"/>
      <w:r w:rsidRPr="00840707">
        <w:t>torony</w:t>
      </w:r>
      <w:proofErr w:type="spellEnd"/>
    </w:p>
    <w:p w14:paraId="6CCD4799" w14:textId="445E91AC" w:rsidR="003B7027" w:rsidRPr="00CA43F5" w:rsidRDefault="00A201A2" w:rsidP="006E5F9A">
      <w:pPr>
        <w:pStyle w:val="a4"/>
        <w:ind w:left="0"/>
        <w:rPr>
          <w:lang w:val="sv-SE"/>
        </w:rPr>
      </w:pPr>
      <w:r w:rsidRPr="00CA43F5">
        <w:rPr>
          <w:lang w:val="sv-SE"/>
        </w:rPr>
        <w:t>Unkari</w:t>
      </w:r>
    </w:p>
    <w:p w14:paraId="1A40BA49" w14:textId="77777777" w:rsidR="003B7027" w:rsidRPr="00CA43F5" w:rsidRDefault="003B7027" w:rsidP="006E5F9A">
      <w:pPr>
        <w:pStyle w:val="a4"/>
        <w:ind w:left="0"/>
        <w:rPr>
          <w:lang w:val="sv-SE"/>
        </w:rPr>
      </w:pPr>
    </w:p>
    <w:p w14:paraId="4037462E" w14:textId="77777777" w:rsidR="003B7027" w:rsidRPr="009A3CB5" w:rsidRDefault="00296A74" w:rsidP="009A3CB5">
      <w:pPr>
        <w:rPr>
          <w:b/>
          <w:bCs/>
          <w:lang w:val="fi-FI"/>
        </w:rPr>
      </w:pPr>
      <w:r w:rsidRPr="009A3CB5">
        <w:rPr>
          <w:b/>
          <w:bCs/>
          <w:lang w:val="fi-FI"/>
        </w:rPr>
        <w:t>Valmistaja</w:t>
      </w:r>
    </w:p>
    <w:p w14:paraId="6A00EDAB" w14:textId="77777777" w:rsidR="00A201A2" w:rsidRPr="00CA43F5" w:rsidRDefault="00A201A2" w:rsidP="00A201A2">
      <w:pPr>
        <w:keepNext/>
        <w:rPr>
          <w:lang w:val="sv-SE"/>
        </w:rPr>
      </w:pPr>
      <w:r w:rsidRPr="00CA43F5">
        <w:rPr>
          <w:lang w:val="sv-SE"/>
        </w:rPr>
        <w:t>Nuvisan France SARL</w:t>
      </w:r>
    </w:p>
    <w:p w14:paraId="40AAA2EC" w14:textId="6F134AAF" w:rsidR="00A201A2" w:rsidRPr="00CA43F5" w:rsidRDefault="00A201A2" w:rsidP="00A201A2">
      <w:pPr>
        <w:keepNext/>
        <w:rPr>
          <w:lang w:val="sv-SE"/>
        </w:rPr>
      </w:pPr>
      <w:r w:rsidRPr="00CA43F5">
        <w:rPr>
          <w:lang w:val="sv-SE"/>
        </w:rPr>
        <w:t>2400</w:t>
      </w:r>
      <w:del w:id="43" w:author="만든 이">
        <w:r w:rsidRPr="00CA43F5" w:rsidDel="00BB5A61">
          <w:rPr>
            <w:lang w:val="sv-SE"/>
          </w:rPr>
          <w:delText>,</w:delText>
        </w:r>
      </w:del>
      <w:r w:rsidRPr="00CA43F5">
        <w:rPr>
          <w:lang w:val="sv-SE"/>
        </w:rPr>
        <w:t xml:space="preserve"> Route des Colles, </w:t>
      </w:r>
    </w:p>
    <w:p w14:paraId="6D38FD7D" w14:textId="4651BDA8" w:rsidR="00A201A2" w:rsidRPr="00CA43F5" w:rsidRDefault="00A201A2" w:rsidP="00A201A2">
      <w:pPr>
        <w:keepNext/>
        <w:rPr>
          <w:lang w:val="sv-SE"/>
        </w:rPr>
      </w:pPr>
      <w:r w:rsidRPr="00CA43F5">
        <w:rPr>
          <w:lang w:val="sv-SE"/>
        </w:rPr>
        <w:t>06410</w:t>
      </w:r>
      <w:del w:id="44" w:author="만든 이">
        <w:r w:rsidRPr="00CA43F5" w:rsidDel="00BB5A61">
          <w:rPr>
            <w:lang w:val="sv-SE"/>
          </w:rPr>
          <w:delText>,</w:delText>
        </w:r>
      </w:del>
      <w:r w:rsidRPr="00CA43F5">
        <w:rPr>
          <w:lang w:val="sv-SE"/>
        </w:rPr>
        <w:t xml:space="preserve"> Biot, </w:t>
      </w:r>
    </w:p>
    <w:p w14:paraId="3E61A8BC" w14:textId="59BAD36F" w:rsidR="00A201A2" w:rsidRPr="00CA43F5" w:rsidRDefault="00A201A2" w:rsidP="00A201A2">
      <w:pPr>
        <w:rPr>
          <w:lang w:val="sv-SE"/>
        </w:rPr>
      </w:pPr>
      <w:r w:rsidRPr="00CA43F5">
        <w:rPr>
          <w:lang w:val="sv-SE"/>
        </w:rPr>
        <w:t>Ranska</w:t>
      </w:r>
    </w:p>
    <w:p w14:paraId="439305BE" w14:textId="77777777" w:rsidR="00A201A2" w:rsidRPr="00CA43F5" w:rsidRDefault="00A201A2" w:rsidP="00A201A2">
      <w:pPr>
        <w:rPr>
          <w:lang w:val="sv-SE"/>
        </w:rPr>
      </w:pPr>
    </w:p>
    <w:p w14:paraId="7A5034DE" w14:textId="77777777" w:rsidR="00A201A2" w:rsidRPr="00CA43F5" w:rsidRDefault="00A201A2" w:rsidP="00A201A2">
      <w:pPr>
        <w:keepNext/>
        <w:rPr>
          <w:lang w:val="sv-SE"/>
        </w:rPr>
      </w:pPr>
      <w:r w:rsidRPr="00CA43F5">
        <w:rPr>
          <w:lang w:val="sv-SE"/>
        </w:rPr>
        <w:t>Midas Pharma GmbH</w:t>
      </w:r>
    </w:p>
    <w:p w14:paraId="72092999" w14:textId="77777777" w:rsidR="00A201A2" w:rsidRPr="00CA43F5" w:rsidRDefault="00A201A2" w:rsidP="00A201A2">
      <w:pPr>
        <w:keepNext/>
        <w:rPr>
          <w:lang w:val="sv-SE"/>
        </w:rPr>
      </w:pPr>
      <w:r w:rsidRPr="00CA43F5">
        <w:rPr>
          <w:lang w:val="sv-SE"/>
        </w:rPr>
        <w:t xml:space="preserve">Rheinstr. 49, </w:t>
      </w:r>
    </w:p>
    <w:p w14:paraId="648DC3A6" w14:textId="77777777" w:rsidR="00A201A2" w:rsidRPr="00CA43F5" w:rsidRDefault="00A201A2" w:rsidP="00A201A2">
      <w:pPr>
        <w:keepNext/>
        <w:rPr>
          <w:lang w:val="sv-SE"/>
        </w:rPr>
      </w:pPr>
      <w:r w:rsidRPr="00CA43F5">
        <w:rPr>
          <w:lang w:val="sv-SE"/>
        </w:rPr>
        <w:t>55218 Ingelheim,</w:t>
      </w:r>
    </w:p>
    <w:p w14:paraId="2D9794E4" w14:textId="31EA4D4E" w:rsidR="00A201A2" w:rsidRPr="00CA43F5" w:rsidRDefault="00A201A2" w:rsidP="00A201A2">
      <w:pPr>
        <w:rPr>
          <w:lang w:val="sv-SE"/>
        </w:rPr>
      </w:pPr>
      <w:r w:rsidRPr="00CA43F5">
        <w:rPr>
          <w:lang w:val="sv-SE"/>
        </w:rPr>
        <w:t>Saksa</w:t>
      </w:r>
    </w:p>
    <w:p w14:paraId="2B37C3A6" w14:textId="77777777" w:rsidR="00A201A2" w:rsidRPr="00CA43F5" w:rsidRDefault="00A201A2" w:rsidP="00A201A2">
      <w:pPr>
        <w:rPr>
          <w:lang w:val="sv-SE"/>
        </w:rPr>
      </w:pPr>
    </w:p>
    <w:p w14:paraId="15598276" w14:textId="77777777" w:rsidR="00A201A2" w:rsidRPr="00CA43F5" w:rsidRDefault="00A201A2" w:rsidP="00A201A2">
      <w:pPr>
        <w:keepNext/>
        <w:rPr>
          <w:lang w:val="sv-SE"/>
        </w:rPr>
      </w:pPr>
      <w:r w:rsidRPr="00CA43F5">
        <w:rPr>
          <w:lang w:val="sv-SE"/>
        </w:rPr>
        <w:t xml:space="preserve">KYMOS S.L. </w:t>
      </w:r>
    </w:p>
    <w:p w14:paraId="25EEA377" w14:textId="77777777" w:rsidR="00A201A2" w:rsidRPr="00CA43F5" w:rsidRDefault="00A201A2" w:rsidP="00A201A2">
      <w:pPr>
        <w:keepNext/>
        <w:rPr>
          <w:lang w:val="sv-SE"/>
        </w:rPr>
      </w:pPr>
      <w:r w:rsidRPr="00CA43F5">
        <w:rPr>
          <w:lang w:val="sv-SE"/>
        </w:rPr>
        <w:t xml:space="preserve">Ronda Can Fatjó, 7B. </w:t>
      </w:r>
    </w:p>
    <w:p w14:paraId="4F01C15B" w14:textId="77777777" w:rsidR="00A201A2" w:rsidRPr="00CA43F5" w:rsidRDefault="00A201A2" w:rsidP="00A201A2">
      <w:pPr>
        <w:keepNext/>
        <w:rPr>
          <w:lang w:val="sv-SE"/>
        </w:rPr>
      </w:pPr>
      <w:r w:rsidRPr="00CA43F5">
        <w:rPr>
          <w:lang w:val="sv-SE"/>
        </w:rPr>
        <w:t xml:space="preserve">08290 Cerdanyola del Vallès, </w:t>
      </w:r>
    </w:p>
    <w:p w14:paraId="11639195" w14:textId="77777777" w:rsidR="00A201A2" w:rsidRPr="00CA43F5" w:rsidRDefault="00A201A2" w:rsidP="00A201A2">
      <w:pPr>
        <w:keepNext/>
        <w:rPr>
          <w:lang w:val="fi-FI"/>
        </w:rPr>
      </w:pPr>
      <w:r w:rsidRPr="00CA43F5">
        <w:rPr>
          <w:lang w:val="fi-FI"/>
        </w:rPr>
        <w:t xml:space="preserve">Barcelona, </w:t>
      </w:r>
    </w:p>
    <w:p w14:paraId="0336B497" w14:textId="5D7C41A2" w:rsidR="003B7027" w:rsidRPr="0028514E" w:rsidRDefault="00A201A2" w:rsidP="006E5F9A">
      <w:pPr>
        <w:pStyle w:val="a4"/>
        <w:ind w:left="0"/>
      </w:pPr>
      <w:r>
        <w:t>Espanja</w:t>
      </w:r>
    </w:p>
    <w:p w14:paraId="64BAA9F1" w14:textId="77777777" w:rsidR="005F1B37" w:rsidRPr="0028514E" w:rsidRDefault="005F1B37" w:rsidP="006E5F9A">
      <w:pPr>
        <w:pStyle w:val="a4"/>
        <w:ind w:left="0"/>
      </w:pPr>
    </w:p>
    <w:p w14:paraId="68167F62" w14:textId="77777777" w:rsidR="003B7027" w:rsidRDefault="00296A74" w:rsidP="006E5F9A">
      <w:pPr>
        <w:pStyle w:val="a4"/>
        <w:ind w:left="0"/>
      </w:pPr>
      <w:r w:rsidRPr="0028514E">
        <w:t>Lisätietoja tästä lääkevalmisteesta antaa myyntiluvan haltijan paikallinen edustaja:</w:t>
      </w:r>
    </w:p>
    <w:p w14:paraId="75CA1105" w14:textId="77777777" w:rsidR="00A201A2" w:rsidRDefault="00A201A2" w:rsidP="006E5F9A">
      <w:pPr>
        <w:pStyle w:val="a4"/>
        <w:ind w:left="0"/>
      </w:pPr>
    </w:p>
    <w:tbl>
      <w:tblPr>
        <w:tblW w:w="5000" w:type="pct"/>
        <w:tblLayout w:type="fixed"/>
        <w:tblCellMar>
          <w:top w:w="28" w:type="dxa"/>
          <w:bottom w:w="28" w:type="dxa"/>
        </w:tblCellMar>
        <w:tblLook w:val="04A0" w:firstRow="1" w:lastRow="0" w:firstColumn="1" w:lastColumn="0" w:noHBand="0" w:noVBand="1"/>
      </w:tblPr>
      <w:tblGrid>
        <w:gridCol w:w="4537"/>
        <w:gridCol w:w="4537"/>
      </w:tblGrid>
      <w:tr w:rsidR="00BA5882" w:rsidRPr="00A201A2" w14:paraId="2F6074E2" w14:textId="77777777">
        <w:trPr>
          <w:cantSplit/>
        </w:trPr>
        <w:tc>
          <w:tcPr>
            <w:tcW w:w="2500" w:type="pct"/>
            <w:hideMark/>
          </w:tcPr>
          <w:p w14:paraId="292C76C7" w14:textId="77777777" w:rsidR="00A201A2" w:rsidRDefault="00A201A2">
            <w:pPr>
              <w:suppressAutoHyphens/>
              <w:rPr>
                <w:b/>
                <w:noProof/>
                <w:lang w:eastAsia="fr-FR"/>
              </w:rPr>
            </w:pPr>
            <w:r>
              <w:rPr>
                <w:rFonts w:eastAsia="맑은 고딕"/>
                <w:b/>
                <w:noProof/>
                <w:lang w:eastAsia="fr-FR"/>
              </w:rPr>
              <w:t>België/Belgique/Belgien</w:t>
            </w:r>
          </w:p>
          <w:p w14:paraId="29D57F45" w14:textId="77777777" w:rsidR="00A201A2" w:rsidRDefault="00A201A2">
            <w:pPr>
              <w:suppressAutoHyphens/>
              <w:rPr>
                <w:rFonts w:eastAsia="맑은 고딕"/>
                <w:noProof/>
                <w:lang w:eastAsia="fr-FR"/>
              </w:rPr>
            </w:pPr>
            <w:r>
              <w:rPr>
                <w:rFonts w:eastAsia="맑은 고딕"/>
                <w:noProof/>
                <w:lang w:eastAsia="fr-FR"/>
              </w:rPr>
              <w:t>Celltrion Healthcare Belgium BVBA</w:t>
            </w:r>
          </w:p>
          <w:p w14:paraId="7E803EC6" w14:textId="77777777" w:rsidR="00A201A2" w:rsidRDefault="00A201A2">
            <w:pPr>
              <w:suppressAutoHyphens/>
              <w:rPr>
                <w:rFonts w:eastAsia="맑은 고딕"/>
                <w:noProof/>
                <w:lang w:eastAsia="fr-FR"/>
              </w:rPr>
            </w:pPr>
            <w:r>
              <w:rPr>
                <w:rFonts w:eastAsia="맑은 고딕"/>
                <w:noProof/>
                <w:lang w:eastAsia="fr-FR"/>
              </w:rPr>
              <w:t xml:space="preserve">Tél/Tel: </w:t>
            </w:r>
            <w:r>
              <w:rPr>
                <w:rFonts w:eastAsia="맑은 고딕"/>
                <w:noProof/>
                <w:lang w:val="de-CH" w:eastAsia="fr-FR"/>
              </w:rPr>
              <w:t>+32 2 643 71 81</w:t>
            </w:r>
          </w:p>
          <w:p w14:paraId="18F5216D" w14:textId="77777777" w:rsidR="00A201A2" w:rsidRDefault="00A201A2">
            <w:pPr>
              <w:suppressAutoHyphens/>
              <w:rPr>
                <w:rFonts w:eastAsia="맑은 고딕"/>
                <w:noProof/>
                <w:lang w:eastAsia="fr-FR"/>
              </w:rPr>
            </w:pPr>
            <w:r>
              <w:rPr>
                <w:rFonts w:eastAsia="맑은 고딕"/>
                <w:noProof/>
                <w:lang w:eastAsia="fr-FR"/>
              </w:rPr>
              <w:t>BEinfo@celltrionhc.com</w:t>
            </w:r>
          </w:p>
          <w:p w14:paraId="0F1010DE" w14:textId="77777777" w:rsidR="00A201A2" w:rsidRDefault="00A201A2">
            <w:pPr>
              <w:suppressAutoHyphens/>
              <w:rPr>
                <w:rFonts w:eastAsia="맑은 고딕"/>
                <w:noProof/>
                <w:lang w:eastAsia="ko-KR"/>
              </w:rPr>
            </w:pPr>
          </w:p>
        </w:tc>
        <w:tc>
          <w:tcPr>
            <w:tcW w:w="2500" w:type="pct"/>
          </w:tcPr>
          <w:p w14:paraId="7663C5F3" w14:textId="77777777" w:rsidR="00A201A2" w:rsidRDefault="00A201A2">
            <w:pPr>
              <w:tabs>
                <w:tab w:val="left" w:pos="-720"/>
              </w:tabs>
              <w:suppressAutoHyphens/>
              <w:rPr>
                <w:b/>
                <w:noProof/>
                <w:lang w:eastAsia="fr-FR"/>
              </w:rPr>
            </w:pPr>
            <w:r>
              <w:rPr>
                <w:b/>
                <w:noProof/>
                <w:lang w:eastAsia="fr-FR"/>
              </w:rPr>
              <w:t>Lietuva</w:t>
            </w:r>
          </w:p>
          <w:p w14:paraId="6CADE90B" w14:textId="77777777" w:rsidR="00A201A2" w:rsidRDefault="00A201A2">
            <w:pPr>
              <w:tabs>
                <w:tab w:val="left" w:pos="-720"/>
              </w:tabs>
              <w:suppressAutoHyphens/>
              <w:rPr>
                <w:rFonts w:eastAsia="맑은 고딕"/>
                <w:noProof/>
                <w:lang w:eastAsia="fr-FR"/>
              </w:rPr>
            </w:pPr>
            <w:r>
              <w:rPr>
                <w:rFonts w:eastAsia="맑은 고딕"/>
                <w:noProof/>
                <w:lang w:eastAsia="fr-FR"/>
              </w:rPr>
              <w:t>Celltrion Healthcare Hungary Kft.</w:t>
            </w:r>
          </w:p>
          <w:p w14:paraId="66D24F3E" w14:textId="77777777" w:rsidR="00A201A2" w:rsidRPr="00A201A2" w:rsidRDefault="00A201A2">
            <w:pPr>
              <w:suppressAutoHyphens/>
              <w:autoSpaceDE w:val="0"/>
              <w:autoSpaceDN w:val="0"/>
              <w:adjustRightInd w:val="0"/>
              <w:rPr>
                <w:noProof/>
                <w:lang w:eastAsia="fr-FR"/>
              </w:rPr>
            </w:pPr>
            <w:r>
              <w:rPr>
                <w:rFonts w:eastAsia="맑은 고딕"/>
                <w:noProof/>
                <w:lang w:eastAsia="fr-FR"/>
              </w:rPr>
              <w:t>Tel.: +36 1 231 0493</w:t>
            </w:r>
          </w:p>
          <w:p w14:paraId="2D36EE4B" w14:textId="77777777" w:rsidR="00A201A2" w:rsidRPr="00A201A2" w:rsidRDefault="00A201A2">
            <w:pPr>
              <w:suppressAutoHyphens/>
              <w:autoSpaceDE w:val="0"/>
              <w:autoSpaceDN w:val="0"/>
              <w:adjustRightInd w:val="0"/>
              <w:rPr>
                <w:noProof/>
                <w:lang w:eastAsia="fr-FR"/>
              </w:rPr>
            </w:pPr>
          </w:p>
        </w:tc>
      </w:tr>
      <w:tr w:rsidR="00BA5882" w:rsidRPr="00A201A2" w14:paraId="7A6FBDDF" w14:textId="77777777">
        <w:trPr>
          <w:cantSplit/>
        </w:trPr>
        <w:tc>
          <w:tcPr>
            <w:tcW w:w="2500" w:type="pct"/>
          </w:tcPr>
          <w:p w14:paraId="2270E070" w14:textId="77777777" w:rsidR="00A201A2" w:rsidRDefault="00A201A2">
            <w:pPr>
              <w:suppressAutoHyphens/>
              <w:rPr>
                <w:rFonts w:eastAsia="맑은 고딕"/>
                <w:b/>
                <w:noProof/>
                <w:lang w:eastAsia="fr-FR"/>
              </w:rPr>
            </w:pPr>
            <w:r>
              <w:rPr>
                <w:b/>
                <w:bCs/>
              </w:rPr>
              <w:t>България</w:t>
            </w:r>
          </w:p>
          <w:p w14:paraId="5F5EF676" w14:textId="77777777" w:rsidR="00A201A2" w:rsidRDefault="00A201A2">
            <w:pPr>
              <w:tabs>
                <w:tab w:val="left" w:pos="-720"/>
              </w:tabs>
              <w:suppressAutoHyphens/>
              <w:rPr>
                <w:rFonts w:eastAsia="맑은 고딕"/>
                <w:noProof/>
                <w:lang w:eastAsia="fr-FR"/>
              </w:rPr>
            </w:pPr>
            <w:r>
              <w:rPr>
                <w:rFonts w:eastAsia="맑은 고딕"/>
                <w:noProof/>
                <w:lang w:eastAsia="fr-FR"/>
              </w:rPr>
              <w:t>Celltrion Healthcare Hungary Kft.</w:t>
            </w:r>
          </w:p>
          <w:p w14:paraId="5921FB89" w14:textId="77777777" w:rsidR="00A201A2" w:rsidRDefault="00A201A2">
            <w:pPr>
              <w:suppressAutoHyphens/>
              <w:rPr>
                <w:rFonts w:eastAsia="맑은 고딕"/>
                <w:noProof/>
                <w:lang w:eastAsia="fr-FR"/>
              </w:rPr>
            </w:pPr>
            <w:r>
              <w:rPr>
                <w:rFonts w:eastAsia="맑은 고딕"/>
                <w:noProof/>
                <w:lang w:eastAsia="fr-FR"/>
              </w:rPr>
              <w:t>Teл.: +36 1 231 0493</w:t>
            </w:r>
          </w:p>
          <w:p w14:paraId="07BB9B7A" w14:textId="77777777" w:rsidR="00A201A2" w:rsidRPr="00A201A2" w:rsidRDefault="00A201A2">
            <w:pPr>
              <w:suppressAutoHyphens/>
              <w:rPr>
                <w:noProof/>
                <w:lang w:eastAsia="fr-FR"/>
              </w:rPr>
            </w:pPr>
          </w:p>
        </w:tc>
        <w:tc>
          <w:tcPr>
            <w:tcW w:w="2500" w:type="pct"/>
            <w:hideMark/>
          </w:tcPr>
          <w:p w14:paraId="43484F97" w14:textId="77777777" w:rsidR="00A201A2" w:rsidRDefault="00A201A2">
            <w:pPr>
              <w:tabs>
                <w:tab w:val="left" w:pos="-720"/>
              </w:tabs>
              <w:suppressAutoHyphens/>
              <w:rPr>
                <w:noProof/>
                <w:lang w:val="de-CH" w:eastAsia="fr-FR"/>
              </w:rPr>
            </w:pPr>
            <w:r>
              <w:rPr>
                <w:rFonts w:eastAsia="맑은 고딕"/>
                <w:b/>
                <w:noProof/>
                <w:lang w:val="de-CH" w:eastAsia="fr-FR"/>
              </w:rPr>
              <w:t>Luxembourg/Luxemburg</w:t>
            </w:r>
          </w:p>
          <w:p w14:paraId="48223D81" w14:textId="77777777" w:rsidR="00A201A2" w:rsidRDefault="00A201A2">
            <w:pPr>
              <w:suppressAutoHyphens/>
              <w:rPr>
                <w:rFonts w:eastAsia="맑은 고딕"/>
                <w:noProof/>
                <w:lang w:val="de-CH" w:eastAsia="fr-FR"/>
              </w:rPr>
            </w:pPr>
            <w:r>
              <w:rPr>
                <w:rFonts w:eastAsia="맑은 고딕"/>
                <w:noProof/>
                <w:lang w:val="de-CH" w:eastAsia="fr-FR"/>
              </w:rPr>
              <w:t>Celltrion Healthcare Belgium BVBA</w:t>
            </w:r>
          </w:p>
          <w:p w14:paraId="649E5C0C" w14:textId="77777777" w:rsidR="00A201A2" w:rsidRDefault="00A201A2">
            <w:pPr>
              <w:tabs>
                <w:tab w:val="left" w:pos="-720"/>
              </w:tabs>
              <w:suppressAutoHyphens/>
              <w:rPr>
                <w:rFonts w:eastAsia="맑은 고딕"/>
                <w:lang w:val="pt-PT" w:eastAsia="ko-KR"/>
              </w:rPr>
            </w:pPr>
            <w:r>
              <w:rPr>
                <w:rFonts w:eastAsia="맑은 고딕"/>
                <w:noProof/>
                <w:lang w:val="fr-FR" w:eastAsia="fr-FR"/>
              </w:rPr>
              <w:t xml:space="preserve">Tél/Tel: </w:t>
            </w:r>
            <w:r>
              <w:rPr>
                <w:rFonts w:eastAsia="맑은 고딕"/>
                <w:noProof/>
                <w:lang w:val="de-CH" w:eastAsia="fr-FR"/>
              </w:rPr>
              <w:t>+32 2 643 71 81</w:t>
            </w:r>
          </w:p>
          <w:p w14:paraId="2A3E1E90" w14:textId="77777777" w:rsidR="00A201A2" w:rsidRDefault="00A201A2">
            <w:pPr>
              <w:suppressAutoHyphens/>
              <w:rPr>
                <w:rFonts w:eastAsia="맑은 고딕"/>
                <w:noProof/>
                <w:lang w:eastAsia="fr-FR"/>
              </w:rPr>
            </w:pPr>
            <w:r>
              <w:rPr>
                <w:rFonts w:eastAsia="맑은 고딕"/>
                <w:noProof/>
                <w:lang w:eastAsia="fr-FR"/>
              </w:rPr>
              <w:t>BEinfo@celltrionhc.com</w:t>
            </w:r>
          </w:p>
          <w:p w14:paraId="2C274ADD" w14:textId="77777777" w:rsidR="00A201A2" w:rsidRDefault="00A201A2">
            <w:pPr>
              <w:tabs>
                <w:tab w:val="left" w:pos="-720"/>
              </w:tabs>
              <w:suppressAutoHyphens/>
              <w:rPr>
                <w:rFonts w:eastAsia="맑은 고딕"/>
                <w:lang w:val="pt-PT" w:eastAsia="ko-KR"/>
              </w:rPr>
            </w:pPr>
          </w:p>
        </w:tc>
      </w:tr>
      <w:tr w:rsidR="00BA5882" w:rsidRPr="00A201A2" w14:paraId="73FE63FE" w14:textId="77777777">
        <w:trPr>
          <w:cantSplit/>
        </w:trPr>
        <w:tc>
          <w:tcPr>
            <w:tcW w:w="2500" w:type="pct"/>
            <w:hideMark/>
          </w:tcPr>
          <w:p w14:paraId="2BD4200E" w14:textId="77777777" w:rsidR="00A201A2" w:rsidRDefault="00A201A2">
            <w:pPr>
              <w:tabs>
                <w:tab w:val="left" w:pos="-720"/>
              </w:tabs>
              <w:suppressAutoHyphens/>
              <w:rPr>
                <w:rFonts w:eastAsia="맑은 고딕"/>
                <w:b/>
                <w:noProof/>
                <w:lang w:eastAsia="fr-FR"/>
              </w:rPr>
            </w:pPr>
            <w:r>
              <w:rPr>
                <w:rFonts w:eastAsia="맑은 고딕"/>
                <w:b/>
                <w:noProof/>
                <w:lang w:eastAsia="fr-FR"/>
              </w:rPr>
              <w:t>Česká republika</w:t>
            </w:r>
          </w:p>
          <w:p w14:paraId="03DE7F4C" w14:textId="77777777" w:rsidR="00A201A2" w:rsidRDefault="00A201A2">
            <w:pPr>
              <w:tabs>
                <w:tab w:val="left" w:pos="-720"/>
              </w:tabs>
              <w:suppressAutoHyphens/>
              <w:rPr>
                <w:rFonts w:eastAsia="맑은 고딕"/>
                <w:noProof/>
                <w:lang w:eastAsia="fr-FR"/>
              </w:rPr>
            </w:pPr>
            <w:r>
              <w:rPr>
                <w:rFonts w:eastAsia="맑은 고딕"/>
                <w:noProof/>
                <w:lang w:eastAsia="fr-FR"/>
              </w:rPr>
              <w:t>Celltrion Healthcare Hungary Kft.</w:t>
            </w:r>
          </w:p>
          <w:p w14:paraId="09C641A8" w14:textId="77777777" w:rsidR="00A201A2" w:rsidRDefault="00A201A2">
            <w:pPr>
              <w:tabs>
                <w:tab w:val="left" w:pos="-720"/>
              </w:tabs>
              <w:suppressAutoHyphens/>
              <w:rPr>
                <w:rFonts w:eastAsia="맑은 고딕"/>
                <w:noProof/>
                <w:lang w:eastAsia="fr-FR"/>
              </w:rPr>
            </w:pPr>
            <w:r>
              <w:rPr>
                <w:rFonts w:eastAsia="맑은 고딕"/>
                <w:noProof/>
                <w:lang w:eastAsia="fr-FR"/>
              </w:rPr>
              <w:t>Tel: +36 1 231 0493</w:t>
            </w:r>
          </w:p>
          <w:p w14:paraId="15D1829B" w14:textId="77777777" w:rsidR="00A201A2" w:rsidRPr="00A201A2" w:rsidRDefault="00A201A2">
            <w:pPr>
              <w:tabs>
                <w:tab w:val="left" w:pos="-720"/>
              </w:tabs>
              <w:suppressAutoHyphens/>
              <w:rPr>
                <w:noProof/>
                <w:lang w:eastAsia="fr-FR"/>
              </w:rPr>
            </w:pPr>
          </w:p>
        </w:tc>
        <w:tc>
          <w:tcPr>
            <w:tcW w:w="2500" w:type="pct"/>
          </w:tcPr>
          <w:p w14:paraId="218C2D1B" w14:textId="77777777" w:rsidR="00A201A2" w:rsidRDefault="00A201A2">
            <w:pPr>
              <w:suppressAutoHyphens/>
              <w:rPr>
                <w:rFonts w:eastAsia="맑은 고딕"/>
                <w:b/>
                <w:noProof/>
                <w:lang w:eastAsia="fr-FR"/>
              </w:rPr>
            </w:pPr>
            <w:r>
              <w:rPr>
                <w:b/>
                <w:noProof/>
              </w:rPr>
              <w:t>Magyarország</w:t>
            </w:r>
          </w:p>
          <w:p w14:paraId="19AB3283" w14:textId="77777777" w:rsidR="00A201A2" w:rsidRDefault="00A201A2">
            <w:pPr>
              <w:tabs>
                <w:tab w:val="left" w:pos="-720"/>
              </w:tabs>
              <w:suppressAutoHyphens/>
              <w:rPr>
                <w:rFonts w:eastAsia="맑은 고딕"/>
                <w:noProof/>
                <w:lang w:eastAsia="fr-FR"/>
              </w:rPr>
            </w:pPr>
            <w:r>
              <w:rPr>
                <w:rFonts w:eastAsia="맑은 고딕"/>
                <w:noProof/>
                <w:lang w:eastAsia="fr-FR"/>
              </w:rPr>
              <w:t>Celltrion Healthcare Hungary Kft.</w:t>
            </w:r>
          </w:p>
          <w:p w14:paraId="57BD8CED" w14:textId="77777777" w:rsidR="00A201A2" w:rsidRDefault="00A201A2">
            <w:pPr>
              <w:suppressAutoHyphens/>
              <w:rPr>
                <w:rFonts w:eastAsia="맑은 고딕"/>
                <w:noProof/>
                <w:lang w:eastAsia="fr-FR"/>
              </w:rPr>
            </w:pPr>
            <w:r>
              <w:rPr>
                <w:rFonts w:eastAsia="맑은 고딕"/>
                <w:noProof/>
                <w:lang w:eastAsia="fr-FR"/>
              </w:rPr>
              <w:t>Tel:. +36 1 231 0493</w:t>
            </w:r>
          </w:p>
          <w:p w14:paraId="1DD448ED" w14:textId="77777777" w:rsidR="00A201A2" w:rsidRDefault="00A201A2">
            <w:pPr>
              <w:suppressAutoHyphens/>
              <w:rPr>
                <w:rFonts w:eastAsia="맑은 고딕"/>
                <w:noProof/>
                <w:lang w:eastAsia="ko-KR"/>
              </w:rPr>
            </w:pPr>
          </w:p>
        </w:tc>
      </w:tr>
      <w:tr w:rsidR="00BA5882" w:rsidRPr="00A201A2" w14:paraId="1762558F" w14:textId="77777777">
        <w:trPr>
          <w:cantSplit/>
        </w:trPr>
        <w:tc>
          <w:tcPr>
            <w:tcW w:w="2500" w:type="pct"/>
            <w:hideMark/>
          </w:tcPr>
          <w:p w14:paraId="014EF473" w14:textId="25EB9092" w:rsidR="00A201A2" w:rsidRDefault="00A201A2">
            <w:pPr>
              <w:tabs>
                <w:tab w:val="left" w:pos="-720"/>
              </w:tabs>
              <w:suppressAutoHyphens/>
              <w:rPr>
                <w:b/>
                <w:bCs/>
                <w:i/>
                <w:iCs/>
                <w:noProof/>
                <w:lang w:eastAsia="fr-FR"/>
              </w:rPr>
            </w:pPr>
            <w:r>
              <w:rPr>
                <w:b/>
                <w:noProof/>
              </w:rPr>
              <w:t>D</w:t>
            </w:r>
            <w:r w:rsidR="00054925">
              <w:rPr>
                <w:rFonts w:eastAsia="맑은 고딕" w:hint="eastAsia"/>
                <w:b/>
                <w:noProof/>
                <w:lang w:eastAsia="ko-KR"/>
              </w:rPr>
              <w:t>e</w:t>
            </w:r>
            <w:r>
              <w:rPr>
                <w:b/>
                <w:noProof/>
              </w:rPr>
              <w:t>nmark</w:t>
            </w:r>
          </w:p>
          <w:p w14:paraId="4D0485EA" w14:textId="591607BB" w:rsidR="00A201A2" w:rsidRDefault="00A201A2">
            <w:pPr>
              <w:tabs>
                <w:tab w:val="left" w:pos="-720"/>
              </w:tabs>
              <w:suppressAutoHyphens/>
              <w:rPr>
                <w:rFonts w:eastAsia="맑은 고딕"/>
                <w:noProof/>
                <w:lang w:eastAsia="fr-FR"/>
              </w:rPr>
            </w:pPr>
            <w:r>
              <w:rPr>
                <w:rFonts w:eastAsia="맑은 고딕"/>
                <w:noProof/>
                <w:lang w:eastAsia="fr-FR"/>
              </w:rPr>
              <w:t xml:space="preserve">Celltrion Healthcare </w:t>
            </w:r>
            <w:r w:rsidR="00054925" w:rsidRPr="00E24AB4">
              <w:rPr>
                <w:rFonts w:eastAsia="맑은 고딕"/>
                <w:noProof/>
                <w:lang w:eastAsia="fr-FR"/>
              </w:rPr>
              <w:t>Denmark</w:t>
            </w:r>
            <w:r w:rsidR="00054925" w:rsidRPr="00204A91">
              <w:rPr>
                <w:rFonts w:eastAsia="맑은 고딕"/>
                <w:noProof/>
                <w:lang w:eastAsia="fr-FR"/>
              </w:rPr>
              <w:t xml:space="preserve"> ApS</w:t>
            </w:r>
          </w:p>
          <w:p w14:paraId="2F0E9C94" w14:textId="42379FF1" w:rsidR="00054925" w:rsidRDefault="00A201A2" w:rsidP="00054925">
            <w:pPr>
              <w:tabs>
                <w:tab w:val="left" w:pos="-720"/>
              </w:tabs>
              <w:suppressAutoHyphens/>
              <w:rPr>
                <w:rFonts w:eastAsia="맑은 고딕"/>
                <w:noProof/>
                <w:lang w:eastAsia="fr-FR"/>
              </w:rPr>
            </w:pPr>
            <w:r>
              <w:rPr>
                <w:rFonts w:eastAsia="맑은 고딕"/>
                <w:noProof/>
                <w:lang w:eastAsia="fr-FR"/>
              </w:rPr>
              <w:t>Tlf: +</w:t>
            </w:r>
            <w:r w:rsidR="00054925">
              <w:rPr>
                <w:rFonts w:eastAsia="맑은 고딕" w:hint="eastAsia"/>
                <w:noProof/>
                <w:lang w:eastAsia="ko-KR"/>
              </w:rPr>
              <w:t xml:space="preserve"> </w:t>
            </w:r>
            <w:r w:rsidR="00054925" w:rsidRPr="00204A91">
              <w:rPr>
                <w:rFonts w:eastAsia="맑은 고딕"/>
                <w:noProof/>
                <w:lang w:eastAsia="fr-FR"/>
              </w:rPr>
              <w:t>45 3535 2989</w:t>
            </w:r>
          </w:p>
          <w:p w14:paraId="5E99A5AB" w14:textId="77777777" w:rsidR="00054925" w:rsidRDefault="00054925" w:rsidP="00054925">
            <w:pPr>
              <w:tabs>
                <w:tab w:val="left" w:pos="-720"/>
              </w:tabs>
              <w:suppressAutoHyphens/>
              <w:rPr>
                <w:rFonts w:eastAsia="맑은 고딕"/>
                <w:noProof/>
                <w:lang w:eastAsia="fr-FR"/>
              </w:rPr>
            </w:pPr>
            <w:r w:rsidRPr="00204A91">
              <w:rPr>
                <w:rFonts w:eastAsia="맑은 고딕"/>
                <w:noProof/>
                <w:lang w:eastAsia="fr-FR"/>
              </w:rPr>
              <w:t>Contact_dk@celltrionhc.com</w:t>
            </w:r>
          </w:p>
          <w:p w14:paraId="41924D4E" w14:textId="3D3370D8" w:rsidR="00A201A2" w:rsidRDefault="00A201A2">
            <w:pPr>
              <w:tabs>
                <w:tab w:val="left" w:pos="-720"/>
              </w:tabs>
              <w:suppressAutoHyphens/>
              <w:rPr>
                <w:rFonts w:eastAsia="맑은 고딕"/>
                <w:noProof/>
                <w:lang w:eastAsia="fr-FR"/>
              </w:rPr>
            </w:pPr>
          </w:p>
        </w:tc>
        <w:tc>
          <w:tcPr>
            <w:tcW w:w="2500" w:type="pct"/>
          </w:tcPr>
          <w:p w14:paraId="24AC92D6" w14:textId="77777777" w:rsidR="00A201A2" w:rsidRPr="00A201A2" w:rsidRDefault="00A201A2">
            <w:pPr>
              <w:suppressAutoHyphens/>
              <w:rPr>
                <w:noProof/>
                <w:lang w:eastAsia="fr-FR"/>
              </w:rPr>
            </w:pPr>
            <w:r>
              <w:rPr>
                <w:rFonts w:eastAsia="맑은 고딕"/>
                <w:b/>
                <w:noProof/>
                <w:lang w:eastAsia="fr-FR"/>
              </w:rPr>
              <w:t>Malta</w:t>
            </w:r>
          </w:p>
          <w:p w14:paraId="0B89EBFE" w14:textId="77777777" w:rsidR="00A201A2" w:rsidRDefault="00A201A2">
            <w:pPr>
              <w:tabs>
                <w:tab w:val="left" w:pos="-720"/>
              </w:tabs>
              <w:suppressAutoHyphens/>
              <w:rPr>
                <w:rFonts w:eastAsia="맑은 고딕"/>
                <w:noProof/>
                <w:lang w:eastAsia="fr-FR"/>
              </w:rPr>
            </w:pPr>
            <w:r>
              <w:rPr>
                <w:rFonts w:eastAsia="맑은 고딕"/>
                <w:noProof/>
                <w:lang w:eastAsia="fr-FR"/>
              </w:rPr>
              <w:t>Mint Health Ltd.</w:t>
            </w:r>
          </w:p>
          <w:p w14:paraId="452F375B" w14:textId="77777777" w:rsidR="00A201A2" w:rsidRDefault="00A201A2">
            <w:pPr>
              <w:suppressAutoHyphens/>
              <w:rPr>
                <w:rFonts w:eastAsia="맑은 고딕"/>
                <w:noProof/>
                <w:lang w:eastAsia="ko-KR"/>
              </w:rPr>
            </w:pPr>
            <w:r>
              <w:rPr>
                <w:rFonts w:eastAsia="맑은 고딕"/>
                <w:noProof/>
                <w:lang w:eastAsia="fr-FR"/>
              </w:rPr>
              <w:t>Tel: +356 2093 9800</w:t>
            </w:r>
          </w:p>
          <w:p w14:paraId="3F6B6DDC" w14:textId="77777777" w:rsidR="00A201A2" w:rsidRDefault="00A201A2">
            <w:pPr>
              <w:suppressAutoHyphens/>
              <w:rPr>
                <w:rFonts w:eastAsia="맑은 고딕"/>
                <w:noProof/>
                <w:lang w:eastAsia="ko-KR"/>
              </w:rPr>
            </w:pPr>
          </w:p>
        </w:tc>
      </w:tr>
      <w:tr w:rsidR="00BA5882" w:rsidRPr="00A201A2" w14:paraId="58FDA072" w14:textId="77777777">
        <w:trPr>
          <w:cantSplit/>
        </w:trPr>
        <w:tc>
          <w:tcPr>
            <w:tcW w:w="2500" w:type="pct"/>
            <w:hideMark/>
          </w:tcPr>
          <w:p w14:paraId="3279111D" w14:textId="77777777" w:rsidR="00A201A2" w:rsidRDefault="00A201A2">
            <w:pPr>
              <w:suppressAutoHyphens/>
              <w:rPr>
                <w:b/>
                <w:lang w:val="de-DE"/>
              </w:rPr>
            </w:pPr>
            <w:r>
              <w:rPr>
                <w:b/>
                <w:lang w:val="de-DE"/>
              </w:rPr>
              <w:t>Deutschland</w:t>
            </w:r>
          </w:p>
          <w:p w14:paraId="699247EB" w14:textId="77777777" w:rsidR="00A201A2" w:rsidRDefault="00A201A2">
            <w:pPr>
              <w:tabs>
                <w:tab w:val="left" w:pos="-720"/>
              </w:tabs>
              <w:suppressAutoHyphens/>
              <w:rPr>
                <w:lang w:val="de-DE"/>
              </w:rPr>
            </w:pPr>
            <w:r>
              <w:rPr>
                <w:lang w:val="de-DE"/>
              </w:rPr>
              <w:t xml:space="preserve">Celltrion Healthcare Deutschland </w:t>
            </w:r>
            <w:r>
              <w:rPr>
                <w:rFonts w:eastAsia="맑은 고딕"/>
                <w:noProof/>
                <w:lang w:val="de-DE" w:eastAsia="fr-FR"/>
              </w:rPr>
              <w:t>GmbH</w:t>
            </w:r>
          </w:p>
          <w:p w14:paraId="2BDE0007" w14:textId="77777777" w:rsidR="00A201A2" w:rsidRDefault="00A201A2">
            <w:pPr>
              <w:tabs>
                <w:tab w:val="left" w:pos="-720"/>
              </w:tabs>
              <w:suppressAutoHyphens/>
              <w:rPr>
                <w:rFonts w:eastAsia="맑은 고딕"/>
                <w:noProof/>
                <w:lang w:val="de-DE" w:eastAsia="fr-FR"/>
              </w:rPr>
            </w:pPr>
            <w:r>
              <w:rPr>
                <w:lang w:val="de-DE"/>
              </w:rPr>
              <w:t xml:space="preserve">Tel: </w:t>
            </w:r>
            <w:r>
              <w:rPr>
                <w:rFonts w:eastAsia="맑은 고딕"/>
                <w:noProof/>
                <w:lang w:val="de-DE" w:eastAsia="fr-FR"/>
              </w:rPr>
              <w:t>+49 (0)30 346494150</w:t>
            </w:r>
          </w:p>
          <w:p w14:paraId="7EB3D778" w14:textId="77777777" w:rsidR="00A201A2" w:rsidRDefault="00A201A2">
            <w:pPr>
              <w:tabs>
                <w:tab w:val="left" w:pos="-720"/>
              </w:tabs>
              <w:suppressAutoHyphens/>
              <w:rPr>
                <w:rFonts w:eastAsia="맑은 고딕"/>
                <w:noProof/>
                <w:lang w:val="de-DE" w:eastAsia="fr-FR"/>
              </w:rPr>
            </w:pPr>
            <w:r>
              <w:rPr>
                <w:rFonts w:eastAsia="맑은 고딕"/>
                <w:noProof/>
                <w:lang w:val="de-DE" w:eastAsia="fr-FR"/>
              </w:rPr>
              <w:t>infoDE@celltrionhc.com</w:t>
            </w:r>
          </w:p>
        </w:tc>
        <w:tc>
          <w:tcPr>
            <w:tcW w:w="2500" w:type="pct"/>
          </w:tcPr>
          <w:p w14:paraId="545E0902" w14:textId="77777777" w:rsidR="00A201A2" w:rsidRPr="00A201A2" w:rsidRDefault="00A201A2">
            <w:pPr>
              <w:suppressAutoHyphens/>
              <w:rPr>
                <w:noProof/>
                <w:lang w:eastAsia="fr-FR"/>
              </w:rPr>
            </w:pPr>
            <w:r>
              <w:rPr>
                <w:rFonts w:eastAsia="맑은 고딕"/>
                <w:b/>
                <w:noProof/>
                <w:lang w:eastAsia="fr-FR"/>
              </w:rPr>
              <w:t>Nederland</w:t>
            </w:r>
          </w:p>
          <w:p w14:paraId="368C79A7" w14:textId="77777777" w:rsidR="00A201A2" w:rsidRDefault="00A201A2">
            <w:pPr>
              <w:suppressAutoHyphens/>
              <w:rPr>
                <w:rFonts w:eastAsia="맑은 고딕"/>
                <w:noProof/>
                <w:lang w:eastAsia="fr-FR"/>
              </w:rPr>
            </w:pPr>
            <w:r>
              <w:rPr>
                <w:rFonts w:eastAsia="맑은 고딕"/>
                <w:noProof/>
                <w:lang w:eastAsia="fr-FR"/>
              </w:rPr>
              <w:t>Celltrion Healthcare Netherlands B.V.</w:t>
            </w:r>
          </w:p>
          <w:p w14:paraId="4623D309" w14:textId="77777777" w:rsidR="00A201A2" w:rsidRDefault="00A201A2">
            <w:pPr>
              <w:suppressAutoHyphens/>
              <w:rPr>
                <w:rFonts w:eastAsia="맑은 고딕"/>
                <w:noProof/>
                <w:lang w:eastAsia="fr-FR"/>
              </w:rPr>
            </w:pPr>
            <w:r>
              <w:rPr>
                <w:rFonts w:eastAsia="맑은 고딕"/>
                <w:noProof/>
                <w:lang w:eastAsia="fr-FR"/>
              </w:rPr>
              <w:t>Tel: + 31 20 888 7300</w:t>
            </w:r>
          </w:p>
          <w:p w14:paraId="6763D22A" w14:textId="77777777" w:rsidR="00A201A2" w:rsidRDefault="00A201A2">
            <w:pPr>
              <w:suppressAutoHyphens/>
              <w:rPr>
                <w:rFonts w:eastAsia="맑은 고딕"/>
                <w:noProof/>
                <w:lang w:eastAsia="fr-FR"/>
              </w:rPr>
            </w:pPr>
            <w:hyperlink r:id="rId18" w:history="1">
              <w:r>
                <w:rPr>
                  <w:rStyle w:val="ad"/>
                  <w:rFonts w:eastAsia="맑은 고딕"/>
                  <w:noProof/>
                  <w:lang w:eastAsia="fr-FR"/>
                </w:rPr>
                <w:t>NLinfo@celltrionh</w:t>
              </w:r>
              <w:r w:rsidRPr="00A201A2">
                <w:rPr>
                  <w:rStyle w:val="ad"/>
                </w:rPr>
                <w:t>c</w:t>
              </w:r>
              <w:r>
                <w:rPr>
                  <w:rStyle w:val="ad"/>
                  <w:rFonts w:eastAsia="맑은 고딕"/>
                  <w:noProof/>
                  <w:lang w:eastAsia="fr-FR"/>
                </w:rPr>
                <w:t>.com</w:t>
              </w:r>
            </w:hyperlink>
          </w:p>
          <w:p w14:paraId="7B82838D" w14:textId="77777777" w:rsidR="00A201A2" w:rsidRDefault="00A201A2">
            <w:pPr>
              <w:suppressAutoHyphens/>
              <w:rPr>
                <w:rFonts w:eastAsia="맑은 고딕"/>
                <w:noProof/>
                <w:lang w:eastAsia="fr-FR"/>
              </w:rPr>
            </w:pPr>
          </w:p>
        </w:tc>
      </w:tr>
      <w:tr w:rsidR="00BA5882" w:rsidRPr="00A201A2" w14:paraId="108E6791" w14:textId="77777777">
        <w:trPr>
          <w:cantSplit/>
        </w:trPr>
        <w:tc>
          <w:tcPr>
            <w:tcW w:w="2500" w:type="pct"/>
            <w:hideMark/>
          </w:tcPr>
          <w:p w14:paraId="150128BB" w14:textId="77777777" w:rsidR="00A201A2" w:rsidRDefault="00A201A2">
            <w:pPr>
              <w:tabs>
                <w:tab w:val="left" w:pos="-720"/>
                <w:tab w:val="left" w:pos="4536"/>
              </w:tabs>
              <w:suppressAutoHyphens/>
              <w:rPr>
                <w:b/>
                <w:noProof/>
                <w:lang w:eastAsia="fr-FR"/>
              </w:rPr>
            </w:pPr>
            <w:r>
              <w:rPr>
                <w:rFonts w:eastAsia="맑은 고딕"/>
                <w:b/>
                <w:noProof/>
                <w:lang w:eastAsia="fr-FR"/>
              </w:rPr>
              <w:t>Eesti</w:t>
            </w:r>
          </w:p>
          <w:p w14:paraId="68845650" w14:textId="77777777" w:rsidR="00A201A2" w:rsidRDefault="00A201A2">
            <w:pPr>
              <w:tabs>
                <w:tab w:val="left" w:pos="-720"/>
              </w:tabs>
              <w:suppressAutoHyphens/>
              <w:rPr>
                <w:rFonts w:eastAsia="맑은 고딕"/>
                <w:noProof/>
                <w:lang w:eastAsia="fr-FR"/>
              </w:rPr>
            </w:pPr>
            <w:r>
              <w:rPr>
                <w:rFonts w:eastAsia="맑은 고딕"/>
                <w:noProof/>
                <w:lang w:eastAsia="fr-FR"/>
              </w:rPr>
              <w:t>Celltrion Healthcare Hungary Kft.</w:t>
            </w:r>
          </w:p>
          <w:p w14:paraId="37F026BC" w14:textId="77777777" w:rsidR="00A201A2" w:rsidRDefault="00A201A2">
            <w:pPr>
              <w:tabs>
                <w:tab w:val="left" w:pos="-720"/>
              </w:tabs>
              <w:suppressAutoHyphens/>
              <w:rPr>
                <w:rFonts w:eastAsia="맑은 고딕"/>
                <w:noProof/>
                <w:lang w:eastAsia="fr-FR"/>
              </w:rPr>
            </w:pPr>
            <w:r>
              <w:rPr>
                <w:rFonts w:eastAsia="맑은 고딕"/>
                <w:noProof/>
                <w:lang w:eastAsia="fr-FR"/>
              </w:rPr>
              <w:t>Tel: +36 1 231 0493</w:t>
            </w:r>
          </w:p>
          <w:p w14:paraId="130AD4D0" w14:textId="77777777" w:rsidR="00A201A2" w:rsidRDefault="00A201A2">
            <w:pPr>
              <w:tabs>
                <w:tab w:val="left" w:pos="-720"/>
              </w:tabs>
              <w:suppressAutoHyphens/>
              <w:rPr>
                <w:rFonts w:eastAsia="맑은 고딕"/>
                <w:noProof/>
                <w:lang w:val="fi-FI" w:eastAsia="ko-KR"/>
              </w:rPr>
            </w:pPr>
          </w:p>
        </w:tc>
        <w:tc>
          <w:tcPr>
            <w:tcW w:w="2500" w:type="pct"/>
          </w:tcPr>
          <w:p w14:paraId="2192F33A" w14:textId="77777777" w:rsidR="00A201A2" w:rsidRPr="00A201A2" w:rsidRDefault="00A201A2">
            <w:pPr>
              <w:tabs>
                <w:tab w:val="left" w:pos="-720"/>
              </w:tabs>
              <w:suppressAutoHyphens/>
              <w:rPr>
                <w:noProof/>
                <w:lang w:eastAsia="fr-FR"/>
              </w:rPr>
            </w:pPr>
            <w:r>
              <w:rPr>
                <w:rFonts w:eastAsia="맑은 고딕"/>
                <w:b/>
                <w:noProof/>
                <w:lang w:eastAsia="fr-FR"/>
              </w:rPr>
              <w:t>Norge</w:t>
            </w:r>
          </w:p>
          <w:p w14:paraId="397F4DEC" w14:textId="77777777" w:rsidR="00054925" w:rsidRPr="006F04E0" w:rsidRDefault="00A201A2" w:rsidP="00054925">
            <w:pPr>
              <w:tabs>
                <w:tab w:val="left" w:pos="-720"/>
              </w:tabs>
              <w:suppressAutoHyphens/>
              <w:rPr>
                <w:rFonts w:eastAsia="맑은 고딕"/>
                <w:noProof/>
                <w:lang w:eastAsia="fr-FR"/>
              </w:rPr>
            </w:pPr>
            <w:r>
              <w:rPr>
                <w:rFonts w:eastAsia="맑은 고딕"/>
                <w:noProof/>
                <w:lang w:eastAsia="fr-FR"/>
              </w:rPr>
              <w:t xml:space="preserve">Celltrion Healthcare </w:t>
            </w:r>
            <w:r w:rsidR="00054925" w:rsidRPr="006F04E0">
              <w:rPr>
                <w:rFonts w:eastAsia="맑은 고딕"/>
                <w:noProof/>
                <w:lang w:eastAsia="fr-FR"/>
              </w:rPr>
              <w:t>Norway AS</w:t>
            </w:r>
          </w:p>
          <w:p w14:paraId="01543CE3" w14:textId="2BEE08FA" w:rsidR="00A201A2" w:rsidRDefault="00054925">
            <w:pPr>
              <w:tabs>
                <w:tab w:val="left" w:pos="-720"/>
              </w:tabs>
              <w:suppressAutoHyphens/>
              <w:rPr>
                <w:rFonts w:eastAsia="맑은 고딕"/>
                <w:noProof/>
                <w:lang w:eastAsia="ko-KR"/>
              </w:rPr>
            </w:pPr>
            <w:r w:rsidRPr="006F04E0">
              <w:rPr>
                <w:rFonts w:eastAsia="맑은 고딕"/>
                <w:noProof/>
                <w:lang w:eastAsia="fr-FR"/>
              </w:rPr>
              <w:t>Contact_no@celltrionhc.com</w:t>
            </w:r>
            <w:r w:rsidRPr="006F04E0" w:rsidDel="006F04E0">
              <w:rPr>
                <w:rFonts w:eastAsia="맑은 고딕"/>
                <w:noProof/>
                <w:lang w:eastAsia="fr-FR"/>
              </w:rPr>
              <w:t xml:space="preserve"> </w:t>
            </w:r>
          </w:p>
          <w:p w14:paraId="210D2698" w14:textId="77777777" w:rsidR="00054925" w:rsidRPr="00054925" w:rsidRDefault="00054925">
            <w:pPr>
              <w:tabs>
                <w:tab w:val="left" w:pos="-720"/>
              </w:tabs>
              <w:suppressAutoHyphens/>
              <w:rPr>
                <w:rFonts w:eastAsia="맑은 고딕"/>
                <w:noProof/>
                <w:lang w:eastAsia="ko-KR"/>
              </w:rPr>
            </w:pPr>
          </w:p>
        </w:tc>
      </w:tr>
      <w:tr w:rsidR="00BA5882" w:rsidRPr="00ED6BAC" w14:paraId="3BA49776" w14:textId="77777777">
        <w:trPr>
          <w:cantSplit/>
        </w:trPr>
        <w:tc>
          <w:tcPr>
            <w:tcW w:w="2500" w:type="pct"/>
            <w:hideMark/>
          </w:tcPr>
          <w:p w14:paraId="4227F10E" w14:textId="77777777" w:rsidR="00A201A2" w:rsidRDefault="00A201A2">
            <w:pPr>
              <w:suppressAutoHyphens/>
              <w:rPr>
                <w:noProof/>
                <w:lang w:val="es-ES_tradnl" w:eastAsia="fr-FR"/>
              </w:rPr>
            </w:pPr>
            <w:r>
              <w:rPr>
                <w:b/>
                <w:noProof/>
                <w:lang w:val="es-ES_tradnl"/>
              </w:rPr>
              <w:lastRenderedPageBreak/>
              <w:t>España</w:t>
            </w:r>
          </w:p>
          <w:p w14:paraId="11577597" w14:textId="77777777" w:rsidR="00A201A2" w:rsidRDefault="00A201A2">
            <w:pPr>
              <w:suppressAutoHyphens/>
              <w:rPr>
                <w:rFonts w:eastAsia="맑은 고딕"/>
                <w:noProof/>
                <w:lang w:val="es-ES_tradnl" w:eastAsia="fr-FR"/>
              </w:rPr>
            </w:pPr>
            <w:r>
              <w:rPr>
                <w:rFonts w:eastAsia="맑은 고딕"/>
                <w:noProof/>
                <w:lang w:val="es-ES_tradnl" w:eastAsia="fr-FR"/>
              </w:rPr>
              <w:t>CELLTRION FARMACEUTICA (ESPAÑA) S.L..</w:t>
            </w:r>
          </w:p>
          <w:p w14:paraId="6346CA9D" w14:textId="77556F01" w:rsidR="00A201A2" w:rsidRDefault="00A201A2">
            <w:pPr>
              <w:suppressAutoHyphens/>
              <w:rPr>
                <w:rFonts w:eastAsia="맑은 고딕"/>
                <w:noProof/>
                <w:lang w:eastAsia="ko-KR"/>
              </w:rPr>
            </w:pPr>
            <w:r>
              <w:rPr>
                <w:rFonts w:eastAsia="맑은 고딕"/>
                <w:noProof/>
                <w:lang w:eastAsia="fr-FR"/>
              </w:rPr>
              <w:t xml:space="preserve">Tel: +34 </w:t>
            </w:r>
            <w:r w:rsidR="00873C80">
              <w:rPr>
                <w:rFonts w:eastAsia="맑은 고딕" w:hint="eastAsia"/>
                <w:noProof/>
                <w:lang w:eastAsia="ko-KR"/>
              </w:rPr>
              <w:t xml:space="preserve">910 498 478 </w:t>
            </w:r>
          </w:p>
          <w:p w14:paraId="2DD7E20C" w14:textId="77777777" w:rsidR="00A201A2" w:rsidRDefault="00A201A2">
            <w:pPr>
              <w:suppressAutoHyphens/>
              <w:rPr>
                <w:b/>
                <w:noProof/>
                <w:lang w:eastAsia="fr-FR"/>
              </w:rPr>
            </w:pPr>
          </w:p>
        </w:tc>
        <w:tc>
          <w:tcPr>
            <w:tcW w:w="2500" w:type="pct"/>
          </w:tcPr>
          <w:p w14:paraId="4E07A73F" w14:textId="77777777" w:rsidR="00A201A2" w:rsidRDefault="00A201A2">
            <w:pPr>
              <w:suppressAutoHyphens/>
              <w:rPr>
                <w:noProof/>
                <w:lang w:val="de-DE" w:eastAsia="fr-FR"/>
              </w:rPr>
            </w:pPr>
            <w:r>
              <w:rPr>
                <w:b/>
                <w:noProof/>
                <w:lang w:val="de-DE"/>
              </w:rPr>
              <w:t>Österreich</w:t>
            </w:r>
          </w:p>
          <w:p w14:paraId="16A80144" w14:textId="77777777" w:rsidR="00A201A2" w:rsidRDefault="00A201A2">
            <w:pPr>
              <w:suppressAutoHyphens/>
              <w:rPr>
                <w:rFonts w:eastAsia="맑은 고딕"/>
                <w:noProof/>
                <w:lang w:val="de-DE" w:eastAsia="ko-KR"/>
              </w:rPr>
            </w:pPr>
            <w:r>
              <w:rPr>
                <w:rFonts w:eastAsia="맑은 고딕"/>
                <w:noProof/>
                <w:lang w:val="de-DE" w:eastAsia="fr-FR"/>
              </w:rPr>
              <w:t>Astro-Pharma GmbH</w:t>
            </w:r>
          </w:p>
          <w:p w14:paraId="46455E53" w14:textId="77777777" w:rsidR="00A201A2" w:rsidRDefault="00A201A2">
            <w:pPr>
              <w:tabs>
                <w:tab w:val="left" w:pos="-720"/>
              </w:tabs>
              <w:suppressAutoHyphens/>
              <w:rPr>
                <w:rFonts w:eastAsia="맑은 고딕"/>
                <w:noProof/>
                <w:lang w:val="de-DE" w:eastAsia="fr-FR"/>
              </w:rPr>
            </w:pPr>
            <w:r>
              <w:rPr>
                <w:rFonts w:eastAsia="맑은 고딕"/>
                <w:noProof/>
                <w:lang w:val="de-DE" w:eastAsia="fr-FR"/>
              </w:rPr>
              <w:t>Tel: +43 1 97 99 860</w:t>
            </w:r>
          </w:p>
          <w:p w14:paraId="6E408113" w14:textId="77777777" w:rsidR="00A201A2" w:rsidRDefault="00A201A2">
            <w:pPr>
              <w:tabs>
                <w:tab w:val="left" w:pos="-720"/>
              </w:tabs>
              <w:suppressAutoHyphens/>
              <w:rPr>
                <w:noProof/>
                <w:lang w:val="de-DE" w:eastAsia="fr-FR"/>
              </w:rPr>
            </w:pPr>
          </w:p>
        </w:tc>
      </w:tr>
      <w:tr w:rsidR="00BA5882" w:rsidRPr="00A201A2" w14:paraId="330AA7EC" w14:textId="77777777">
        <w:trPr>
          <w:cantSplit/>
        </w:trPr>
        <w:tc>
          <w:tcPr>
            <w:tcW w:w="2500" w:type="pct"/>
          </w:tcPr>
          <w:p w14:paraId="34535087" w14:textId="77777777" w:rsidR="00A201A2" w:rsidRDefault="00A201A2">
            <w:pPr>
              <w:suppressAutoHyphens/>
              <w:rPr>
                <w:b/>
                <w:noProof/>
                <w:lang w:val="el-GR" w:eastAsia="fr-FR"/>
              </w:rPr>
            </w:pPr>
            <w:r>
              <w:rPr>
                <w:b/>
                <w:noProof/>
                <w:lang w:val="el-GR" w:eastAsia="fr-FR"/>
              </w:rPr>
              <w:t>Ελλάδα</w:t>
            </w:r>
          </w:p>
          <w:p w14:paraId="7B450988" w14:textId="77777777" w:rsidR="00A201A2" w:rsidRDefault="00A201A2">
            <w:pPr>
              <w:suppressAutoHyphens/>
              <w:rPr>
                <w:noProof/>
                <w:lang w:val="el-GR" w:eastAsia="fr-FR"/>
              </w:rPr>
            </w:pPr>
            <w:r>
              <w:rPr>
                <w:noProof/>
                <w:lang w:val="el-GR" w:eastAsia="fr-FR"/>
              </w:rPr>
              <w:t>ΒΙΑΝΕΞ Α.Ε.</w:t>
            </w:r>
          </w:p>
          <w:p w14:paraId="228B92FB" w14:textId="77777777" w:rsidR="00A201A2" w:rsidRDefault="00A201A2">
            <w:pPr>
              <w:suppressAutoHyphens/>
              <w:rPr>
                <w:noProof/>
                <w:lang w:val="el-GR" w:eastAsia="fr-FR"/>
              </w:rPr>
            </w:pPr>
            <w:r>
              <w:rPr>
                <w:noProof/>
                <w:lang w:val="el-GR" w:eastAsia="fr-FR"/>
              </w:rPr>
              <w:t xml:space="preserve">Τηλ: +30 210 8009111 </w:t>
            </w:r>
          </w:p>
          <w:p w14:paraId="5F92624D" w14:textId="77777777" w:rsidR="00A201A2" w:rsidRDefault="00A201A2">
            <w:pPr>
              <w:suppressAutoHyphens/>
              <w:rPr>
                <w:rFonts w:eastAsia="맑은 고딕"/>
                <w:noProof/>
                <w:lang w:val="el-GR" w:eastAsia="fr-FR"/>
              </w:rPr>
            </w:pPr>
          </w:p>
        </w:tc>
        <w:tc>
          <w:tcPr>
            <w:tcW w:w="2500" w:type="pct"/>
          </w:tcPr>
          <w:p w14:paraId="0DD209E1" w14:textId="77777777" w:rsidR="00A201A2" w:rsidRDefault="00A201A2">
            <w:pPr>
              <w:suppressAutoHyphens/>
              <w:rPr>
                <w:rFonts w:eastAsia="맑은 고딕"/>
                <w:b/>
                <w:noProof/>
                <w:lang w:val="pl-PL" w:eastAsia="fr-FR"/>
              </w:rPr>
            </w:pPr>
            <w:r>
              <w:rPr>
                <w:rFonts w:eastAsia="맑은 고딕"/>
                <w:b/>
                <w:noProof/>
                <w:lang w:val="pl-PL" w:eastAsia="fr-FR"/>
              </w:rPr>
              <w:t>Polska</w:t>
            </w:r>
          </w:p>
          <w:p w14:paraId="4DD1B16A" w14:textId="77777777" w:rsidR="00A201A2" w:rsidRDefault="00A201A2">
            <w:pPr>
              <w:tabs>
                <w:tab w:val="left" w:pos="-720"/>
              </w:tabs>
              <w:suppressAutoHyphens/>
              <w:rPr>
                <w:rFonts w:eastAsia="맑은 고딕"/>
                <w:noProof/>
                <w:lang w:eastAsia="fr-FR"/>
              </w:rPr>
            </w:pPr>
            <w:r>
              <w:rPr>
                <w:rFonts w:eastAsia="맑은 고딕"/>
                <w:noProof/>
                <w:lang w:eastAsia="fr-FR"/>
              </w:rPr>
              <w:t>Celltrion Healthcare Hungary Kft.</w:t>
            </w:r>
          </w:p>
          <w:p w14:paraId="008FFD96" w14:textId="77777777" w:rsidR="00A201A2" w:rsidRDefault="00A201A2">
            <w:pPr>
              <w:suppressAutoHyphens/>
              <w:rPr>
                <w:rFonts w:eastAsia="맑은 고딕"/>
                <w:noProof/>
                <w:lang w:eastAsia="fr-FR"/>
              </w:rPr>
            </w:pPr>
            <w:r>
              <w:rPr>
                <w:rFonts w:eastAsia="맑은 고딕"/>
                <w:noProof/>
                <w:lang w:eastAsia="fr-FR"/>
              </w:rPr>
              <w:t>Tel.: +36 1 231 0493</w:t>
            </w:r>
          </w:p>
          <w:p w14:paraId="2F00214F" w14:textId="77777777" w:rsidR="00A201A2" w:rsidRDefault="00A201A2">
            <w:pPr>
              <w:suppressAutoHyphens/>
              <w:rPr>
                <w:b/>
                <w:noProof/>
              </w:rPr>
            </w:pPr>
          </w:p>
        </w:tc>
      </w:tr>
      <w:tr w:rsidR="00BA5882" w:rsidRPr="00A201A2" w14:paraId="12D7ED30" w14:textId="77777777">
        <w:trPr>
          <w:cantSplit/>
        </w:trPr>
        <w:tc>
          <w:tcPr>
            <w:tcW w:w="2500" w:type="pct"/>
          </w:tcPr>
          <w:p w14:paraId="3AD8CE02" w14:textId="77777777" w:rsidR="00A201A2" w:rsidRDefault="00A201A2">
            <w:pPr>
              <w:suppressAutoHyphens/>
              <w:rPr>
                <w:b/>
                <w:noProof/>
                <w:lang w:eastAsia="ko-KR"/>
              </w:rPr>
            </w:pPr>
            <w:r>
              <w:rPr>
                <w:b/>
                <w:noProof/>
                <w:lang w:eastAsia="ko-KR"/>
              </w:rPr>
              <w:t>France</w:t>
            </w:r>
          </w:p>
          <w:p w14:paraId="2A63E693" w14:textId="77777777" w:rsidR="00A201A2" w:rsidRPr="00A201A2" w:rsidRDefault="00A201A2">
            <w:pPr>
              <w:suppressAutoHyphens/>
              <w:rPr>
                <w:noProof/>
                <w:lang w:eastAsia="ko-KR"/>
              </w:rPr>
            </w:pPr>
            <w:r w:rsidRPr="00A201A2">
              <w:rPr>
                <w:noProof/>
                <w:lang w:eastAsia="ko-KR"/>
              </w:rPr>
              <w:t>Celltrion Healthcare France SAS</w:t>
            </w:r>
          </w:p>
          <w:p w14:paraId="55916E44" w14:textId="77777777" w:rsidR="00A201A2" w:rsidRDefault="00A201A2">
            <w:pPr>
              <w:suppressAutoHyphens/>
              <w:rPr>
                <w:rFonts w:eastAsia="맑은 고딕"/>
                <w:noProof/>
                <w:lang w:eastAsia="ko-KR"/>
              </w:rPr>
            </w:pPr>
            <w:r w:rsidRPr="00A201A2">
              <w:rPr>
                <w:noProof/>
                <w:lang w:eastAsia="ko-KR"/>
              </w:rPr>
              <w:t>T</w:t>
            </w:r>
            <w:proofErr w:type="spellStart"/>
            <w:r w:rsidRPr="00A201A2">
              <w:t>é</w:t>
            </w:r>
            <w:r w:rsidRPr="00A201A2">
              <w:rPr>
                <w:noProof/>
                <w:lang w:eastAsia="ko-KR"/>
              </w:rPr>
              <w:t>l</w:t>
            </w:r>
            <w:proofErr w:type="spellEnd"/>
            <w:r w:rsidRPr="00A201A2">
              <w:rPr>
                <w:noProof/>
                <w:lang w:eastAsia="ko-KR"/>
              </w:rPr>
              <w:t>.: +33 (0)1 71 25 27 00</w:t>
            </w:r>
          </w:p>
          <w:p w14:paraId="474010E0" w14:textId="77777777" w:rsidR="00A201A2" w:rsidRDefault="00A201A2">
            <w:pPr>
              <w:suppressAutoHyphens/>
              <w:rPr>
                <w:rFonts w:eastAsia="맑은 고딕"/>
                <w:noProof/>
                <w:lang w:eastAsia="fr-FR"/>
              </w:rPr>
            </w:pPr>
          </w:p>
        </w:tc>
        <w:tc>
          <w:tcPr>
            <w:tcW w:w="2500" w:type="pct"/>
          </w:tcPr>
          <w:p w14:paraId="7FD449F9" w14:textId="77777777" w:rsidR="00A201A2" w:rsidRDefault="00A201A2">
            <w:pPr>
              <w:suppressAutoHyphens/>
              <w:autoSpaceDE w:val="0"/>
              <w:autoSpaceDN w:val="0"/>
              <w:adjustRightInd w:val="0"/>
              <w:rPr>
                <w:noProof/>
                <w:lang w:val="pt-PT" w:eastAsia="fr-FR"/>
              </w:rPr>
            </w:pPr>
            <w:r>
              <w:rPr>
                <w:rFonts w:eastAsia="맑은 고딕"/>
                <w:b/>
                <w:noProof/>
                <w:lang w:val="pt-PT" w:eastAsia="fr-FR"/>
              </w:rPr>
              <w:t>Portugal</w:t>
            </w:r>
          </w:p>
          <w:p w14:paraId="0E26C52E" w14:textId="77777777" w:rsidR="00A201A2" w:rsidRDefault="00A201A2">
            <w:pPr>
              <w:suppressAutoHyphens/>
              <w:autoSpaceDE w:val="0"/>
              <w:autoSpaceDN w:val="0"/>
              <w:adjustRightInd w:val="0"/>
              <w:rPr>
                <w:rFonts w:eastAsia="맑은 고딕"/>
                <w:noProof/>
                <w:lang w:val="pt-PT" w:eastAsia="ko-KR"/>
              </w:rPr>
            </w:pPr>
            <w:r>
              <w:rPr>
                <w:rFonts w:eastAsia="맑은 고딕"/>
                <w:noProof/>
                <w:lang w:val="pt-PT" w:eastAsia="fr-FR"/>
              </w:rPr>
              <w:t>CELLTRION PORTUGAL, UNIPESSOAL LDA.</w:t>
            </w:r>
          </w:p>
          <w:p w14:paraId="00672299" w14:textId="77777777" w:rsidR="00A201A2" w:rsidRDefault="00A201A2">
            <w:pPr>
              <w:suppressAutoHyphens/>
              <w:rPr>
                <w:b/>
              </w:rPr>
            </w:pPr>
            <w:r>
              <w:t>Tel</w:t>
            </w:r>
            <w:r w:rsidRPr="00A201A2">
              <w:t xml:space="preserve">: </w:t>
            </w:r>
            <w:r>
              <w:rPr>
                <w:rFonts w:eastAsia="맑은 고딕"/>
                <w:noProof/>
                <w:lang w:val="pt-BR" w:eastAsia="fr-FR"/>
              </w:rPr>
              <w:t>+351 21 936 8542</w:t>
            </w:r>
          </w:p>
          <w:p w14:paraId="0FA6F37E" w14:textId="77777777" w:rsidR="00A201A2" w:rsidRDefault="00A201A2">
            <w:pPr>
              <w:suppressAutoHyphens/>
              <w:rPr>
                <w:b/>
              </w:rPr>
            </w:pPr>
          </w:p>
        </w:tc>
      </w:tr>
      <w:tr w:rsidR="00BA5882" w:rsidRPr="00A201A2" w14:paraId="30F50038" w14:textId="77777777">
        <w:trPr>
          <w:cantSplit/>
        </w:trPr>
        <w:tc>
          <w:tcPr>
            <w:tcW w:w="2500" w:type="pct"/>
          </w:tcPr>
          <w:p w14:paraId="00B30611" w14:textId="77777777" w:rsidR="00A201A2" w:rsidRDefault="00A201A2">
            <w:pPr>
              <w:suppressAutoHyphens/>
              <w:rPr>
                <w:b/>
                <w:noProof/>
                <w:lang w:val="de-CH" w:eastAsia="ko-KR"/>
              </w:rPr>
            </w:pPr>
            <w:r>
              <w:rPr>
                <w:b/>
                <w:noProof/>
                <w:lang w:val="de-CH" w:eastAsia="ko-KR"/>
              </w:rPr>
              <w:t>Hrvatska</w:t>
            </w:r>
          </w:p>
          <w:p w14:paraId="6EFC659D" w14:textId="77777777" w:rsidR="00A201A2" w:rsidRDefault="00A201A2">
            <w:pPr>
              <w:suppressAutoHyphens/>
              <w:rPr>
                <w:noProof/>
                <w:lang w:val="de-CH" w:eastAsia="ko-KR"/>
              </w:rPr>
            </w:pPr>
            <w:r>
              <w:rPr>
                <w:noProof/>
                <w:lang w:val="de-CH" w:eastAsia="ko-KR"/>
              </w:rPr>
              <w:t>Oktal Pharma d.o.o.</w:t>
            </w:r>
          </w:p>
          <w:p w14:paraId="63D32736" w14:textId="77777777" w:rsidR="00A201A2" w:rsidRPr="00A201A2" w:rsidRDefault="00A201A2">
            <w:pPr>
              <w:suppressAutoHyphens/>
              <w:rPr>
                <w:noProof/>
                <w:lang w:eastAsia="ko-KR"/>
              </w:rPr>
            </w:pPr>
            <w:r>
              <w:rPr>
                <w:noProof/>
                <w:lang w:eastAsia="ko-KR"/>
              </w:rPr>
              <w:t>Tel</w:t>
            </w:r>
            <w:r w:rsidRPr="00A201A2">
              <w:rPr>
                <w:noProof/>
                <w:lang w:eastAsia="ko-KR"/>
              </w:rPr>
              <w:t>: +385 1 6595 777</w:t>
            </w:r>
          </w:p>
          <w:p w14:paraId="36941EDB" w14:textId="77777777" w:rsidR="00A201A2" w:rsidRDefault="00A201A2">
            <w:pPr>
              <w:suppressAutoHyphens/>
              <w:rPr>
                <w:rFonts w:eastAsia="맑은 고딕"/>
                <w:noProof/>
                <w:lang w:eastAsia="fr-FR"/>
              </w:rPr>
            </w:pPr>
          </w:p>
        </w:tc>
        <w:tc>
          <w:tcPr>
            <w:tcW w:w="2500" w:type="pct"/>
          </w:tcPr>
          <w:p w14:paraId="6B708209" w14:textId="77777777" w:rsidR="00A201A2" w:rsidRDefault="00A201A2">
            <w:pPr>
              <w:tabs>
                <w:tab w:val="left" w:pos="-720"/>
              </w:tabs>
              <w:suppressAutoHyphens/>
              <w:rPr>
                <w:rFonts w:eastAsia="맑은 고딕"/>
                <w:b/>
                <w:noProof/>
                <w:lang w:eastAsia="fr-FR"/>
              </w:rPr>
            </w:pPr>
            <w:r>
              <w:rPr>
                <w:b/>
                <w:noProof/>
              </w:rPr>
              <w:t>România</w:t>
            </w:r>
          </w:p>
          <w:p w14:paraId="5639823D" w14:textId="77777777" w:rsidR="00A201A2" w:rsidRDefault="00A201A2">
            <w:pPr>
              <w:tabs>
                <w:tab w:val="left" w:pos="-720"/>
              </w:tabs>
              <w:suppressAutoHyphens/>
              <w:rPr>
                <w:rFonts w:eastAsia="맑은 고딕"/>
                <w:noProof/>
                <w:lang w:eastAsia="fr-FR"/>
              </w:rPr>
            </w:pPr>
            <w:r>
              <w:rPr>
                <w:rFonts w:eastAsia="맑은 고딕"/>
                <w:noProof/>
                <w:lang w:eastAsia="fr-FR"/>
              </w:rPr>
              <w:t>Celltrion Healthcare Hungary Kft.</w:t>
            </w:r>
          </w:p>
          <w:p w14:paraId="77463872" w14:textId="77777777" w:rsidR="00A201A2" w:rsidRDefault="00A201A2">
            <w:pPr>
              <w:suppressAutoHyphens/>
              <w:rPr>
                <w:rFonts w:eastAsia="맑은 고딕"/>
                <w:noProof/>
                <w:lang w:eastAsia="fr-FR"/>
              </w:rPr>
            </w:pPr>
            <w:r>
              <w:rPr>
                <w:rFonts w:eastAsia="맑은 고딕"/>
                <w:noProof/>
                <w:lang w:eastAsia="fr-FR"/>
              </w:rPr>
              <w:t>Tel: +36 1 231 0493</w:t>
            </w:r>
          </w:p>
          <w:p w14:paraId="5BF068E5" w14:textId="77777777" w:rsidR="00A201A2" w:rsidRDefault="00A201A2">
            <w:pPr>
              <w:suppressAutoHyphens/>
              <w:rPr>
                <w:b/>
                <w:noProof/>
              </w:rPr>
            </w:pPr>
          </w:p>
        </w:tc>
      </w:tr>
      <w:tr w:rsidR="00BA5882" w:rsidRPr="00A201A2" w14:paraId="2C7A5341" w14:textId="77777777">
        <w:trPr>
          <w:cantSplit/>
        </w:trPr>
        <w:tc>
          <w:tcPr>
            <w:tcW w:w="2500" w:type="pct"/>
          </w:tcPr>
          <w:p w14:paraId="421634D1" w14:textId="77777777" w:rsidR="00A201A2" w:rsidRPr="00A201A2" w:rsidRDefault="00A201A2">
            <w:pPr>
              <w:tabs>
                <w:tab w:val="left" w:pos="-720"/>
              </w:tabs>
              <w:suppressAutoHyphens/>
              <w:rPr>
                <w:noProof/>
                <w:lang w:eastAsia="fr-FR"/>
              </w:rPr>
            </w:pPr>
            <w:r>
              <w:rPr>
                <w:rFonts w:eastAsia="맑은 고딕"/>
                <w:b/>
                <w:noProof/>
                <w:lang w:eastAsia="fr-FR"/>
              </w:rPr>
              <w:t>Ireland</w:t>
            </w:r>
          </w:p>
          <w:p w14:paraId="68F512E9" w14:textId="77777777" w:rsidR="00A201A2" w:rsidRDefault="00A201A2">
            <w:pPr>
              <w:suppressAutoHyphens/>
              <w:rPr>
                <w:rFonts w:eastAsia="맑은 고딕"/>
                <w:noProof/>
                <w:lang w:eastAsia="fr-FR"/>
              </w:rPr>
            </w:pPr>
            <w:r>
              <w:rPr>
                <w:rFonts w:eastAsia="맑은 고딕"/>
                <w:noProof/>
                <w:lang w:eastAsia="fr-FR"/>
              </w:rPr>
              <w:t>Celltrion Healthcare Ireland Limited</w:t>
            </w:r>
          </w:p>
          <w:p w14:paraId="1CE35E72" w14:textId="77777777" w:rsidR="00A201A2" w:rsidRDefault="00A201A2">
            <w:pPr>
              <w:suppressAutoHyphens/>
              <w:rPr>
                <w:rFonts w:eastAsia="맑은 고딕"/>
                <w:noProof/>
                <w:lang w:eastAsia="fr-FR"/>
              </w:rPr>
            </w:pPr>
            <w:r>
              <w:rPr>
                <w:rFonts w:eastAsia="맑은 고딕"/>
                <w:noProof/>
                <w:lang w:eastAsia="fr-FR"/>
              </w:rPr>
              <w:t>Tel: +353 1 223 4026</w:t>
            </w:r>
          </w:p>
          <w:p w14:paraId="59AB012C" w14:textId="77777777" w:rsidR="00A201A2" w:rsidRDefault="00A201A2">
            <w:pPr>
              <w:suppressAutoHyphens/>
              <w:rPr>
                <w:rFonts w:eastAsia="맑은 고딕"/>
                <w:noProof/>
                <w:lang w:eastAsia="fr-FR"/>
              </w:rPr>
            </w:pPr>
          </w:p>
        </w:tc>
        <w:tc>
          <w:tcPr>
            <w:tcW w:w="2500" w:type="pct"/>
          </w:tcPr>
          <w:p w14:paraId="1058D2F3" w14:textId="77777777" w:rsidR="00A201A2" w:rsidRDefault="00A201A2">
            <w:pPr>
              <w:suppressAutoHyphens/>
              <w:rPr>
                <w:rFonts w:eastAsia="맑은 고딕"/>
                <w:b/>
                <w:noProof/>
                <w:lang w:val="it-IT" w:eastAsia="fr-FR"/>
              </w:rPr>
            </w:pPr>
            <w:r>
              <w:rPr>
                <w:rFonts w:eastAsia="맑은 고딕"/>
                <w:b/>
                <w:noProof/>
                <w:lang w:val="it-IT" w:eastAsia="fr-FR"/>
              </w:rPr>
              <w:t>Slovenija</w:t>
            </w:r>
          </w:p>
          <w:p w14:paraId="3AA15F36" w14:textId="77777777" w:rsidR="00A201A2" w:rsidRDefault="00A201A2">
            <w:pPr>
              <w:suppressAutoHyphens/>
              <w:rPr>
                <w:rFonts w:eastAsia="맑은 고딕"/>
                <w:noProof/>
                <w:lang w:val="it-IT" w:eastAsia="fr-FR"/>
              </w:rPr>
            </w:pPr>
            <w:r>
              <w:rPr>
                <w:rFonts w:eastAsia="맑은 고딕"/>
                <w:noProof/>
                <w:lang w:val="it-IT" w:eastAsia="fr-FR"/>
              </w:rPr>
              <w:t>OPH Oktal Pharma d.o.o.</w:t>
            </w:r>
          </w:p>
          <w:p w14:paraId="5BCE7787" w14:textId="77777777" w:rsidR="00A201A2" w:rsidRDefault="00A201A2">
            <w:pPr>
              <w:suppressAutoHyphens/>
              <w:rPr>
                <w:rFonts w:eastAsia="맑은 고딕"/>
                <w:noProof/>
                <w:lang w:eastAsia="fr-FR"/>
              </w:rPr>
            </w:pPr>
            <w:r>
              <w:rPr>
                <w:rFonts w:eastAsia="맑은 고딕"/>
                <w:noProof/>
                <w:lang w:eastAsia="fr-FR"/>
              </w:rPr>
              <w:t>Tel.: +386 1 519 29 22</w:t>
            </w:r>
          </w:p>
          <w:p w14:paraId="1ACC58E0" w14:textId="77777777" w:rsidR="00A201A2" w:rsidRDefault="00A201A2">
            <w:pPr>
              <w:suppressAutoHyphens/>
              <w:rPr>
                <w:b/>
                <w:noProof/>
              </w:rPr>
            </w:pPr>
          </w:p>
        </w:tc>
      </w:tr>
      <w:tr w:rsidR="00BA5882" w:rsidRPr="00A201A2" w14:paraId="758C678B" w14:textId="77777777">
        <w:trPr>
          <w:cantSplit/>
        </w:trPr>
        <w:tc>
          <w:tcPr>
            <w:tcW w:w="2500" w:type="pct"/>
          </w:tcPr>
          <w:p w14:paraId="6BD8C232" w14:textId="77777777" w:rsidR="00A201A2" w:rsidRDefault="00A201A2">
            <w:pPr>
              <w:suppressAutoHyphens/>
              <w:rPr>
                <w:rFonts w:eastAsia="맑은 고딕"/>
                <w:noProof/>
                <w:lang w:eastAsia="fr-FR"/>
              </w:rPr>
            </w:pPr>
            <w:r>
              <w:rPr>
                <w:rFonts w:eastAsia="맑은 고딕"/>
                <w:b/>
                <w:noProof/>
                <w:lang w:eastAsia="fr-FR"/>
              </w:rPr>
              <w:t>Ísland</w:t>
            </w:r>
          </w:p>
          <w:p w14:paraId="759EF358" w14:textId="77777777" w:rsidR="00A201A2" w:rsidRDefault="00A201A2">
            <w:pPr>
              <w:tabs>
                <w:tab w:val="left" w:pos="-720"/>
              </w:tabs>
              <w:suppressAutoHyphens/>
              <w:rPr>
                <w:rFonts w:eastAsia="맑은 고딕"/>
                <w:noProof/>
                <w:lang w:eastAsia="fr-FR"/>
              </w:rPr>
            </w:pPr>
            <w:r>
              <w:rPr>
                <w:rFonts w:eastAsia="맑은 고딕"/>
                <w:noProof/>
                <w:lang w:eastAsia="fr-FR"/>
              </w:rPr>
              <w:t>Celltrion Healthcare Hungary Kft.</w:t>
            </w:r>
          </w:p>
          <w:p w14:paraId="6DEA687C" w14:textId="77777777" w:rsidR="00A201A2" w:rsidRDefault="00A201A2">
            <w:pPr>
              <w:suppressAutoHyphens/>
              <w:rPr>
                <w:rFonts w:eastAsia="맑은 고딕"/>
                <w:noProof/>
                <w:lang w:eastAsia="fr-FR"/>
              </w:rPr>
            </w:pPr>
            <w:r>
              <w:rPr>
                <w:rFonts w:eastAsia="맑은 고딕"/>
                <w:noProof/>
                <w:lang w:eastAsia="fr-FR"/>
              </w:rPr>
              <w:t>Sími: +36 1 231 0493</w:t>
            </w:r>
          </w:p>
          <w:p w14:paraId="54B73E14" w14:textId="77777777" w:rsidR="00A201A2" w:rsidRDefault="00A201A2">
            <w:pPr>
              <w:suppressAutoHyphens/>
              <w:rPr>
                <w:rFonts w:eastAsia="맑은 고딕"/>
                <w:noProof/>
                <w:lang w:eastAsia="fr-FR"/>
              </w:rPr>
            </w:pPr>
          </w:p>
        </w:tc>
        <w:tc>
          <w:tcPr>
            <w:tcW w:w="2500" w:type="pct"/>
          </w:tcPr>
          <w:p w14:paraId="14D567CD" w14:textId="77777777" w:rsidR="00A201A2" w:rsidRDefault="00A201A2">
            <w:pPr>
              <w:suppressAutoHyphens/>
              <w:rPr>
                <w:rFonts w:eastAsia="맑은 고딕"/>
                <w:b/>
                <w:noProof/>
                <w:lang w:eastAsia="fr-FR"/>
              </w:rPr>
            </w:pPr>
            <w:r>
              <w:rPr>
                <w:b/>
                <w:noProof/>
              </w:rPr>
              <w:t>Slovenská republika</w:t>
            </w:r>
          </w:p>
          <w:p w14:paraId="59FBD17A" w14:textId="77777777" w:rsidR="00A201A2" w:rsidRDefault="00A201A2">
            <w:pPr>
              <w:tabs>
                <w:tab w:val="left" w:pos="-720"/>
              </w:tabs>
              <w:suppressAutoHyphens/>
              <w:rPr>
                <w:rFonts w:eastAsia="맑은 고딕"/>
                <w:noProof/>
                <w:lang w:eastAsia="fr-FR"/>
              </w:rPr>
            </w:pPr>
            <w:r>
              <w:rPr>
                <w:rFonts w:eastAsia="맑은 고딕"/>
                <w:noProof/>
                <w:lang w:eastAsia="fr-FR"/>
              </w:rPr>
              <w:t>Celltrion Healthcare Hungary Kft.</w:t>
            </w:r>
          </w:p>
          <w:p w14:paraId="2CA02364" w14:textId="77777777" w:rsidR="00A201A2" w:rsidRDefault="00A201A2">
            <w:pPr>
              <w:suppressAutoHyphens/>
              <w:rPr>
                <w:rFonts w:eastAsia="맑은 고딕"/>
                <w:noProof/>
                <w:lang w:eastAsia="fr-FR"/>
              </w:rPr>
            </w:pPr>
            <w:r>
              <w:rPr>
                <w:rFonts w:eastAsia="맑은 고딕"/>
                <w:noProof/>
                <w:lang w:eastAsia="fr-FR"/>
              </w:rPr>
              <w:t>Tel: +36 1 231 0493</w:t>
            </w:r>
          </w:p>
          <w:p w14:paraId="167A86A7" w14:textId="77777777" w:rsidR="00A201A2" w:rsidRDefault="00A201A2">
            <w:pPr>
              <w:suppressAutoHyphens/>
              <w:rPr>
                <w:rFonts w:eastAsia="맑은 고딕"/>
                <w:b/>
                <w:noProof/>
                <w:lang w:eastAsia="fr-FR"/>
              </w:rPr>
            </w:pPr>
          </w:p>
        </w:tc>
      </w:tr>
      <w:tr w:rsidR="00BA5882" w:rsidRPr="00A201A2" w14:paraId="3B1B1CC9" w14:textId="77777777">
        <w:trPr>
          <w:cantSplit/>
        </w:trPr>
        <w:tc>
          <w:tcPr>
            <w:tcW w:w="2500" w:type="pct"/>
          </w:tcPr>
          <w:p w14:paraId="266D2626" w14:textId="77777777" w:rsidR="00A201A2" w:rsidRPr="00A201A2" w:rsidRDefault="00A201A2">
            <w:pPr>
              <w:suppressAutoHyphens/>
              <w:rPr>
                <w:noProof/>
                <w:lang w:eastAsia="fr-FR"/>
              </w:rPr>
            </w:pPr>
            <w:r>
              <w:rPr>
                <w:rFonts w:eastAsia="맑은 고딕"/>
                <w:b/>
                <w:noProof/>
                <w:lang w:eastAsia="fr-FR"/>
              </w:rPr>
              <w:t>Italia</w:t>
            </w:r>
          </w:p>
          <w:p w14:paraId="445D53F3" w14:textId="77777777" w:rsidR="00A201A2" w:rsidRDefault="00A201A2">
            <w:pPr>
              <w:suppressAutoHyphens/>
              <w:rPr>
                <w:rFonts w:eastAsia="맑은 고딕"/>
                <w:noProof/>
                <w:lang w:eastAsia="fr-FR"/>
              </w:rPr>
            </w:pPr>
            <w:r>
              <w:rPr>
                <w:rFonts w:eastAsia="맑은 고딕"/>
                <w:noProof/>
                <w:lang w:eastAsia="fr-FR"/>
              </w:rPr>
              <w:t>Celltrion Healthcare Italy S.r.l.</w:t>
            </w:r>
          </w:p>
          <w:p w14:paraId="4B6A6A71" w14:textId="77777777" w:rsidR="00A201A2" w:rsidRDefault="00A201A2">
            <w:pPr>
              <w:suppressAutoHyphens/>
              <w:rPr>
                <w:rFonts w:eastAsia="맑은 고딕"/>
                <w:noProof/>
                <w:lang w:eastAsia="fr-FR"/>
              </w:rPr>
            </w:pPr>
            <w:r>
              <w:rPr>
                <w:rFonts w:eastAsia="맑은 고딕"/>
                <w:noProof/>
                <w:lang w:eastAsia="fr-FR"/>
              </w:rPr>
              <w:t>Tel: +39 02 47927040</w:t>
            </w:r>
          </w:p>
          <w:p w14:paraId="4C8250BC" w14:textId="77777777" w:rsidR="00A201A2" w:rsidRDefault="00A201A2">
            <w:pPr>
              <w:suppressAutoHyphens/>
              <w:rPr>
                <w:rFonts w:eastAsia="맑은 고딕"/>
                <w:noProof/>
                <w:lang w:eastAsia="fr-FR"/>
              </w:rPr>
            </w:pPr>
          </w:p>
        </w:tc>
        <w:tc>
          <w:tcPr>
            <w:tcW w:w="2500" w:type="pct"/>
          </w:tcPr>
          <w:p w14:paraId="3E60146A" w14:textId="77777777" w:rsidR="00A201A2" w:rsidRPr="00A201A2" w:rsidRDefault="00A201A2">
            <w:pPr>
              <w:suppressAutoHyphens/>
              <w:rPr>
                <w:noProof/>
                <w:lang w:eastAsia="fr-FR"/>
              </w:rPr>
            </w:pPr>
            <w:r>
              <w:rPr>
                <w:rFonts w:eastAsia="맑은 고딕"/>
                <w:b/>
                <w:noProof/>
                <w:lang w:eastAsia="fr-FR"/>
              </w:rPr>
              <w:t>Suomi/Finland</w:t>
            </w:r>
          </w:p>
          <w:p w14:paraId="06FBF15D" w14:textId="77777777" w:rsidR="00A201A2" w:rsidRDefault="00A201A2">
            <w:pPr>
              <w:tabs>
                <w:tab w:val="left" w:pos="-720"/>
              </w:tabs>
              <w:suppressAutoHyphens/>
              <w:rPr>
                <w:rFonts w:eastAsia="맑은 고딕"/>
                <w:noProof/>
                <w:lang w:eastAsia="fr-FR"/>
              </w:rPr>
            </w:pPr>
            <w:r>
              <w:rPr>
                <w:rFonts w:eastAsia="맑은 고딕"/>
                <w:noProof/>
                <w:lang w:eastAsia="fr-FR"/>
              </w:rPr>
              <w:t xml:space="preserve">Celltrion Healthcare Finland Oy. </w:t>
            </w:r>
          </w:p>
          <w:p w14:paraId="0A6741DF" w14:textId="65DB3583" w:rsidR="00A201A2" w:rsidRDefault="00A201A2">
            <w:pPr>
              <w:suppressAutoHyphens/>
              <w:autoSpaceDE w:val="0"/>
              <w:autoSpaceDN w:val="0"/>
              <w:adjustRightInd w:val="0"/>
              <w:rPr>
                <w:rFonts w:eastAsia="맑은 고딕"/>
                <w:noProof/>
                <w:lang w:eastAsia="fr-FR"/>
              </w:rPr>
            </w:pPr>
            <w:r>
              <w:rPr>
                <w:rFonts w:eastAsia="맑은 고딕"/>
                <w:noProof/>
                <w:lang w:eastAsia="fr-FR"/>
              </w:rPr>
              <w:t>Tel: +358 29 170 7755</w:t>
            </w:r>
          </w:p>
          <w:p w14:paraId="0341DBEB" w14:textId="77777777" w:rsidR="00054925" w:rsidRDefault="00054925" w:rsidP="00054925">
            <w:pPr>
              <w:autoSpaceDE w:val="0"/>
              <w:autoSpaceDN w:val="0"/>
              <w:adjustRightInd w:val="0"/>
              <w:rPr>
                <w:rFonts w:eastAsia="맑은 고딕"/>
                <w:noProof/>
                <w:lang w:eastAsia="ko-KR"/>
              </w:rPr>
            </w:pPr>
            <w:r w:rsidRPr="006F04E0">
              <w:rPr>
                <w:rFonts w:eastAsia="맑은 고딕"/>
                <w:noProof/>
                <w:lang w:eastAsia="ko-KR"/>
              </w:rPr>
              <w:t>contact_fi@celltrionhc.com</w:t>
            </w:r>
          </w:p>
          <w:p w14:paraId="3656CD9F" w14:textId="77777777" w:rsidR="00A201A2" w:rsidRDefault="00A201A2">
            <w:pPr>
              <w:suppressAutoHyphens/>
              <w:autoSpaceDE w:val="0"/>
              <w:autoSpaceDN w:val="0"/>
              <w:adjustRightInd w:val="0"/>
              <w:rPr>
                <w:rFonts w:eastAsia="맑은 고딕"/>
                <w:noProof/>
                <w:lang w:val="sv-SE" w:eastAsia="ko-KR"/>
              </w:rPr>
            </w:pPr>
          </w:p>
        </w:tc>
      </w:tr>
      <w:tr w:rsidR="00BA5882" w:rsidRPr="00A128A0" w14:paraId="393C4BCC" w14:textId="77777777">
        <w:trPr>
          <w:cantSplit/>
        </w:trPr>
        <w:tc>
          <w:tcPr>
            <w:tcW w:w="2500" w:type="pct"/>
          </w:tcPr>
          <w:p w14:paraId="1A2C2490" w14:textId="77777777" w:rsidR="00A201A2" w:rsidRDefault="00A201A2">
            <w:pPr>
              <w:tabs>
                <w:tab w:val="left" w:pos="-720"/>
              </w:tabs>
              <w:suppressAutoHyphens/>
              <w:rPr>
                <w:b/>
                <w:bCs/>
                <w:noProof/>
                <w:lang w:val="es-ES" w:eastAsia="fr-FR"/>
              </w:rPr>
            </w:pPr>
            <w:r>
              <w:rPr>
                <w:b/>
                <w:noProof/>
              </w:rPr>
              <w:t>Κύπρος</w:t>
            </w:r>
          </w:p>
          <w:p w14:paraId="2A835E1D" w14:textId="77777777" w:rsidR="00A201A2" w:rsidRDefault="00A201A2">
            <w:pPr>
              <w:tabs>
                <w:tab w:val="left" w:pos="-720"/>
              </w:tabs>
              <w:suppressAutoHyphens/>
              <w:rPr>
                <w:rFonts w:eastAsia="맑은 고딕"/>
                <w:noProof/>
                <w:lang w:val="es-ES" w:eastAsia="ko-KR"/>
              </w:rPr>
            </w:pPr>
            <w:r>
              <w:rPr>
                <w:rFonts w:eastAsia="맑은 고딕"/>
                <w:noProof/>
                <w:lang w:val="es-ES" w:eastAsia="fr-FR"/>
              </w:rPr>
              <w:t>C.A. Papaellinas Ltd</w:t>
            </w:r>
          </w:p>
          <w:p w14:paraId="0CBE420D" w14:textId="77777777" w:rsidR="00A201A2" w:rsidRDefault="00A201A2">
            <w:pPr>
              <w:suppressAutoHyphens/>
              <w:autoSpaceDE w:val="0"/>
              <w:autoSpaceDN w:val="0"/>
              <w:adjustRightInd w:val="0"/>
              <w:rPr>
                <w:rFonts w:eastAsia="맑은 고딕"/>
                <w:b/>
                <w:bCs/>
                <w:lang w:eastAsia="fr-FR"/>
              </w:rPr>
            </w:pPr>
            <w:r>
              <w:rPr>
                <w:noProof/>
              </w:rPr>
              <w:t>Τηλ</w:t>
            </w:r>
            <w:r w:rsidRPr="00A201A2">
              <w:rPr>
                <w:noProof/>
              </w:rPr>
              <w:t xml:space="preserve">: </w:t>
            </w:r>
            <w:r>
              <w:rPr>
                <w:rFonts w:eastAsia="맑은 고딕"/>
                <w:noProof/>
                <w:lang w:eastAsia="fr-FR"/>
              </w:rPr>
              <w:t>+357 22741741</w:t>
            </w:r>
          </w:p>
          <w:p w14:paraId="79F89315" w14:textId="77777777" w:rsidR="00A201A2" w:rsidRDefault="00A201A2">
            <w:pPr>
              <w:suppressAutoHyphens/>
              <w:autoSpaceDE w:val="0"/>
              <w:autoSpaceDN w:val="0"/>
              <w:adjustRightInd w:val="0"/>
              <w:rPr>
                <w:rFonts w:eastAsia="맑은 고딕"/>
                <w:b/>
                <w:noProof/>
                <w:lang w:eastAsia="fr-FR"/>
              </w:rPr>
            </w:pPr>
          </w:p>
        </w:tc>
        <w:tc>
          <w:tcPr>
            <w:tcW w:w="2500" w:type="pct"/>
          </w:tcPr>
          <w:p w14:paraId="502F8CD5" w14:textId="77777777" w:rsidR="00A201A2" w:rsidRPr="00E919A5" w:rsidRDefault="00A201A2">
            <w:pPr>
              <w:tabs>
                <w:tab w:val="left" w:pos="-720"/>
              </w:tabs>
              <w:suppressAutoHyphens/>
              <w:rPr>
                <w:b/>
                <w:noProof/>
                <w:lang w:val="sv-SE" w:eastAsia="fr-FR"/>
              </w:rPr>
            </w:pPr>
            <w:r w:rsidRPr="00E919A5">
              <w:rPr>
                <w:b/>
                <w:noProof/>
                <w:lang w:val="sv-SE"/>
              </w:rPr>
              <w:t>Sverige</w:t>
            </w:r>
          </w:p>
          <w:p w14:paraId="1BD8ADFC" w14:textId="77777777" w:rsidR="006E7FA8" w:rsidRDefault="006E7FA8" w:rsidP="006E7FA8">
            <w:pPr>
              <w:keepNext/>
              <w:rPr>
                <w:rFonts w:eastAsia="맑은 고딕"/>
                <w:lang w:val="sv-SE" w:eastAsia="ko-KR"/>
              </w:rPr>
            </w:pPr>
            <w:r w:rsidRPr="00E919A5">
              <w:rPr>
                <w:lang w:val="sv-SE"/>
              </w:rPr>
              <w:t>Celltrion Sweden AB</w:t>
            </w:r>
          </w:p>
          <w:p w14:paraId="67F8ECC4" w14:textId="670C4F37" w:rsidR="00054925" w:rsidRPr="00E919A5" w:rsidRDefault="00054925" w:rsidP="00E919A5">
            <w:pPr>
              <w:tabs>
                <w:tab w:val="left" w:pos="-720"/>
              </w:tabs>
              <w:suppressAutoHyphens/>
              <w:rPr>
                <w:rFonts w:eastAsia="맑은 고딕"/>
                <w:noProof/>
                <w:lang w:eastAsia="ko-KR"/>
              </w:rPr>
            </w:pPr>
            <w:r w:rsidRPr="002738BB">
              <w:rPr>
                <w:rFonts w:eastAsia="맑은 고딕"/>
                <w:noProof/>
                <w:lang w:eastAsia="fr-FR"/>
              </w:rPr>
              <w:t>Tel: +46 8 80 11 77</w:t>
            </w:r>
          </w:p>
          <w:p w14:paraId="62975C29" w14:textId="25A0C280" w:rsidR="006E7FA8" w:rsidRPr="00E919A5" w:rsidRDefault="00054925" w:rsidP="006E7FA8">
            <w:pPr>
              <w:keepNext/>
              <w:rPr>
                <w:lang w:val="sv-SE"/>
              </w:rPr>
            </w:pPr>
            <w:r>
              <w:rPr>
                <w:rFonts w:eastAsia="맑은 고딕" w:hint="eastAsia"/>
                <w:lang w:val="sv-SE" w:eastAsia="ko-KR"/>
              </w:rPr>
              <w:t>C</w:t>
            </w:r>
            <w:r w:rsidR="006E7FA8" w:rsidRPr="00E919A5">
              <w:rPr>
                <w:lang w:val="sv-SE"/>
              </w:rPr>
              <w:t>ontact_se@celltrionhc.com</w:t>
            </w:r>
          </w:p>
          <w:p w14:paraId="0AF6CDA8" w14:textId="77777777" w:rsidR="00A201A2" w:rsidRPr="00E919A5" w:rsidRDefault="00A201A2">
            <w:pPr>
              <w:tabs>
                <w:tab w:val="left" w:pos="-720"/>
              </w:tabs>
              <w:suppressAutoHyphens/>
              <w:rPr>
                <w:rFonts w:eastAsia="맑은 고딕"/>
                <w:b/>
                <w:noProof/>
                <w:lang w:val="sv-SE" w:eastAsia="fr-FR"/>
              </w:rPr>
            </w:pPr>
          </w:p>
        </w:tc>
      </w:tr>
      <w:tr w:rsidR="00BA5882" w:rsidRPr="001879E9" w14:paraId="682609AC" w14:textId="77777777">
        <w:trPr>
          <w:cantSplit/>
          <w:trHeight w:val="1030"/>
        </w:trPr>
        <w:tc>
          <w:tcPr>
            <w:tcW w:w="2500" w:type="pct"/>
          </w:tcPr>
          <w:p w14:paraId="59349990" w14:textId="77777777" w:rsidR="00A201A2" w:rsidRDefault="00A201A2">
            <w:pPr>
              <w:suppressAutoHyphens/>
              <w:rPr>
                <w:rFonts w:eastAsia="맑은 고딕"/>
                <w:b/>
                <w:noProof/>
                <w:lang w:eastAsia="fr-FR"/>
              </w:rPr>
            </w:pPr>
            <w:r>
              <w:rPr>
                <w:rFonts w:eastAsia="맑은 고딕"/>
                <w:b/>
                <w:noProof/>
                <w:lang w:eastAsia="fr-FR"/>
              </w:rPr>
              <w:t>Latvija</w:t>
            </w:r>
          </w:p>
          <w:p w14:paraId="51F41BF4" w14:textId="77777777" w:rsidR="00A201A2" w:rsidRDefault="00A201A2">
            <w:pPr>
              <w:tabs>
                <w:tab w:val="left" w:pos="-720"/>
              </w:tabs>
              <w:suppressAutoHyphens/>
              <w:rPr>
                <w:rFonts w:eastAsia="맑은 고딕"/>
                <w:noProof/>
                <w:lang w:eastAsia="fr-FR"/>
              </w:rPr>
            </w:pPr>
            <w:r>
              <w:rPr>
                <w:rFonts w:eastAsia="맑은 고딕"/>
                <w:noProof/>
                <w:lang w:eastAsia="fr-FR"/>
              </w:rPr>
              <w:t>Celltrion Healthcare Hungary Kft.</w:t>
            </w:r>
          </w:p>
          <w:p w14:paraId="1CE13609" w14:textId="77777777" w:rsidR="00A201A2" w:rsidRDefault="00A201A2">
            <w:pPr>
              <w:suppressAutoHyphens/>
              <w:autoSpaceDE w:val="0"/>
              <w:autoSpaceDN w:val="0"/>
              <w:adjustRightInd w:val="0"/>
              <w:rPr>
                <w:rFonts w:eastAsia="맑은 고딕"/>
                <w:noProof/>
                <w:lang w:eastAsia="fr-FR"/>
              </w:rPr>
            </w:pPr>
            <w:r>
              <w:rPr>
                <w:rFonts w:eastAsia="맑은 고딕"/>
                <w:noProof/>
                <w:lang w:eastAsia="fr-FR"/>
              </w:rPr>
              <w:t>Tālr.: +36 1 231 0493</w:t>
            </w:r>
          </w:p>
          <w:p w14:paraId="06E2BB4F" w14:textId="77777777" w:rsidR="00A201A2" w:rsidRDefault="00A201A2">
            <w:pPr>
              <w:suppressAutoHyphens/>
              <w:autoSpaceDE w:val="0"/>
              <w:autoSpaceDN w:val="0"/>
              <w:adjustRightInd w:val="0"/>
              <w:rPr>
                <w:rFonts w:eastAsia="맑은 고딕"/>
                <w:b/>
                <w:bCs/>
                <w:lang w:eastAsia="fr-FR"/>
              </w:rPr>
            </w:pPr>
          </w:p>
        </w:tc>
        <w:tc>
          <w:tcPr>
            <w:tcW w:w="2500" w:type="pct"/>
          </w:tcPr>
          <w:p w14:paraId="4338767A" w14:textId="77777777" w:rsidR="00A201A2" w:rsidRDefault="00A201A2">
            <w:pPr>
              <w:tabs>
                <w:tab w:val="left" w:pos="-720"/>
              </w:tabs>
              <w:suppressAutoHyphens/>
              <w:rPr>
                <w:rFonts w:eastAsia="맑은 고딕"/>
                <w:b/>
                <w:noProof/>
                <w:lang w:eastAsia="fr-FR"/>
              </w:rPr>
            </w:pPr>
          </w:p>
        </w:tc>
      </w:tr>
    </w:tbl>
    <w:p w14:paraId="7CC8179F" w14:textId="77777777" w:rsidR="00A201A2" w:rsidRDefault="00A201A2" w:rsidP="00DD705A"/>
    <w:p w14:paraId="03B30BC9" w14:textId="27D04A88" w:rsidR="009C4816" w:rsidRPr="009A3CB5" w:rsidRDefault="00296A74" w:rsidP="009A3CB5">
      <w:pPr>
        <w:rPr>
          <w:b/>
          <w:bCs/>
          <w:lang w:val="fi-FI"/>
        </w:rPr>
      </w:pPr>
      <w:r w:rsidRPr="009A3CB5">
        <w:rPr>
          <w:b/>
          <w:bCs/>
          <w:lang w:val="fi-FI"/>
        </w:rPr>
        <w:t xml:space="preserve">Tämä pakkausseloste on tarkistettu viimeksi </w:t>
      </w:r>
    </w:p>
    <w:p w14:paraId="06D7D672" w14:textId="77777777" w:rsidR="009C4816" w:rsidRPr="009A3CB5" w:rsidRDefault="009C4816" w:rsidP="00DD705A">
      <w:pPr>
        <w:rPr>
          <w:b/>
          <w:bCs/>
          <w:lang w:val="fi-FI"/>
        </w:rPr>
      </w:pPr>
    </w:p>
    <w:p w14:paraId="214A7E46" w14:textId="77777777" w:rsidR="003B7027" w:rsidRPr="009A3CB5" w:rsidRDefault="00296A74" w:rsidP="009A3CB5">
      <w:pPr>
        <w:rPr>
          <w:b/>
          <w:bCs/>
          <w:lang w:val="fi-FI"/>
        </w:rPr>
      </w:pPr>
      <w:r w:rsidRPr="009A3CB5">
        <w:rPr>
          <w:b/>
          <w:bCs/>
          <w:lang w:val="fi-FI"/>
        </w:rPr>
        <w:t>Muut tiedonlähteet</w:t>
      </w:r>
    </w:p>
    <w:p w14:paraId="41DB195F" w14:textId="4250C320" w:rsidR="003B7027" w:rsidRPr="0028514E" w:rsidRDefault="00296A74" w:rsidP="006E5F9A">
      <w:pPr>
        <w:pStyle w:val="a4"/>
        <w:ind w:left="0"/>
      </w:pPr>
      <w:r w:rsidRPr="0028514E">
        <w:t xml:space="preserve">Lisätietoa tästä lääkevalmisteesta on saatavilla Euroopan lääkeviraston verkkosivulla </w:t>
      </w:r>
      <w:r w:rsidR="00084035">
        <w:fldChar w:fldCharType="begin"/>
      </w:r>
      <w:r w:rsidR="00084035">
        <w:instrText>HYPERLINK "https://www.ema.europa.eu."</w:instrText>
      </w:r>
      <w:r w:rsidR="00084035">
        <w:fldChar w:fldCharType="separate"/>
      </w:r>
      <w:r w:rsidR="00084035" w:rsidRPr="004A4AD4">
        <w:rPr>
          <w:rStyle w:val="ad"/>
        </w:rPr>
        <w:t>http</w:t>
      </w:r>
      <w:r w:rsidR="00084035" w:rsidRPr="004A4AD4">
        <w:rPr>
          <w:rStyle w:val="ad"/>
          <w:rFonts w:eastAsia="맑은 고딕" w:hint="eastAsia"/>
          <w:lang w:eastAsia="ko-KR"/>
        </w:rPr>
        <w:t>s</w:t>
      </w:r>
      <w:r w:rsidR="00084035" w:rsidRPr="004A4AD4">
        <w:rPr>
          <w:rStyle w:val="ad"/>
        </w:rPr>
        <w:t>://www.ema.europa.eu.</w:t>
      </w:r>
      <w:r w:rsidR="00084035">
        <w:fldChar w:fldCharType="end"/>
      </w:r>
    </w:p>
    <w:p w14:paraId="0D693877" w14:textId="77777777" w:rsidR="005F1B37" w:rsidRPr="00CA43F5" w:rsidRDefault="005F1B37" w:rsidP="006E5F9A">
      <w:pPr>
        <w:rPr>
          <w:b/>
          <w:color w:val="231F20"/>
          <w:lang w:val="fi-FI"/>
        </w:rPr>
      </w:pPr>
    </w:p>
    <w:p w14:paraId="3A22E8B3" w14:textId="17970E1B" w:rsidR="00C05DD7" w:rsidRPr="00CA43F5" w:rsidRDefault="005F1B37" w:rsidP="00C05DD7">
      <w:pPr>
        <w:keepNext/>
        <w:ind w:left="567" w:hanging="567"/>
        <w:rPr>
          <w:b/>
          <w:bCs/>
          <w:lang w:val="fi-FI"/>
        </w:rPr>
      </w:pPr>
      <w:r w:rsidRPr="00CA43F5">
        <w:rPr>
          <w:b/>
          <w:color w:val="231F20"/>
          <w:lang w:val="fi-FI"/>
        </w:rPr>
        <w:br w:type="page"/>
      </w:r>
      <w:r w:rsidR="00C05DD7" w:rsidRPr="00CA43F5">
        <w:rPr>
          <w:b/>
          <w:bCs/>
          <w:lang w:val="fi-FI"/>
        </w:rPr>
        <w:lastRenderedPageBreak/>
        <w:t>7.</w:t>
      </w:r>
      <w:r w:rsidR="00C05DD7" w:rsidRPr="00CA43F5">
        <w:rPr>
          <w:b/>
          <w:bCs/>
          <w:lang w:val="fi-FI"/>
        </w:rPr>
        <w:tab/>
        <w:t>Käyttöohjeet</w:t>
      </w:r>
    </w:p>
    <w:p w14:paraId="6845F89C" w14:textId="77777777" w:rsidR="00C05DD7" w:rsidRPr="00CA43F5" w:rsidRDefault="00C05DD7" w:rsidP="00C05DD7">
      <w:pPr>
        <w:keepNext/>
        <w:rPr>
          <w:lang w:val="fi-FI"/>
        </w:rPr>
      </w:pPr>
      <w:bookmarkStart w:id="45" w:name="_Hlk146283329"/>
    </w:p>
    <w:p w14:paraId="5F5F73DA" w14:textId="24D0C246" w:rsidR="00C05DD7" w:rsidRPr="00CA43F5" w:rsidRDefault="00C05DD7" w:rsidP="00C05DD7">
      <w:pPr>
        <w:rPr>
          <w:lang w:val="fi-FI"/>
        </w:rPr>
      </w:pPr>
      <w:r w:rsidRPr="00CA43F5">
        <w:rPr>
          <w:color w:val="231F20"/>
          <w:lang w:val="fi-FI"/>
        </w:rPr>
        <w:t xml:space="preserve">Lue esitäytetyn Avtozma-ruiskun pakkauksessa olevat käyttöohjeet ennen kuin aloitat ruiskun käyttämisen ja aina uuden pakkauksen yhteydessä, ja noudata niitä. Ohjeissa voi olla uutta tietoa. Ennen kuin käytät Avtozma-valmistetta ensimmäistä kertaa, varmista, että terveydenhuollon ammattilainen on opastanut sinulle, miten </w:t>
      </w:r>
      <w:r w:rsidR="00223242" w:rsidRPr="00CA43F5">
        <w:rPr>
          <w:color w:val="231F20"/>
          <w:lang w:val="fi-FI"/>
        </w:rPr>
        <w:t>sitä</w:t>
      </w:r>
      <w:r w:rsidRPr="00CA43F5">
        <w:rPr>
          <w:color w:val="231F20"/>
          <w:lang w:val="fi-FI"/>
        </w:rPr>
        <w:t xml:space="preserve"> käytetään oikein.</w:t>
      </w:r>
    </w:p>
    <w:bookmarkEnd w:id="45"/>
    <w:p w14:paraId="6BEC63B6" w14:textId="77777777" w:rsidR="00C05DD7" w:rsidRPr="00CA43F5" w:rsidRDefault="00C05DD7" w:rsidP="00C05DD7">
      <w:pPr>
        <w:rPr>
          <w:lang w:val="fi-FI"/>
        </w:rPr>
      </w:pPr>
    </w:p>
    <w:p w14:paraId="66BA1E13" w14:textId="5F9FE1A3" w:rsidR="00C05DD7" w:rsidRDefault="00223242" w:rsidP="00C05DD7">
      <w:pPr>
        <w:keepNext/>
        <w:rPr>
          <w:b/>
          <w:bCs/>
        </w:rPr>
      </w:pPr>
      <w:proofErr w:type="spellStart"/>
      <w:r>
        <w:rPr>
          <w:b/>
          <w:bCs/>
        </w:rPr>
        <w:t>Tärkeää</w:t>
      </w:r>
      <w:proofErr w:type="spellEnd"/>
      <w:r>
        <w:rPr>
          <w:b/>
          <w:bCs/>
        </w:rPr>
        <w:t xml:space="preserve"> </w:t>
      </w:r>
      <w:proofErr w:type="spellStart"/>
      <w:r>
        <w:rPr>
          <w:b/>
          <w:bCs/>
        </w:rPr>
        <w:t>tietoa</w:t>
      </w:r>
      <w:proofErr w:type="spellEnd"/>
    </w:p>
    <w:p w14:paraId="0D209A8B" w14:textId="77777777" w:rsidR="00C05DD7" w:rsidRPr="00C017D7" w:rsidRDefault="00C05DD7" w:rsidP="00C05DD7">
      <w:pPr>
        <w:keepNext/>
        <w:rPr>
          <w:b/>
          <w:bCs/>
        </w:rPr>
      </w:pPr>
    </w:p>
    <w:p w14:paraId="36D57F98" w14:textId="49A4EE5D" w:rsidR="00C05DD7" w:rsidRPr="00CA43F5" w:rsidRDefault="00223242" w:rsidP="00CA43F5">
      <w:pPr>
        <w:widowControl w:val="0"/>
        <w:numPr>
          <w:ilvl w:val="2"/>
          <w:numId w:val="36"/>
        </w:numPr>
        <w:tabs>
          <w:tab w:val="left" w:pos="567"/>
        </w:tabs>
        <w:ind w:left="567" w:hanging="567"/>
        <w:rPr>
          <w:rFonts w:eastAsia="Times New Roman"/>
          <w:bCs/>
          <w:lang w:val="fi-FI"/>
        </w:rPr>
      </w:pPr>
      <w:r w:rsidRPr="00CA43F5">
        <w:rPr>
          <w:b/>
          <w:bCs/>
          <w:lang w:val="fi-FI"/>
        </w:rPr>
        <w:t>Älä</w:t>
      </w:r>
      <w:r w:rsidRPr="00CA43F5">
        <w:rPr>
          <w:lang w:val="fi-FI"/>
        </w:rPr>
        <w:t xml:space="preserve"> poista esitäytetyn ruiskun suojakorkkia ennen kuin olet valmis pistämään Avtozma-pistoksen.</w:t>
      </w:r>
    </w:p>
    <w:p w14:paraId="378CAD6E" w14:textId="278AE934" w:rsidR="00C05DD7" w:rsidRPr="003B2CC6" w:rsidRDefault="00223242" w:rsidP="00076A2C">
      <w:pPr>
        <w:widowControl w:val="0"/>
        <w:numPr>
          <w:ilvl w:val="2"/>
          <w:numId w:val="36"/>
        </w:numPr>
        <w:tabs>
          <w:tab w:val="left" w:pos="567"/>
        </w:tabs>
        <w:ind w:left="567" w:hanging="567"/>
        <w:rPr>
          <w:bCs/>
          <w:lang w:val="fi-FI"/>
          <w:rPrChange w:id="46" w:author="만든 이">
            <w:rPr>
              <w:bCs/>
            </w:rPr>
          </w:rPrChange>
        </w:rPr>
      </w:pPr>
      <w:r w:rsidRPr="003B2CC6">
        <w:rPr>
          <w:b/>
          <w:bCs/>
          <w:lang w:val="fi-FI"/>
          <w:rPrChange w:id="47" w:author="만든 이">
            <w:rPr>
              <w:b/>
              <w:bCs/>
            </w:rPr>
          </w:rPrChange>
        </w:rPr>
        <w:t xml:space="preserve">Älä koskaan yritä </w:t>
      </w:r>
      <w:r w:rsidR="0005547E" w:rsidRPr="003B2CC6">
        <w:rPr>
          <w:b/>
          <w:bCs/>
          <w:lang w:val="fi-FI"/>
          <w:rPrChange w:id="48" w:author="만든 이">
            <w:rPr>
              <w:b/>
              <w:bCs/>
            </w:rPr>
          </w:rPrChange>
        </w:rPr>
        <w:t>irrottaa</w:t>
      </w:r>
      <w:r w:rsidRPr="003B2CC6">
        <w:rPr>
          <w:b/>
          <w:bCs/>
          <w:lang w:val="fi-FI"/>
          <w:rPrChange w:id="49" w:author="만든 이">
            <w:rPr>
              <w:b/>
              <w:bCs/>
            </w:rPr>
          </w:rPrChange>
        </w:rPr>
        <w:t xml:space="preserve"> esitäytetyn ruiskun osia.</w:t>
      </w:r>
    </w:p>
    <w:p w14:paraId="2AE62C2E" w14:textId="2B0F1DBC" w:rsidR="00C05DD7" w:rsidRPr="00223242" w:rsidRDefault="00223242" w:rsidP="00CA43F5">
      <w:pPr>
        <w:widowControl w:val="0"/>
        <w:numPr>
          <w:ilvl w:val="2"/>
          <w:numId w:val="36"/>
        </w:numPr>
        <w:tabs>
          <w:tab w:val="left" w:pos="567"/>
        </w:tabs>
        <w:ind w:left="567" w:hanging="567"/>
        <w:rPr>
          <w:rFonts w:eastAsia="Times New Roman"/>
          <w:bCs/>
        </w:rPr>
      </w:pPr>
      <w:proofErr w:type="spellStart"/>
      <w:r w:rsidRPr="00CA43F5">
        <w:rPr>
          <w:b/>
          <w:bCs/>
        </w:rPr>
        <w:t>Älä</w:t>
      </w:r>
      <w:proofErr w:type="spellEnd"/>
      <w:r w:rsidRPr="00223242">
        <w:t xml:space="preserve"> </w:t>
      </w:r>
      <w:proofErr w:type="spellStart"/>
      <w:r w:rsidRPr="00223242">
        <w:t>käytä</w:t>
      </w:r>
      <w:proofErr w:type="spellEnd"/>
      <w:r w:rsidRPr="00223242">
        <w:t xml:space="preserve"> </w:t>
      </w:r>
      <w:proofErr w:type="spellStart"/>
      <w:r w:rsidRPr="00223242">
        <w:t>ruiskua</w:t>
      </w:r>
      <w:proofErr w:type="spellEnd"/>
      <w:r w:rsidRPr="00223242">
        <w:t xml:space="preserve"> </w:t>
      </w:r>
      <w:proofErr w:type="spellStart"/>
      <w:r w:rsidRPr="00223242">
        <w:t>uudelleen</w:t>
      </w:r>
      <w:proofErr w:type="spellEnd"/>
      <w:r w:rsidRPr="00223242">
        <w:t>.</w:t>
      </w:r>
    </w:p>
    <w:p w14:paraId="5B39A4AB" w14:textId="223D5EE9" w:rsidR="00C05DD7" w:rsidRPr="00223242" w:rsidRDefault="00223242" w:rsidP="00CA43F5">
      <w:pPr>
        <w:widowControl w:val="0"/>
        <w:numPr>
          <w:ilvl w:val="2"/>
          <w:numId w:val="36"/>
        </w:numPr>
        <w:tabs>
          <w:tab w:val="left" w:pos="567"/>
        </w:tabs>
        <w:ind w:left="567" w:hanging="567"/>
        <w:rPr>
          <w:rFonts w:eastAsia="Times New Roman"/>
        </w:rPr>
      </w:pPr>
      <w:proofErr w:type="spellStart"/>
      <w:r w:rsidRPr="00223242">
        <w:rPr>
          <w:b/>
        </w:rPr>
        <w:t>Älä</w:t>
      </w:r>
      <w:proofErr w:type="spellEnd"/>
      <w:r w:rsidRPr="00223242">
        <w:rPr>
          <w:b/>
        </w:rPr>
        <w:t xml:space="preserve"> </w:t>
      </w:r>
      <w:proofErr w:type="spellStart"/>
      <w:r w:rsidRPr="00CA43F5">
        <w:rPr>
          <w:bCs/>
        </w:rPr>
        <w:t>ravista</w:t>
      </w:r>
      <w:proofErr w:type="spellEnd"/>
      <w:r w:rsidRPr="00CA43F5">
        <w:rPr>
          <w:bCs/>
        </w:rPr>
        <w:t xml:space="preserve"> </w:t>
      </w:r>
      <w:proofErr w:type="spellStart"/>
      <w:r w:rsidRPr="00CA43F5">
        <w:rPr>
          <w:bCs/>
        </w:rPr>
        <w:t>esitäytettyä</w:t>
      </w:r>
      <w:proofErr w:type="spellEnd"/>
      <w:r w:rsidRPr="00CA43F5">
        <w:rPr>
          <w:bCs/>
        </w:rPr>
        <w:t xml:space="preserve"> </w:t>
      </w:r>
      <w:proofErr w:type="spellStart"/>
      <w:r w:rsidRPr="00CA43F5">
        <w:rPr>
          <w:bCs/>
        </w:rPr>
        <w:t>ruiskua</w:t>
      </w:r>
      <w:proofErr w:type="spellEnd"/>
      <w:r w:rsidRPr="00CA43F5">
        <w:rPr>
          <w:bCs/>
        </w:rPr>
        <w:t>.</w:t>
      </w:r>
    </w:p>
    <w:p w14:paraId="4D6F2AA8" w14:textId="5D6C4B6A" w:rsidR="00C05DD7" w:rsidRPr="00CA43F5" w:rsidRDefault="00223242" w:rsidP="00CA43F5">
      <w:pPr>
        <w:widowControl w:val="0"/>
        <w:numPr>
          <w:ilvl w:val="2"/>
          <w:numId w:val="36"/>
        </w:numPr>
        <w:tabs>
          <w:tab w:val="left" w:pos="567"/>
        </w:tabs>
        <w:ind w:left="567" w:hanging="567"/>
        <w:rPr>
          <w:rFonts w:eastAsia="Times New Roman"/>
          <w:lang w:val="fi-FI"/>
        </w:rPr>
      </w:pPr>
      <w:r w:rsidRPr="00CA43F5">
        <w:rPr>
          <w:b/>
          <w:lang w:val="fi-FI"/>
        </w:rPr>
        <w:t xml:space="preserve">Älä </w:t>
      </w:r>
      <w:r w:rsidRPr="00CA43F5">
        <w:rPr>
          <w:bCs/>
          <w:lang w:val="fi-FI"/>
        </w:rPr>
        <w:t xml:space="preserve">käytä esitäytettyä ruiskua, jos se on pudonnut tai </w:t>
      </w:r>
      <w:r w:rsidR="00EF533A" w:rsidRPr="00CA43F5">
        <w:rPr>
          <w:bCs/>
          <w:lang w:val="fi-FI"/>
        </w:rPr>
        <w:t>viallinen</w:t>
      </w:r>
      <w:r w:rsidRPr="00CA43F5">
        <w:rPr>
          <w:bCs/>
          <w:lang w:val="fi-FI"/>
        </w:rPr>
        <w:t>.</w:t>
      </w:r>
    </w:p>
    <w:p w14:paraId="3CC45682" w14:textId="35E0F1C7" w:rsidR="00C05DD7" w:rsidRPr="00CA43F5" w:rsidRDefault="00223242" w:rsidP="00CA43F5">
      <w:pPr>
        <w:widowControl w:val="0"/>
        <w:numPr>
          <w:ilvl w:val="2"/>
          <w:numId w:val="36"/>
        </w:numPr>
        <w:tabs>
          <w:tab w:val="left" w:pos="567"/>
        </w:tabs>
        <w:ind w:left="567" w:hanging="567"/>
        <w:rPr>
          <w:rFonts w:eastAsia="Times New Roman"/>
          <w:bCs/>
        </w:rPr>
      </w:pPr>
      <w:r w:rsidRPr="00CA43F5">
        <w:rPr>
          <w:b/>
          <w:color w:val="231F20"/>
          <w:lang w:val="fi-FI"/>
        </w:rPr>
        <w:t>Yliherkkyysreaktioita (anafylaksiaa) koskeva ohje potilaalle</w:t>
      </w:r>
      <w:r w:rsidR="00C05DD7" w:rsidRPr="00CA43F5">
        <w:rPr>
          <w:b/>
          <w:lang w:val="fi-FI"/>
        </w:rPr>
        <w:t>:</w:t>
      </w:r>
      <w:r w:rsidRPr="00CA43F5">
        <w:rPr>
          <w:b/>
          <w:lang w:val="fi-FI"/>
        </w:rPr>
        <w:t xml:space="preserve"> </w:t>
      </w:r>
      <w:r w:rsidRPr="00CA43F5">
        <w:rPr>
          <w:color w:val="231F20"/>
          <w:lang w:val="fi-FI"/>
        </w:rPr>
        <w:t xml:space="preserve">Hakeudu välittömästi ensiapuun hoitoon, jos sinulle missä tahansa vaiheessa pistoksen jälkeen ilmaantuu seuraavia oireita: ihottuma, kutina, vilunväristykset, kasvojen, huulten, kielen tai nielun turpoaminen, rintakipu, hengityksen vinkuminen, hengitys- tai nielemisvaikeudet tai huimaus tai heikotuksen tunne. </w:t>
      </w:r>
      <w:proofErr w:type="spellStart"/>
      <w:r w:rsidRPr="00223242">
        <w:rPr>
          <w:color w:val="231F20"/>
        </w:rPr>
        <w:t>Myös</w:t>
      </w:r>
      <w:proofErr w:type="spellEnd"/>
      <w:r w:rsidRPr="00223242">
        <w:rPr>
          <w:color w:val="231F20"/>
        </w:rPr>
        <w:t xml:space="preserve"> </w:t>
      </w:r>
      <w:proofErr w:type="spellStart"/>
      <w:r w:rsidRPr="00223242">
        <w:rPr>
          <w:color w:val="231F20"/>
        </w:rPr>
        <w:t>muita</w:t>
      </w:r>
      <w:proofErr w:type="spellEnd"/>
      <w:r w:rsidRPr="00223242">
        <w:rPr>
          <w:color w:val="231F20"/>
        </w:rPr>
        <w:t xml:space="preserve"> </w:t>
      </w:r>
      <w:proofErr w:type="spellStart"/>
      <w:r w:rsidRPr="00223242">
        <w:rPr>
          <w:color w:val="231F20"/>
        </w:rPr>
        <w:t>oireita</w:t>
      </w:r>
      <w:proofErr w:type="spellEnd"/>
      <w:r w:rsidRPr="00223242">
        <w:rPr>
          <w:color w:val="231F20"/>
        </w:rPr>
        <w:t xml:space="preserve"> </w:t>
      </w:r>
      <w:proofErr w:type="spellStart"/>
      <w:r w:rsidRPr="00223242">
        <w:rPr>
          <w:color w:val="231F20"/>
        </w:rPr>
        <w:t>voi</w:t>
      </w:r>
      <w:proofErr w:type="spellEnd"/>
      <w:r w:rsidRPr="00223242">
        <w:rPr>
          <w:color w:val="231F20"/>
        </w:rPr>
        <w:t xml:space="preserve"> </w:t>
      </w:r>
      <w:proofErr w:type="spellStart"/>
      <w:r w:rsidRPr="00223242">
        <w:rPr>
          <w:color w:val="231F20"/>
        </w:rPr>
        <w:t>esiintyä</w:t>
      </w:r>
      <w:proofErr w:type="spellEnd"/>
      <w:r w:rsidRPr="00223242">
        <w:rPr>
          <w:color w:val="231F20"/>
        </w:rPr>
        <w:t>.</w:t>
      </w:r>
    </w:p>
    <w:p w14:paraId="53378D25" w14:textId="77777777" w:rsidR="00C05DD7" w:rsidRPr="00C017D7" w:rsidRDefault="00C05DD7" w:rsidP="00223242">
      <w:pPr>
        <w:tabs>
          <w:tab w:val="left" w:pos="567"/>
        </w:tabs>
      </w:pPr>
    </w:p>
    <w:p w14:paraId="152EAF11" w14:textId="177A60C0" w:rsidR="00C05DD7" w:rsidRPr="00C017D7" w:rsidRDefault="00C05DD7" w:rsidP="00CA43F5">
      <w:pPr>
        <w:keepNext/>
        <w:tabs>
          <w:tab w:val="left" w:pos="567"/>
        </w:tabs>
        <w:rPr>
          <w:b/>
          <w:bCs/>
        </w:rPr>
      </w:pPr>
      <w:proofErr w:type="spellStart"/>
      <w:r w:rsidRPr="00C017D7">
        <w:rPr>
          <w:rFonts w:hint="eastAsia"/>
          <w:b/>
          <w:bCs/>
        </w:rPr>
        <w:t>Avtozma</w:t>
      </w:r>
      <w:r w:rsidR="00223242">
        <w:rPr>
          <w:b/>
          <w:bCs/>
        </w:rPr>
        <w:t>-valmisteen</w:t>
      </w:r>
      <w:proofErr w:type="spellEnd"/>
      <w:r w:rsidR="00223242">
        <w:rPr>
          <w:b/>
          <w:bCs/>
        </w:rPr>
        <w:t xml:space="preserve"> </w:t>
      </w:r>
      <w:proofErr w:type="spellStart"/>
      <w:r w:rsidR="00223242">
        <w:rPr>
          <w:b/>
          <w:bCs/>
        </w:rPr>
        <w:t>säilyttäminen</w:t>
      </w:r>
      <w:proofErr w:type="spellEnd"/>
    </w:p>
    <w:p w14:paraId="3AFEE4DC" w14:textId="77777777" w:rsidR="00C05DD7" w:rsidRPr="00C017D7" w:rsidRDefault="00C05DD7" w:rsidP="00CA43F5">
      <w:pPr>
        <w:keepNext/>
        <w:tabs>
          <w:tab w:val="left" w:pos="567"/>
        </w:tabs>
        <w:rPr>
          <w:b/>
          <w:bCs/>
        </w:rPr>
      </w:pPr>
    </w:p>
    <w:p w14:paraId="5F9EA2E9" w14:textId="123174D7" w:rsidR="00C05DD7" w:rsidRPr="00CA43F5" w:rsidRDefault="004A2644" w:rsidP="00CA43F5">
      <w:pPr>
        <w:pStyle w:val="a"/>
        <w:numPr>
          <w:ilvl w:val="0"/>
          <w:numId w:val="55"/>
        </w:numPr>
        <w:tabs>
          <w:tab w:val="left" w:pos="567"/>
        </w:tabs>
        <w:ind w:left="567" w:hanging="567"/>
        <w:contextualSpacing/>
      </w:pPr>
      <w:r w:rsidRPr="00A26AA2">
        <w:rPr>
          <w:color w:val="231F20"/>
        </w:rPr>
        <w:t>Pidä käyttämätön esitäytetty ruisku alkuperäisessä kartonkikotelossa jääkaapissa 2–8</w:t>
      </w:r>
      <w:r w:rsidR="00AC31DF">
        <w:rPr>
          <w:color w:val="231F20"/>
        </w:rPr>
        <w:t> </w:t>
      </w:r>
      <w:r w:rsidRPr="00A26AA2">
        <w:rPr>
          <w:color w:val="231F20"/>
        </w:rPr>
        <w:t xml:space="preserve">°C:n lämpötilassa. </w:t>
      </w:r>
      <w:r w:rsidRPr="00A26AA2">
        <w:rPr>
          <w:b/>
          <w:color w:val="231F20"/>
        </w:rPr>
        <w:t xml:space="preserve">Ei saa </w:t>
      </w:r>
      <w:r w:rsidRPr="00A26AA2">
        <w:rPr>
          <w:color w:val="231F20"/>
        </w:rPr>
        <w:t>jäätyä.</w:t>
      </w:r>
    </w:p>
    <w:p w14:paraId="63DCC06D" w14:textId="04011648" w:rsidR="00C05DD7" w:rsidRPr="00A26AA2" w:rsidRDefault="004A2644" w:rsidP="00CA43F5">
      <w:pPr>
        <w:pStyle w:val="a"/>
        <w:numPr>
          <w:ilvl w:val="0"/>
          <w:numId w:val="55"/>
        </w:numPr>
        <w:tabs>
          <w:tab w:val="left" w:pos="567"/>
        </w:tabs>
        <w:ind w:left="567" w:hanging="567"/>
        <w:contextualSpacing/>
      </w:pPr>
      <w:r w:rsidRPr="00A26AA2">
        <w:t>Kun Avtozma on otettu jääkaapista, se voidaan säilyttää enintään 30</w:t>
      </w:r>
      <w:r w:rsidR="00AC31DF">
        <w:t> </w:t>
      </w:r>
      <w:r w:rsidRPr="00A26AA2">
        <w:t>°C:n lämpötilassa korkeintaan 3</w:t>
      </w:r>
      <w:r w:rsidR="00D57B7D">
        <w:t> </w:t>
      </w:r>
      <w:r w:rsidRPr="00A26AA2">
        <w:t>viikkoa.</w:t>
      </w:r>
      <w:r w:rsidR="00C05DD7" w:rsidRPr="00A26AA2">
        <w:t xml:space="preserve"> </w:t>
      </w:r>
      <w:r w:rsidRPr="00A26AA2">
        <w:t xml:space="preserve">Jos Avtozma-valmistetta ei käytetä </w:t>
      </w:r>
      <w:r w:rsidR="0077607F">
        <w:t>3</w:t>
      </w:r>
      <w:r w:rsidRPr="00A26AA2">
        <w:t> viikon kuluessa, se on hävitettävä.</w:t>
      </w:r>
      <w:r w:rsidR="00C05DD7" w:rsidRPr="00A26AA2">
        <w:t xml:space="preserve"> </w:t>
      </w:r>
    </w:p>
    <w:p w14:paraId="26CEF223" w14:textId="0C7767C5" w:rsidR="00C05DD7" w:rsidRPr="00C017D7" w:rsidRDefault="004A2644" w:rsidP="00CA43F5">
      <w:pPr>
        <w:pStyle w:val="a"/>
        <w:numPr>
          <w:ilvl w:val="0"/>
          <w:numId w:val="55"/>
        </w:numPr>
        <w:tabs>
          <w:tab w:val="left" w:pos="567"/>
        </w:tabs>
        <w:ind w:left="567" w:hanging="567"/>
        <w:contextualSpacing/>
      </w:pPr>
      <w:r w:rsidRPr="00CA43F5">
        <w:rPr>
          <w:bCs/>
        </w:rPr>
        <w:t>Pidä</w:t>
      </w:r>
      <w:r w:rsidRPr="0028514E">
        <w:t xml:space="preserve"> esitäytetty </w:t>
      </w:r>
      <w:r>
        <w:t>ruisku poissa</w:t>
      </w:r>
      <w:r w:rsidRPr="0028514E">
        <w:t xml:space="preserve"> suora</w:t>
      </w:r>
      <w:r>
        <w:t>sta</w:t>
      </w:r>
      <w:r w:rsidRPr="0028514E">
        <w:t xml:space="preserve"> auringonvalo</w:t>
      </w:r>
      <w:r>
        <w:t>sta</w:t>
      </w:r>
      <w:r w:rsidRPr="0028514E">
        <w:t>.</w:t>
      </w:r>
    </w:p>
    <w:p w14:paraId="6C2BE8B4" w14:textId="4D609CBE" w:rsidR="00C05DD7" w:rsidRPr="00C017D7" w:rsidRDefault="004A2644" w:rsidP="00CA43F5">
      <w:pPr>
        <w:pStyle w:val="a"/>
        <w:numPr>
          <w:ilvl w:val="0"/>
          <w:numId w:val="55"/>
        </w:numPr>
        <w:tabs>
          <w:tab w:val="left" w:pos="567"/>
        </w:tabs>
        <w:ind w:left="567" w:hanging="567"/>
        <w:contextualSpacing/>
      </w:pPr>
      <w:r>
        <w:rPr>
          <w:b/>
          <w:bCs/>
        </w:rPr>
        <w:t xml:space="preserve">Älä </w:t>
      </w:r>
      <w:r>
        <w:t xml:space="preserve">poista esitäytettyä ruiskua </w:t>
      </w:r>
      <w:r w:rsidR="00A26AA2">
        <w:t>alkuperäisestä kartonkikotelosta</w:t>
      </w:r>
      <w:r>
        <w:t xml:space="preserve"> säilytyksen aikana.</w:t>
      </w:r>
    </w:p>
    <w:p w14:paraId="6B8B1FDF" w14:textId="32609C0E" w:rsidR="00C05DD7" w:rsidRPr="004A2644" w:rsidRDefault="004A2644" w:rsidP="00CA43F5">
      <w:pPr>
        <w:pStyle w:val="a"/>
        <w:numPr>
          <w:ilvl w:val="0"/>
          <w:numId w:val="55"/>
        </w:numPr>
        <w:tabs>
          <w:tab w:val="left" w:pos="567"/>
        </w:tabs>
        <w:ind w:left="567" w:hanging="567"/>
        <w:contextualSpacing/>
        <w:rPr>
          <w:bCs/>
        </w:rPr>
      </w:pPr>
      <w:r w:rsidRPr="0028514E">
        <w:rPr>
          <w:b/>
        </w:rPr>
        <w:t xml:space="preserve">Älä </w:t>
      </w:r>
      <w:r w:rsidRPr="00CA43F5">
        <w:rPr>
          <w:bCs/>
        </w:rPr>
        <w:t xml:space="preserve">jätä esitäytettyä </w:t>
      </w:r>
      <w:r>
        <w:rPr>
          <w:bCs/>
        </w:rPr>
        <w:t>ruiskua</w:t>
      </w:r>
      <w:r w:rsidRPr="00CA43F5">
        <w:rPr>
          <w:bCs/>
        </w:rPr>
        <w:t xml:space="preserve"> ilman valvontaa.</w:t>
      </w:r>
    </w:p>
    <w:p w14:paraId="5352B029" w14:textId="777AC123" w:rsidR="00C05DD7" w:rsidRPr="00C017D7" w:rsidRDefault="004A2644" w:rsidP="00CA43F5">
      <w:pPr>
        <w:pStyle w:val="a"/>
        <w:numPr>
          <w:ilvl w:val="0"/>
          <w:numId w:val="55"/>
        </w:numPr>
        <w:tabs>
          <w:tab w:val="left" w:pos="567"/>
        </w:tabs>
        <w:ind w:left="567" w:hanging="567"/>
        <w:contextualSpacing/>
      </w:pPr>
      <w:r>
        <w:t>Ei lasten ulottuville. Sisältää pieniä osia.</w:t>
      </w:r>
    </w:p>
    <w:p w14:paraId="0D909217" w14:textId="161A3528" w:rsidR="00C05DD7" w:rsidRPr="00CA43F5" w:rsidRDefault="00C05DD7" w:rsidP="006E6BB4">
      <w:pPr>
        <w:keepNext/>
        <w:rPr>
          <w:b/>
          <w:bCs/>
          <w:lang w:val="fi-FI"/>
        </w:rPr>
      </w:pPr>
      <w:r w:rsidRPr="00CA43F5">
        <w:rPr>
          <w:bCs/>
          <w:lang w:val="fi-FI" w:eastAsia="ko-KR"/>
        </w:rPr>
        <w:br w:type="page"/>
      </w:r>
      <w:r w:rsidR="004D7483" w:rsidRPr="00CA43F5">
        <w:rPr>
          <w:b/>
          <w:bCs/>
          <w:lang w:val="fi-FI"/>
        </w:rPr>
        <w:lastRenderedPageBreak/>
        <w:t>Esitäytetyn ruiskun osat</w:t>
      </w:r>
      <w:r w:rsidRPr="00CA43F5">
        <w:rPr>
          <w:b/>
          <w:bCs/>
          <w:lang w:val="fi-FI"/>
        </w:rPr>
        <w:t xml:space="preserve"> </w:t>
      </w:r>
      <w:r w:rsidR="004D7483" w:rsidRPr="00CA43F5">
        <w:rPr>
          <w:b/>
          <w:bCs/>
          <w:lang w:val="fi-FI"/>
        </w:rPr>
        <w:t>(ks. kuva A)</w:t>
      </w:r>
    </w:p>
    <w:p w14:paraId="68991A5D" w14:textId="77777777" w:rsidR="00F00146" w:rsidRPr="000E2E2D" w:rsidRDefault="00F00146" w:rsidP="00F00146">
      <w:pPr>
        <w:keepNext/>
        <w:rPr>
          <w:lang w:val="fi-FI"/>
        </w:rPr>
      </w:pPr>
    </w:p>
    <w:p w14:paraId="7E4129D5" w14:textId="4E63F5A8" w:rsidR="00C05DD7" w:rsidRPr="00CA43F5" w:rsidRDefault="00ED6BAC" w:rsidP="00CA43F5">
      <w:pPr>
        <w:spacing w:line="200" w:lineRule="atLeast"/>
        <w:ind w:left="316"/>
        <w:rPr>
          <w:lang w:val="fi-FI"/>
        </w:rPr>
      </w:pPr>
      <w:r>
        <w:rPr>
          <w:noProof/>
          <w:lang w:val="en-US" w:eastAsia="ko-KR"/>
        </w:rPr>
        <mc:AlternateContent>
          <mc:Choice Requires="wps">
            <w:drawing>
              <wp:anchor distT="0" distB="0" distL="114300" distR="114300" simplePos="0" relativeHeight="251658292" behindDoc="0" locked="0" layoutInCell="1" allowOverlap="1" wp14:anchorId="78F38481" wp14:editId="6C71AD54">
                <wp:simplePos x="0" y="0"/>
                <wp:positionH relativeFrom="column">
                  <wp:posOffset>4728845</wp:posOffset>
                </wp:positionH>
                <wp:positionV relativeFrom="paragraph">
                  <wp:posOffset>2682875</wp:posOffset>
                </wp:positionV>
                <wp:extent cx="1228725" cy="636270"/>
                <wp:effectExtent l="0" t="0" r="9525" b="0"/>
                <wp:wrapNone/>
                <wp:docPr id="30071669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36270"/>
                        </a:xfrm>
                        <a:prstGeom prst="rect">
                          <a:avLst/>
                        </a:prstGeom>
                        <a:noFill/>
                        <a:ln>
                          <a:noFill/>
                        </a:ln>
                      </wps:spPr>
                      <wps:txbx>
                        <w:txbxContent>
                          <w:p w14:paraId="39D0BF7E" w14:textId="36B6B1C9" w:rsidR="00F00146" w:rsidRPr="00E92F5A" w:rsidRDefault="00ED6BAC" w:rsidP="00F00146">
                            <w:pPr>
                              <w:pStyle w:val="StyleArialNarrow8pts"/>
                              <w:jc w:val="center"/>
                              <w:rPr>
                                <w:rFonts w:ascii="Arial" w:hAnsi="Arial" w:cs="Arial"/>
                                <w:b/>
                                <w:bCs/>
                                <w:sz w:val="32"/>
                                <w:szCs w:val="32"/>
                                <w:lang w:val="en-US"/>
                              </w:rPr>
                            </w:pPr>
                            <w:r>
                              <w:rPr>
                                <w:rFonts w:ascii="Arial" w:hAnsi="Arial" w:cs="Arial"/>
                                <w:b/>
                                <w:bCs/>
                                <w:sz w:val="32"/>
                                <w:szCs w:val="32"/>
                                <w:lang w:val="en-US"/>
                              </w:rPr>
                              <w:t>Neula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38481" id="_x0000_t202" coordsize="21600,21600" o:spt="202" path="m,l,21600r21600,l21600,xe">
                <v:stroke joinstyle="miter"/>
                <v:path gradientshapeok="t" o:connecttype="rect"/>
              </v:shapetype>
              <v:shape id="Text Box 133" o:spid="_x0000_s1026" type="#_x0000_t202" style="position:absolute;left:0;text-align:left;margin-left:372.35pt;margin-top:211.25pt;width:96.75pt;height:50.1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" filled="f" stroked="f">
                <v:textbox inset=".5mm,.5mm,.5mm,.5mm">
                  <w:txbxContent>
                    <w:p w14:paraId="39D0BF7E" w14:textId="36B6B1C9" w:rsidR="00F00146" w:rsidRPr="00E92F5A" w:rsidRDefault="00ED6BAC" w:rsidP="00F00146">
                      <w:pPr>
                        <w:pStyle w:val="StyleArialNarrow8pts"/>
                        <w:jc w:val="center"/>
                        <w:rPr>
                          <w:rFonts w:ascii="Arial" w:hAnsi="Arial" w:cs="Arial"/>
                          <w:b/>
                          <w:bCs/>
                          <w:sz w:val="32"/>
                          <w:szCs w:val="32"/>
                          <w:lang w:val="en-US"/>
                        </w:rPr>
                      </w:pPr>
                      <w:r>
                        <w:rPr>
                          <w:rFonts w:ascii="Arial" w:hAnsi="Arial" w:cs="Arial"/>
                          <w:b/>
                          <w:bCs/>
                          <w:sz w:val="32"/>
                          <w:szCs w:val="32"/>
                          <w:lang w:val="en-US"/>
                        </w:rPr>
                        <w:t>Neula</w:t>
                      </w:r>
                    </w:p>
                  </w:txbxContent>
                </v:textbox>
              </v:shape>
            </w:pict>
          </mc:Fallback>
        </mc:AlternateContent>
      </w:r>
      <w:r w:rsidR="00ED3911">
        <w:rPr>
          <w:noProof/>
          <w:lang w:val="en-US" w:eastAsia="ko-KR"/>
        </w:rPr>
        <mc:AlternateContent>
          <mc:Choice Requires="wps">
            <w:drawing>
              <wp:anchor distT="0" distB="0" distL="114300" distR="114300" simplePos="0" relativeHeight="251658293" behindDoc="0" locked="0" layoutInCell="1" allowOverlap="1" wp14:anchorId="4B96F2F5" wp14:editId="199050DA">
                <wp:simplePos x="0" y="0"/>
                <wp:positionH relativeFrom="column">
                  <wp:posOffset>2407230</wp:posOffset>
                </wp:positionH>
                <wp:positionV relativeFrom="paragraph">
                  <wp:posOffset>4325592</wp:posOffset>
                </wp:positionV>
                <wp:extent cx="1190432" cy="715992"/>
                <wp:effectExtent l="0" t="0" r="0" b="8255"/>
                <wp:wrapNone/>
                <wp:docPr id="144783159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432" cy="715992"/>
                        </a:xfrm>
                        <a:prstGeom prst="rect">
                          <a:avLst/>
                        </a:prstGeom>
                        <a:noFill/>
                        <a:ln>
                          <a:noFill/>
                        </a:ln>
                      </wps:spPr>
                      <wps:txbx>
                        <w:txbxContent>
                          <w:p w14:paraId="0CC69863" w14:textId="53FAF237" w:rsidR="00F00146" w:rsidRPr="00E92F5A" w:rsidRDefault="00F00146" w:rsidP="003E711E">
                            <w:pPr>
                              <w:pStyle w:val="StyleArialNarrow8pts"/>
                              <w:jc w:val="center"/>
                              <w:rPr>
                                <w:rFonts w:ascii="Arial" w:hAnsi="Arial" w:cs="Arial"/>
                                <w:b/>
                                <w:bCs/>
                                <w:sz w:val="32"/>
                                <w:szCs w:val="32"/>
                                <w:lang w:val="en-US"/>
                              </w:rPr>
                            </w:pPr>
                            <w:r>
                              <w:rPr>
                                <w:rFonts w:ascii="Arial" w:hAnsi="Arial" w:cs="Arial"/>
                                <w:b/>
                                <w:bCs/>
                                <w:sz w:val="32"/>
                                <w:szCs w:val="32"/>
                                <w:lang w:val="en-US"/>
                              </w:rPr>
                              <w:t>Cap</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6F2F5" id="Text Box 127" o:spid="_x0000_s1027" type="#_x0000_t202" style="position:absolute;left:0;text-align:left;margin-left:189.55pt;margin-top:340.6pt;width:93.75pt;height:56.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" filled="f" stroked="f">
                <v:textbox inset=".5mm,.5mm,.5mm,.5mm">
                  <w:txbxContent>
                    <w:p w14:paraId="0CC69863" w14:textId="53FAF237" w:rsidR="00F00146" w:rsidRPr="00E92F5A" w:rsidRDefault="00F00146" w:rsidP="003E711E">
                      <w:pPr>
                        <w:pStyle w:val="StyleArialNarrow8pts"/>
                        <w:jc w:val="center"/>
                        <w:rPr>
                          <w:rFonts w:ascii="Arial" w:hAnsi="Arial" w:cs="Arial"/>
                          <w:b/>
                          <w:bCs/>
                          <w:sz w:val="32"/>
                          <w:szCs w:val="32"/>
                          <w:lang w:val="en-US"/>
                        </w:rPr>
                      </w:pPr>
                      <w:r>
                        <w:rPr>
                          <w:rFonts w:ascii="Arial" w:hAnsi="Arial" w:cs="Arial"/>
                          <w:b/>
                          <w:bCs/>
                          <w:sz w:val="32"/>
                          <w:szCs w:val="32"/>
                          <w:lang w:val="en-US"/>
                        </w:rPr>
                        <w:t>Cap</w:t>
                      </w:r>
                    </w:p>
                  </w:txbxContent>
                </v:textbox>
              </v:shape>
            </w:pict>
          </mc:Fallback>
        </mc:AlternateContent>
      </w:r>
      <w:r w:rsidR="0086716C">
        <w:rPr>
          <w:noProof/>
          <w:lang w:val="en-US" w:eastAsia="ko-KR"/>
        </w:rPr>
        <mc:AlternateContent>
          <mc:Choice Requires="wps">
            <w:drawing>
              <wp:anchor distT="0" distB="0" distL="114300" distR="114300" simplePos="0" relativeHeight="251658287" behindDoc="0" locked="0" layoutInCell="1" allowOverlap="1" wp14:anchorId="7AA515EC" wp14:editId="1AC8AE0B">
                <wp:simplePos x="0" y="0"/>
                <wp:positionH relativeFrom="column">
                  <wp:posOffset>2499995</wp:posOffset>
                </wp:positionH>
                <wp:positionV relativeFrom="paragraph">
                  <wp:posOffset>1728470</wp:posOffset>
                </wp:positionV>
                <wp:extent cx="1019175" cy="536575"/>
                <wp:effectExtent l="0" t="0" r="0" b="0"/>
                <wp:wrapNone/>
                <wp:docPr id="178841189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36575"/>
                        </a:xfrm>
                        <a:prstGeom prst="rect">
                          <a:avLst/>
                        </a:prstGeom>
                        <a:noFill/>
                        <a:ln>
                          <a:noFill/>
                        </a:ln>
                      </wps:spPr>
                      <wps:txbx>
                        <w:txbxContent>
                          <w:p w14:paraId="03193B21" w14:textId="1E9067E0" w:rsidR="00F00146" w:rsidRPr="00E92F5A" w:rsidRDefault="00F00146" w:rsidP="00CA43F5">
                            <w:pPr>
                              <w:pStyle w:val="StyleArialNarrow8pts"/>
                              <w:shd w:val="clear" w:color="auto" w:fill="FFFFFF"/>
                              <w:jc w:val="center"/>
                              <w:rPr>
                                <w:rFonts w:ascii="Arial" w:hAnsi="Arial" w:cs="Arial"/>
                                <w:b/>
                                <w:bCs/>
                                <w:sz w:val="32"/>
                                <w:szCs w:val="32"/>
                                <w:lang w:val="en-US"/>
                              </w:rPr>
                            </w:pPr>
                            <w:r w:rsidRPr="00F00146">
                              <w:rPr>
                                <w:rFonts w:ascii="Arial" w:hAnsi="Arial" w:cs="Arial"/>
                                <w:b/>
                                <w:bCs/>
                                <w:sz w:val="32"/>
                                <w:szCs w:val="32"/>
                                <w:lang w:val="en-US"/>
                              </w:rPr>
                              <w:t>Valkoinen sormituki</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515EC" id="Text Box 135" o:spid="_x0000_s1028" type="#_x0000_t202" style="position:absolute;left:0;text-align:left;margin-left:196.85pt;margin-top:136.1pt;width:80.25pt;height:42.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" filled="f" stroked="f">
                <v:textbox inset=".5mm,.5mm,.5mm,.5mm">
                  <w:txbxContent>
                    <w:p w14:paraId="03193B21" w14:textId="1E9067E0" w:rsidR="00F00146" w:rsidRPr="00E92F5A" w:rsidRDefault="00F00146" w:rsidP="00CA43F5">
                      <w:pPr>
                        <w:pStyle w:val="StyleArialNarrow8pts"/>
                        <w:shd w:val="clear" w:color="auto" w:fill="FFFFFF"/>
                        <w:jc w:val="center"/>
                        <w:rPr>
                          <w:rFonts w:ascii="Arial" w:hAnsi="Arial" w:cs="Arial"/>
                          <w:b/>
                          <w:bCs/>
                          <w:sz w:val="32"/>
                          <w:szCs w:val="32"/>
                          <w:lang w:val="en-US"/>
                        </w:rPr>
                      </w:pPr>
                      <w:r w:rsidRPr="00F00146">
                        <w:rPr>
                          <w:rFonts w:ascii="Arial" w:hAnsi="Arial" w:cs="Arial"/>
                          <w:b/>
                          <w:bCs/>
                          <w:sz w:val="32"/>
                          <w:szCs w:val="32"/>
                          <w:lang w:val="en-US"/>
                        </w:rPr>
                        <w:t>Valkoinen sormituki</w:t>
                      </w:r>
                    </w:p>
                  </w:txbxContent>
                </v:textbox>
              </v:shape>
            </w:pict>
          </mc:Fallback>
        </mc:AlternateContent>
      </w:r>
      <w:r w:rsidR="0086716C">
        <w:rPr>
          <w:noProof/>
          <w:lang w:val="en-US" w:eastAsia="ko-KR"/>
        </w:rPr>
        <mc:AlternateContent>
          <mc:Choice Requires="wps">
            <w:drawing>
              <wp:anchor distT="0" distB="0" distL="114300" distR="114300" simplePos="0" relativeHeight="251658288" behindDoc="0" locked="0" layoutInCell="1" allowOverlap="1" wp14:anchorId="21DB71AF" wp14:editId="353C7DA1">
                <wp:simplePos x="0" y="0"/>
                <wp:positionH relativeFrom="column">
                  <wp:posOffset>2223770</wp:posOffset>
                </wp:positionH>
                <wp:positionV relativeFrom="paragraph">
                  <wp:posOffset>2505075</wp:posOffset>
                </wp:positionV>
                <wp:extent cx="1562100" cy="636270"/>
                <wp:effectExtent l="4445" t="0" r="0" b="1905"/>
                <wp:wrapNone/>
                <wp:docPr id="3750351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0D35C" w14:textId="4B7EA052" w:rsidR="00F00146" w:rsidRPr="00E92F5A" w:rsidRDefault="00F00146" w:rsidP="00CA43F5">
                            <w:pPr>
                              <w:pStyle w:val="StyleArialNarrow8pts"/>
                              <w:shd w:val="clear" w:color="auto" w:fill="FFFFFF"/>
                              <w:jc w:val="center"/>
                              <w:rPr>
                                <w:rFonts w:ascii="Arial" w:hAnsi="Arial" w:cs="Arial"/>
                                <w:b/>
                                <w:bCs/>
                                <w:sz w:val="32"/>
                                <w:szCs w:val="32"/>
                                <w:lang w:val="en-US"/>
                              </w:rPr>
                            </w:pPr>
                            <w:r w:rsidRPr="00F00146">
                              <w:rPr>
                                <w:rFonts w:ascii="Arial" w:hAnsi="Arial" w:cs="Arial"/>
                                <w:b/>
                                <w:bCs/>
                                <w:sz w:val="32"/>
                                <w:szCs w:val="32"/>
                                <w:lang w:val="en-US"/>
                              </w:rPr>
                              <w:t>Tarkistusikkuna</w:t>
                            </w:r>
                          </w:p>
                        </w:txbxContent>
                      </wps:txbx>
                      <wps:bodyPr rot="0" vert="horz" wrap="square" lIns="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B71AF" id="Text Box 39" o:spid="_x0000_s1029" type="#_x0000_t202" style="position:absolute;left:0;text-align:left;margin-left:175.1pt;margin-top:197.25pt;width:123pt;height:50.1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" filled="f" stroked="f">
                <v:textbox inset="0,.5mm,0,.5mm">
                  <w:txbxContent>
                    <w:p w14:paraId="23E0D35C" w14:textId="4B7EA052" w:rsidR="00F00146" w:rsidRPr="00E92F5A" w:rsidRDefault="00F00146" w:rsidP="00CA43F5">
                      <w:pPr>
                        <w:pStyle w:val="StyleArialNarrow8pts"/>
                        <w:shd w:val="clear" w:color="auto" w:fill="FFFFFF"/>
                        <w:jc w:val="center"/>
                        <w:rPr>
                          <w:rFonts w:ascii="Arial" w:hAnsi="Arial" w:cs="Arial"/>
                          <w:b/>
                          <w:bCs/>
                          <w:sz w:val="32"/>
                          <w:szCs w:val="32"/>
                          <w:lang w:val="en-US"/>
                        </w:rPr>
                      </w:pPr>
                      <w:r w:rsidRPr="00F00146">
                        <w:rPr>
                          <w:rFonts w:ascii="Arial" w:hAnsi="Arial" w:cs="Arial"/>
                          <w:b/>
                          <w:bCs/>
                          <w:sz w:val="32"/>
                          <w:szCs w:val="32"/>
                          <w:lang w:val="en-US"/>
                        </w:rPr>
                        <w:t>Tarkistusikkuna</w:t>
                      </w:r>
                    </w:p>
                  </w:txbxContent>
                </v:textbox>
              </v:shape>
            </w:pict>
          </mc:Fallback>
        </mc:AlternateContent>
      </w:r>
      <w:r w:rsidR="0086716C">
        <w:rPr>
          <w:noProof/>
          <w:lang w:val="en-US" w:eastAsia="ko-KR"/>
        </w:rPr>
        <mc:AlternateContent>
          <mc:Choice Requires="wps">
            <w:drawing>
              <wp:anchor distT="0" distB="0" distL="114300" distR="114300" simplePos="0" relativeHeight="251658289" behindDoc="0" locked="0" layoutInCell="1" allowOverlap="1" wp14:anchorId="7466ABD8" wp14:editId="0F74D2B0">
                <wp:simplePos x="0" y="0"/>
                <wp:positionH relativeFrom="column">
                  <wp:posOffset>2328545</wp:posOffset>
                </wp:positionH>
                <wp:positionV relativeFrom="paragraph">
                  <wp:posOffset>3195955</wp:posOffset>
                </wp:positionV>
                <wp:extent cx="1400175" cy="354965"/>
                <wp:effectExtent l="0" t="0" r="0" b="0"/>
                <wp:wrapNone/>
                <wp:docPr id="9327455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54965"/>
                        </a:xfrm>
                        <a:prstGeom prst="rect">
                          <a:avLst/>
                        </a:prstGeom>
                        <a:noFill/>
                        <a:ln>
                          <a:noFill/>
                        </a:ln>
                      </wps:spPr>
                      <wps:txbx>
                        <w:txbxContent>
                          <w:p w14:paraId="74C42588" w14:textId="246DE40F" w:rsidR="00F00146" w:rsidRPr="00E92F5A" w:rsidRDefault="00F00146" w:rsidP="00CA43F5">
                            <w:pPr>
                              <w:pStyle w:val="StyleArialNarrow8pts"/>
                              <w:shd w:val="clear" w:color="auto" w:fill="FFFFFF"/>
                              <w:jc w:val="center"/>
                              <w:rPr>
                                <w:rFonts w:ascii="Arial" w:hAnsi="Arial" w:cs="Arial"/>
                                <w:b/>
                                <w:bCs/>
                                <w:sz w:val="32"/>
                                <w:szCs w:val="32"/>
                                <w:lang w:val="en-US"/>
                              </w:rPr>
                            </w:pPr>
                            <w:r w:rsidRPr="00F00146">
                              <w:rPr>
                                <w:rFonts w:ascii="Arial" w:hAnsi="Arial" w:cs="Arial"/>
                                <w:b/>
                                <w:bCs/>
                                <w:sz w:val="32"/>
                                <w:szCs w:val="32"/>
                                <w:lang w:val="en-US"/>
                              </w:rPr>
                              <w:t>Neulansuojus</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ABD8" id="Text Box 131" o:spid="_x0000_s1030" type="#_x0000_t202" style="position:absolute;left:0;text-align:left;margin-left:183.35pt;margin-top:251.65pt;width:110.25pt;height:27.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" filled="f" stroked="f">
                <v:textbox inset=".5mm,.5mm,.5mm,.5mm">
                  <w:txbxContent>
                    <w:p w14:paraId="74C42588" w14:textId="246DE40F" w:rsidR="00F00146" w:rsidRPr="00E92F5A" w:rsidRDefault="00F00146" w:rsidP="00CA43F5">
                      <w:pPr>
                        <w:pStyle w:val="StyleArialNarrow8pts"/>
                        <w:shd w:val="clear" w:color="auto" w:fill="FFFFFF"/>
                        <w:jc w:val="center"/>
                        <w:rPr>
                          <w:rFonts w:ascii="Arial" w:hAnsi="Arial" w:cs="Arial"/>
                          <w:b/>
                          <w:bCs/>
                          <w:sz w:val="32"/>
                          <w:szCs w:val="32"/>
                          <w:lang w:val="en-US"/>
                        </w:rPr>
                      </w:pPr>
                      <w:r w:rsidRPr="00F00146">
                        <w:rPr>
                          <w:rFonts w:ascii="Arial" w:hAnsi="Arial" w:cs="Arial"/>
                          <w:b/>
                          <w:bCs/>
                          <w:sz w:val="32"/>
                          <w:szCs w:val="32"/>
                          <w:lang w:val="en-US"/>
                        </w:rPr>
                        <w:t>Neulansuojus</w:t>
                      </w:r>
                    </w:p>
                  </w:txbxContent>
                </v:textbox>
              </v:shape>
            </w:pict>
          </mc:Fallback>
        </mc:AlternateContent>
      </w:r>
      <w:r w:rsidR="0086716C">
        <w:rPr>
          <w:noProof/>
          <w:lang w:val="en-US" w:eastAsia="ko-KR"/>
        </w:rPr>
        <mc:AlternateContent>
          <mc:Choice Requires="wps">
            <w:drawing>
              <wp:anchor distT="0" distB="0" distL="114300" distR="114300" simplePos="0" relativeHeight="251658286" behindDoc="0" locked="0" layoutInCell="1" allowOverlap="1" wp14:anchorId="2A46E649" wp14:editId="780BCAB0">
                <wp:simplePos x="0" y="0"/>
                <wp:positionH relativeFrom="column">
                  <wp:posOffset>2328545</wp:posOffset>
                </wp:positionH>
                <wp:positionV relativeFrom="paragraph">
                  <wp:posOffset>868680</wp:posOffset>
                </wp:positionV>
                <wp:extent cx="1301750" cy="763270"/>
                <wp:effectExtent l="0" t="0" r="0" b="0"/>
                <wp:wrapNone/>
                <wp:docPr id="170438979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763270"/>
                        </a:xfrm>
                        <a:prstGeom prst="rect">
                          <a:avLst/>
                        </a:prstGeom>
                        <a:noFill/>
                        <a:ln>
                          <a:noFill/>
                        </a:ln>
                      </wps:spPr>
                      <wps:txbx>
                        <w:txbxContent>
                          <w:p w14:paraId="23F0C492" w14:textId="790BF756" w:rsidR="00F00146" w:rsidRPr="00E92F5A" w:rsidRDefault="00F00146" w:rsidP="003E711E">
                            <w:pPr>
                              <w:pStyle w:val="StyleArialNarrow8pts"/>
                              <w:jc w:val="center"/>
                              <w:rPr>
                                <w:rFonts w:ascii="Arial" w:hAnsi="Arial" w:cs="Arial"/>
                                <w:b/>
                                <w:bCs/>
                                <w:sz w:val="32"/>
                                <w:szCs w:val="32"/>
                                <w:lang w:val="en-US"/>
                              </w:rPr>
                            </w:pPr>
                            <w:r w:rsidRPr="00F00146">
                              <w:rPr>
                                <w:rFonts w:ascii="Arial" w:hAnsi="Arial" w:cs="Arial"/>
                                <w:b/>
                                <w:bCs/>
                                <w:sz w:val="32"/>
                                <w:szCs w:val="32"/>
                                <w:lang w:val="en-US"/>
                              </w:rPr>
                              <w:t>Oranssi mäntä</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6E649" id="Text Box 129" o:spid="_x0000_s1031" type="#_x0000_t202" style="position:absolute;left:0;text-align:left;margin-left:183.35pt;margin-top:68.4pt;width:102.5pt;height:60.1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" filled="f" stroked="f">
                <v:textbox inset=".5mm,.5mm,.5mm,.5mm">
                  <w:txbxContent>
                    <w:p w14:paraId="23F0C492" w14:textId="790BF756" w:rsidR="00F00146" w:rsidRPr="00E92F5A" w:rsidRDefault="00F00146" w:rsidP="003E711E">
                      <w:pPr>
                        <w:pStyle w:val="StyleArialNarrow8pts"/>
                        <w:jc w:val="center"/>
                        <w:rPr>
                          <w:rFonts w:ascii="Arial" w:hAnsi="Arial" w:cs="Arial"/>
                          <w:b/>
                          <w:bCs/>
                          <w:sz w:val="32"/>
                          <w:szCs w:val="32"/>
                          <w:lang w:val="en-US"/>
                        </w:rPr>
                      </w:pPr>
                      <w:r w:rsidRPr="00F00146">
                        <w:rPr>
                          <w:rFonts w:ascii="Arial" w:hAnsi="Arial" w:cs="Arial"/>
                          <w:b/>
                          <w:bCs/>
                          <w:sz w:val="32"/>
                          <w:szCs w:val="32"/>
                          <w:lang w:val="en-US"/>
                        </w:rPr>
                        <w:t>Oranssi mäntä</w:t>
                      </w:r>
                    </w:p>
                  </w:txbxContent>
                </v:textbox>
              </v:shape>
            </w:pict>
          </mc:Fallback>
        </mc:AlternateContent>
      </w:r>
      <w:r w:rsidR="0086716C">
        <w:rPr>
          <w:noProof/>
          <w:lang w:val="en-US" w:eastAsia="ko-KR"/>
        </w:rPr>
        <mc:AlternateContent>
          <mc:Choice Requires="wps">
            <w:drawing>
              <wp:anchor distT="0" distB="0" distL="114300" distR="114300" simplePos="0" relativeHeight="251658291" behindDoc="0" locked="0" layoutInCell="1" allowOverlap="1" wp14:anchorId="312F5175" wp14:editId="7C07444E">
                <wp:simplePos x="0" y="0"/>
                <wp:positionH relativeFrom="column">
                  <wp:posOffset>220980</wp:posOffset>
                </wp:positionH>
                <wp:positionV relativeFrom="paragraph">
                  <wp:posOffset>2800350</wp:posOffset>
                </wp:positionV>
                <wp:extent cx="1117600" cy="636270"/>
                <wp:effectExtent l="0" t="0" r="0" b="0"/>
                <wp:wrapNone/>
                <wp:docPr id="7486182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7707D3A4" w14:textId="346AE2ED" w:rsidR="00F00146" w:rsidRPr="00E92F5A" w:rsidRDefault="00F00146" w:rsidP="00F00146">
                            <w:pPr>
                              <w:pStyle w:val="StyleArialNarrow8pts"/>
                              <w:jc w:val="right"/>
                              <w:rPr>
                                <w:rFonts w:ascii="Arial" w:hAnsi="Arial" w:cs="Arial"/>
                                <w:b/>
                                <w:bCs/>
                                <w:sz w:val="32"/>
                                <w:szCs w:val="32"/>
                                <w:lang w:val="en-US"/>
                              </w:rPr>
                            </w:pPr>
                            <w:r w:rsidRPr="00F00146">
                              <w:rPr>
                                <w:rFonts w:ascii="Arial" w:hAnsi="Arial" w:cs="Arial"/>
                                <w:b/>
                                <w:bCs/>
                                <w:sz w:val="32"/>
                                <w:szCs w:val="32"/>
                                <w:lang w:val="en-US"/>
                              </w:rPr>
                              <w:t>Lääke</w:t>
                            </w:r>
                          </w:p>
                          <w:p w14:paraId="184F2116" w14:textId="6258CA7D" w:rsidR="00F00146" w:rsidRPr="00E92F5A" w:rsidRDefault="00F00146" w:rsidP="00F00146">
                            <w:pPr>
                              <w:pStyle w:val="StyleArialNarrow8pts"/>
                              <w:jc w:val="right"/>
                              <w:rPr>
                                <w:rFonts w:ascii="Arial" w:hAnsi="Arial" w:cs="Arial"/>
                                <w:b/>
                                <w:bCs/>
                                <w:sz w:val="32"/>
                                <w:szCs w:val="32"/>
                                <w:lang w:val="en-US"/>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F5175" id="Text Box 125" o:spid="_x0000_s1032" type="#_x0000_t202" style="position:absolute;left:0;text-align:left;margin-left:17.4pt;margin-top:220.5pt;width:88pt;height:50.1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" filled="f" stroked="f">
                <v:textbox inset=".5mm,.5mm,.5mm,.5mm">
                  <w:txbxContent>
                    <w:p w14:paraId="7707D3A4" w14:textId="346AE2ED" w:rsidR="00F00146" w:rsidRPr="00E92F5A" w:rsidRDefault="00F00146" w:rsidP="00F00146">
                      <w:pPr>
                        <w:pStyle w:val="StyleArialNarrow8pts"/>
                        <w:jc w:val="right"/>
                        <w:rPr>
                          <w:rFonts w:ascii="Arial" w:hAnsi="Arial" w:cs="Arial"/>
                          <w:b/>
                          <w:bCs/>
                          <w:sz w:val="32"/>
                          <w:szCs w:val="32"/>
                          <w:lang w:val="en-US"/>
                        </w:rPr>
                      </w:pPr>
                      <w:r w:rsidRPr="00F00146">
                        <w:rPr>
                          <w:rFonts w:ascii="Arial" w:hAnsi="Arial" w:cs="Arial"/>
                          <w:b/>
                          <w:bCs/>
                          <w:sz w:val="32"/>
                          <w:szCs w:val="32"/>
                          <w:lang w:val="en-US"/>
                        </w:rPr>
                        <w:t>Lääke</w:t>
                      </w:r>
                    </w:p>
                    <w:p w14:paraId="184F2116" w14:textId="6258CA7D" w:rsidR="00F00146" w:rsidRPr="00E92F5A" w:rsidRDefault="00F00146" w:rsidP="00F00146">
                      <w:pPr>
                        <w:pStyle w:val="StyleArialNarrow8pts"/>
                        <w:jc w:val="right"/>
                        <w:rPr>
                          <w:rFonts w:ascii="Arial" w:hAnsi="Arial" w:cs="Arial"/>
                          <w:b/>
                          <w:bCs/>
                          <w:sz w:val="32"/>
                          <w:szCs w:val="32"/>
                          <w:lang w:val="en-US"/>
                        </w:rPr>
                      </w:pPr>
                    </w:p>
                  </w:txbxContent>
                </v:textbox>
              </v:shape>
            </w:pict>
          </mc:Fallback>
        </mc:AlternateContent>
      </w:r>
      <w:r w:rsidR="0086716C">
        <w:rPr>
          <w:noProof/>
          <w:lang w:val="en-US" w:eastAsia="ko-KR"/>
        </w:rPr>
        <mc:AlternateContent>
          <mc:Choice Requires="wps">
            <w:drawing>
              <wp:anchor distT="0" distB="0" distL="114300" distR="114300" simplePos="0" relativeHeight="251658290" behindDoc="0" locked="0" layoutInCell="1" allowOverlap="1" wp14:anchorId="7F54D46F" wp14:editId="304CEC96">
                <wp:simplePos x="0" y="0"/>
                <wp:positionH relativeFrom="column">
                  <wp:posOffset>2437130</wp:posOffset>
                </wp:positionH>
                <wp:positionV relativeFrom="paragraph">
                  <wp:posOffset>3690620</wp:posOffset>
                </wp:positionV>
                <wp:extent cx="1117600" cy="636270"/>
                <wp:effectExtent l="0" t="0" r="0" b="0"/>
                <wp:wrapNone/>
                <wp:docPr id="166898319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2EB51A71" w14:textId="5FCDE683" w:rsidR="00F00146" w:rsidRPr="00E92F5A" w:rsidRDefault="00F00146" w:rsidP="00F00146">
                            <w:pPr>
                              <w:pStyle w:val="StyleArialNarrow8pts"/>
                              <w:jc w:val="center"/>
                              <w:rPr>
                                <w:rFonts w:ascii="Arial" w:hAnsi="Arial" w:cs="Arial"/>
                                <w:b/>
                                <w:bCs/>
                                <w:sz w:val="32"/>
                                <w:szCs w:val="32"/>
                                <w:lang w:val="en-US"/>
                              </w:rPr>
                            </w:pPr>
                            <w:r w:rsidRPr="00F00146">
                              <w:rPr>
                                <w:rFonts w:ascii="Arial" w:hAnsi="Arial" w:cs="Arial"/>
                                <w:b/>
                                <w:bCs/>
                                <w:sz w:val="32"/>
                                <w:szCs w:val="32"/>
                                <w:lang w:val="en-US"/>
                              </w:rPr>
                              <w:t>Neula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4D46F" id="Text Box 123" o:spid="_x0000_s1033" type="#_x0000_t202" style="position:absolute;left:0;text-align:left;margin-left:191.9pt;margin-top:290.6pt;width:88pt;height:50.1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" filled="f" stroked="f">
                <v:textbox inset=".5mm,.5mm,.5mm,.5mm">
                  <w:txbxContent>
                    <w:p w14:paraId="2EB51A71" w14:textId="5FCDE683" w:rsidR="00F00146" w:rsidRPr="00E92F5A" w:rsidRDefault="00F00146" w:rsidP="00F00146">
                      <w:pPr>
                        <w:pStyle w:val="StyleArialNarrow8pts"/>
                        <w:jc w:val="center"/>
                        <w:rPr>
                          <w:rFonts w:ascii="Arial" w:hAnsi="Arial" w:cs="Arial"/>
                          <w:b/>
                          <w:bCs/>
                          <w:sz w:val="32"/>
                          <w:szCs w:val="32"/>
                          <w:lang w:val="en-US"/>
                        </w:rPr>
                      </w:pPr>
                      <w:r w:rsidRPr="00F00146">
                        <w:rPr>
                          <w:rFonts w:ascii="Arial" w:hAnsi="Arial" w:cs="Arial"/>
                          <w:b/>
                          <w:bCs/>
                          <w:sz w:val="32"/>
                          <w:szCs w:val="32"/>
                          <w:lang w:val="en-US"/>
                        </w:rPr>
                        <w:t>Neula</w:t>
                      </w:r>
                    </w:p>
                  </w:txbxContent>
                </v:textbox>
              </v:shape>
            </w:pict>
          </mc:Fallback>
        </mc:AlternateContent>
      </w:r>
      <w:r w:rsidR="0086716C">
        <w:rPr>
          <w:noProof/>
          <w:lang w:val="en-US" w:eastAsia="ko-KR"/>
        </w:rPr>
        <mc:AlternateContent>
          <mc:Choice Requires="wps">
            <w:drawing>
              <wp:anchor distT="0" distB="0" distL="114300" distR="114300" simplePos="0" relativeHeight="251658284" behindDoc="0" locked="0" layoutInCell="1" allowOverlap="1" wp14:anchorId="7CFD598E" wp14:editId="617515F4">
                <wp:simplePos x="0" y="0"/>
                <wp:positionH relativeFrom="column">
                  <wp:posOffset>848360</wp:posOffset>
                </wp:positionH>
                <wp:positionV relativeFrom="paragraph">
                  <wp:posOffset>97790</wp:posOffset>
                </wp:positionV>
                <wp:extent cx="1924685" cy="721360"/>
                <wp:effectExtent l="0" t="0" r="0" b="0"/>
                <wp:wrapNone/>
                <wp:docPr id="130550136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21360"/>
                        </a:xfrm>
                        <a:prstGeom prst="rect">
                          <a:avLst/>
                        </a:prstGeom>
                        <a:noFill/>
                        <a:ln>
                          <a:noFill/>
                        </a:ln>
                      </wps:spPr>
                      <wps:txbx>
                        <w:txbxContent>
                          <w:p w14:paraId="66B1D4F3" w14:textId="5EAC44D7" w:rsidR="00F00146" w:rsidRPr="00E92F5A" w:rsidRDefault="00F00146" w:rsidP="003E711E">
                            <w:pPr>
                              <w:pStyle w:val="StyleArialNarrow8pts"/>
                              <w:jc w:val="center"/>
                              <w:rPr>
                                <w:rFonts w:ascii="Arial" w:hAnsi="Arial" w:cs="Arial"/>
                                <w:b/>
                                <w:bCs/>
                                <w:sz w:val="40"/>
                                <w:szCs w:val="40"/>
                                <w:lang w:val="en-US"/>
                              </w:rPr>
                            </w:pPr>
                            <w:r w:rsidRPr="00F00146">
                              <w:rPr>
                                <w:rFonts w:ascii="Arial" w:hAnsi="Arial" w:cs="Arial"/>
                                <w:b/>
                                <w:bCs/>
                                <w:sz w:val="40"/>
                                <w:szCs w:val="40"/>
                                <w:lang w:val="en-US"/>
                              </w:rPr>
                              <w:t>Ennen käyttöä</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D598E" id="Text Box 121" o:spid="_x0000_s1034" type="#_x0000_t202" style="position:absolute;left:0;text-align:left;margin-left:66.8pt;margin-top:7.7pt;width:151.55pt;height:56.8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" filled="f" stroked="f">
                <v:textbox inset=".5mm,.5mm,.5mm,.5mm">
                  <w:txbxContent>
                    <w:p w14:paraId="66B1D4F3" w14:textId="5EAC44D7" w:rsidR="00F00146" w:rsidRPr="00E92F5A" w:rsidRDefault="00F00146" w:rsidP="003E711E">
                      <w:pPr>
                        <w:pStyle w:val="StyleArialNarrow8pts"/>
                        <w:jc w:val="center"/>
                        <w:rPr>
                          <w:rFonts w:ascii="Arial" w:hAnsi="Arial" w:cs="Arial"/>
                          <w:b/>
                          <w:bCs/>
                          <w:sz w:val="40"/>
                          <w:szCs w:val="40"/>
                          <w:lang w:val="en-US"/>
                        </w:rPr>
                      </w:pPr>
                      <w:r w:rsidRPr="00F00146">
                        <w:rPr>
                          <w:rFonts w:ascii="Arial" w:hAnsi="Arial" w:cs="Arial"/>
                          <w:b/>
                          <w:bCs/>
                          <w:sz w:val="40"/>
                          <w:szCs w:val="40"/>
                          <w:lang w:val="en-US"/>
                        </w:rPr>
                        <w:t>Ennen käyttöä</w:t>
                      </w:r>
                    </w:p>
                  </w:txbxContent>
                </v:textbox>
              </v:shape>
            </w:pict>
          </mc:Fallback>
        </mc:AlternateContent>
      </w:r>
      <w:r w:rsidR="0086716C">
        <w:rPr>
          <w:noProof/>
          <w:lang w:val="en-US" w:eastAsia="ko-KR"/>
        </w:rPr>
        <mc:AlternateContent>
          <mc:Choice Requires="wps">
            <w:drawing>
              <wp:anchor distT="0" distB="0" distL="114300" distR="114300" simplePos="0" relativeHeight="251658285" behindDoc="0" locked="0" layoutInCell="1" allowOverlap="1" wp14:anchorId="1E619107" wp14:editId="02AAE33A">
                <wp:simplePos x="0" y="0"/>
                <wp:positionH relativeFrom="column">
                  <wp:posOffset>3227705</wp:posOffset>
                </wp:positionH>
                <wp:positionV relativeFrom="paragraph">
                  <wp:posOffset>90170</wp:posOffset>
                </wp:positionV>
                <wp:extent cx="1924685" cy="649605"/>
                <wp:effectExtent l="0" t="0" r="0" b="0"/>
                <wp:wrapNone/>
                <wp:docPr id="4883997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wps:spPr>
                      <wps:txbx>
                        <w:txbxContent>
                          <w:p w14:paraId="4F436C28" w14:textId="1F45E1CF" w:rsidR="00F00146" w:rsidRPr="00E92F5A" w:rsidRDefault="00F00146" w:rsidP="003E711E">
                            <w:pPr>
                              <w:pStyle w:val="StyleArialNarrow8pts"/>
                              <w:jc w:val="center"/>
                              <w:rPr>
                                <w:rFonts w:ascii="Arial" w:hAnsi="Arial" w:cs="Arial"/>
                                <w:b/>
                                <w:bCs/>
                                <w:sz w:val="40"/>
                                <w:szCs w:val="40"/>
                                <w:lang w:val="en-US"/>
                              </w:rPr>
                            </w:pPr>
                            <w:r w:rsidRPr="00F00146">
                              <w:rPr>
                                <w:rFonts w:ascii="Arial" w:hAnsi="Arial" w:cs="Arial"/>
                                <w:b/>
                                <w:bCs/>
                                <w:sz w:val="40"/>
                                <w:szCs w:val="40"/>
                                <w:lang w:val="en-US"/>
                              </w:rPr>
                              <w:t>Käytön jälkeen</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19107" id="Text Box 119" o:spid="_x0000_s1035" type="#_x0000_t202" style="position:absolute;left:0;text-align:left;margin-left:254.15pt;margin-top:7.1pt;width:151.55pt;height:51.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" filled="f" stroked="f">
                <v:textbox inset=".5mm,.5mm,.5mm,.5mm">
                  <w:txbxContent>
                    <w:p w14:paraId="4F436C28" w14:textId="1F45E1CF" w:rsidR="00F00146" w:rsidRPr="00E92F5A" w:rsidRDefault="00F00146" w:rsidP="003E711E">
                      <w:pPr>
                        <w:pStyle w:val="StyleArialNarrow8pts"/>
                        <w:jc w:val="center"/>
                        <w:rPr>
                          <w:rFonts w:ascii="Arial" w:hAnsi="Arial" w:cs="Arial"/>
                          <w:b/>
                          <w:bCs/>
                          <w:sz w:val="40"/>
                          <w:szCs w:val="40"/>
                          <w:lang w:val="en-US"/>
                        </w:rPr>
                      </w:pPr>
                      <w:r w:rsidRPr="00F00146">
                        <w:rPr>
                          <w:rFonts w:ascii="Arial" w:hAnsi="Arial" w:cs="Arial"/>
                          <w:b/>
                          <w:bCs/>
                          <w:sz w:val="40"/>
                          <w:szCs w:val="40"/>
                          <w:lang w:val="en-US"/>
                        </w:rPr>
                        <w:t>Käytön jälkeen</w:t>
                      </w:r>
                    </w:p>
                  </w:txbxContent>
                </v:textbox>
              </v:shape>
            </w:pict>
          </mc:Fallback>
        </mc:AlternateContent>
      </w:r>
      <w:r w:rsidR="0086716C">
        <w:rPr>
          <w:rFonts w:eastAsia="Times New Roman"/>
          <w:noProof/>
          <w:sz w:val="20"/>
          <w:szCs w:val="20"/>
          <w:lang w:val="en-US" w:eastAsia="ko-KR"/>
        </w:rPr>
        <w:drawing>
          <wp:inline distT="0" distB="0" distL="0" distR="0" wp14:anchorId="20057783" wp14:editId="23FD555D">
            <wp:extent cx="5454650" cy="5433060"/>
            <wp:effectExtent l="0" t="0" r="0" b="0"/>
            <wp:docPr id="6" name="그림 29"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텍스트, 도표이(가) 표시된 사진&#10;&#10;자동 생성된 설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650" cy="5433060"/>
                    </a:xfrm>
                    <a:prstGeom prst="rect">
                      <a:avLst/>
                    </a:prstGeom>
                    <a:noFill/>
                    <a:ln>
                      <a:noFill/>
                    </a:ln>
                  </pic:spPr>
                </pic:pic>
              </a:graphicData>
            </a:graphic>
          </wp:inline>
        </w:drawing>
      </w:r>
    </w:p>
    <w:p w14:paraId="7A3D4501" w14:textId="33F20421" w:rsidR="00C05DD7" w:rsidRPr="00C017D7" w:rsidRDefault="004D7483" w:rsidP="00C05DD7">
      <w:pPr>
        <w:jc w:val="center"/>
        <w:rPr>
          <w:b/>
          <w:bCs/>
        </w:rPr>
      </w:pPr>
      <w:r>
        <w:rPr>
          <w:b/>
          <w:bCs/>
        </w:rPr>
        <w:t>Kuva</w:t>
      </w:r>
      <w:r w:rsidR="00C05DD7" w:rsidRPr="00C017D7">
        <w:rPr>
          <w:b/>
          <w:bCs/>
        </w:rPr>
        <w:t xml:space="preserve"> A</w:t>
      </w:r>
    </w:p>
    <w:p w14:paraId="15349502" w14:textId="61E31323" w:rsidR="00C05DD7" w:rsidRPr="00C017D7" w:rsidRDefault="00C05DD7" w:rsidP="006E6BB4">
      <w:pPr>
        <w:keepNext/>
        <w:rPr>
          <w:b/>
          <w:bCs/>
        </w:rPr>
      </w:pPr>
      <w:r w:rsidRPr="00C017D7">
        <w:br w:type="page"/>
      </w:r>
      <w:proofErr w:type="spellStart"/>
      <w:r w:rsidR="004D7483">
        <w:rPr>
          <w:b/>
          <w:bCs/>
        </w:rPr>
        <w:lastRenderedPageBreak/>
        <w:t>Pistoksen</w:t>
      </w:r>
      <w:proofErr w:type="spellEnd"/>
      <w:r w:rsidR="004D7483">
        <w:rPr>
          <w:b/>
          <w:bCs/>
        </w:rPr>
        <w:t xml:space="preserve"> </w:t>
      </w:r>
      <w:proofErr w:type="spellStart"/>
      <w:r w:rsidR="004D7483">
        <w:rPr>
          <w:b/>
          <w:bCs/>
        </w:rPr>
        <w:t>valmistelu</w:t>
      </w:r>
      <w:proofErr w:type="spellEnd"/>
    </w:p>
    <w:p w14:paraId="1D4520D5" w14:textId="77777777" w:rsidR="00C05DD7" w:rsidRDefault="00C05DD7" w:rsidP="00C05DD7">
      <w:pPr>
        <w:keepNext/>
      </w:pPr>
    </w:p>
    <w:tbl>
      <w:tblPr>
        <w:tblW w:w="9056" w:type="dxa"/>
        <w:tblInd w:w="18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9C440C" w:rsidRPr="00124F43" w14:paraId="3948D6AE" w14:textId="77777777" w:rsidTr="006E6BB4">
        <w:trPr>
          <w:cantSplit/>
        </w:trPr>
        <w:tc>
          <w:tcPr>
            <w:tcW w:w="3539" w:type="dxa"/>
          </w:tcPr>
          <w:p w14:paraId="00093A37" w14:textId="2C7F3663" w:rsidR="00C05DD7" w:rsidRPr="00E919A5" w:rsidRDefault="00A60945" w:rsidP="00A60945">
            <w:pPr>
              <w:jc w:val="right"/>
              <w:rPr>
                <w:noProof/>
                <w:lang w:val="en-US" w:eastAsia="ko-KR"/>
              </w:rPr>
            </w:pPr>
            <w:bookmarkStart w:id="50" w:name="_Hlk197595710"/>
            <w:r w:rsidRPr="00A60945">
              <w:rPr>
                <w:noProof/>
                <w:lang w:val="en-US" w:eastAsia="ko-KR"/>
              </w:rPr>
              <w:drawing>
                <wp:inline distT="0" distB="0" distL="0" distR="0" wp14:anchorId="2746267E" wp14:editId="7EC522B0">
                  <wp:extent cx="2110105" cy="3205480"/>
                  <wp:effectExtent l="0" t="0" r="4445" b="0"/>
                  <wp:docPr id="104179031"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0105" cy="3205480"/>
                          </a:xfrm>
                          <a:prstGeom prst="rect">
                            <a:avLst/>
                          </a:prstGeom>
                          <a:noFill/>
                          <a:ln>
                            <a:noFill/>
                          </a:ln>
                        </pic:spPr>
                      </pic:pic>
                    </a:graphicData>
                  </a:graphic>
                </wp:inline>
              </w:drawing>
            </w:r>
          </w:p>
          <w:p w14:paraId="7D0AF13F" w14:textId="6C5FCC22" w:rsidR="00C05DD7" w:rsidRDefault="0086716C">
            <w:pPr>
              <w:jc w:val="right"/>
              <w:rPr>
                <w:b/>
                <w:bCs/>
              </w:rPr>
            </w:pPr>
            <w:r>
              <w:rPr>
                <w:b/>
                <w:bCs/>
                <w:noProof/>
                <w:lang w:val="en-US" w:eastAsia="ko-KR"/>
              </w:rPr>
              <mc:AlternateContent>
                <mc:Choice Requires="wps">
                  <w:drawing>
                    <wp:anchor distT="45720" distB="45720" distL="114300" distR="114300" simplePos="0" relativeHeight="251658240" behindDoc="0" locked="1" layoutInCell="1" allowOverlap="1" wp14:anchorId="19F75CDE" wp14:editId="533326AE">
                      <wp:simplePos x="0" y="0"/>
                      <wp:positionH relativeFrom="column">
                        <wp:posOffset>1097915</wp:posOffset>
                      </wp:positionH>
                      <wp:positionV relativeFrom="page">
                        <wp:posOffset>172720</wp:posOffset>
                      </wp:positionV>
                      <wp:extent cx="975360" cy="781685"/>
                      <wp:effectExtent l="2540" t="1270" r="3175" b="0"/>
                      <wp:wrapNone/>
                      <wp:docPr id="2992204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8A45C" w14:textId="223EAD62" w:rsidR="00C05DD7" w:rsidRPr="00F77610" w:rsidRDefault="006801E1" w:rsidP="00C05DD7">
                                  <w:pPr>
                                    <w:rPr>
                                      <w:rFonts w:ascii="Arial" w:hAnsi="Arial" w:cs="Arial"/>
                                      <w:sz w:val="23"/>
                                      <w:szCs w:val="23"/>
                                      <w:lang w:val="es-ES"/>
                                    </w:rPr>
                                  </w:pPr>
                                  <w:r w:rsidRPr="006801E1">
                                    <w:rPr>
                                      <w:rFonts w:ascii="Arial" w:hAnsi="Arial" w:cs="Arial"/>
                                      <w:sz w:val="23"/>
                                      <w:szCs w:val="23"/>
                                      <w:lang w:val="es-ES"/>
                                    </w:rPr>
                                    <w:t>Esitäytetyn ruiskun sisältävä kartonkikotelo</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75CDE" id="Text Box 27" o:spid="_x0000_s1036" type="#_x0000_t202" style="position:absolute;left:0;text-align:left;margin-left:86.45pt;margin-top:13.6pt;width:76.8pt;height:61.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" filled="f" stroked="f">
                      <v:textbox inset="0,,0">
                        <w:txbxContent>
                          <w:p w14:paraId="6228A45C" w14:textId="223EAD62" w:rsidR="00C05DD7" w:rsidRPr="00F77610" w:rsidRDefault="006801E1" w:rsidP="00C05DD7">
                            <w:pPr>
                              <w:rPr>
                                <w:rFonts w:ascii="Arial" w:hAnsi="Arial" w:cs="Arial"/>
                                <w:sz w:val="23"/>
                                <w:szCs w:val="23"/>
                                <w:lang w:val="es-ES"/>
                              </w:rPr>
                            </w:pPr>
                            <w:r w:rsidRPr="006801E1">
                              <w:rPr>
                                <w:rFonts w:ascii="Arial" w:hAnsi="Arial" w:cs="Arial"/>
                                <w:sz w:val="23"/>
                                <w:szCs w:val="23"/>
                                <w:lang w:val="es-ES"/>
                              </w:rPr>
                              <w:t>Esitäytetyn ruiskun sisältävä kartonkikotelo</w:t>
                            </w:r>
                          </w:p>
                        </w:txbxContent>
                      </v:textbox>
                      <w10:wrap anchory="page"/>
                      <w10:anchorlock/>
                    </v:shape>
                  </w:pict>
                </mc:Fallback>
              </mc:AlternateContent>
            </w:r>
            <w:r>
              <w:rPr>
                <w:b/>
                <w:bCs/>
                <w:noProof/>
                <w:lang w:val="en-US" w:eastAsia="ko-KR"/>
              </w:rPr>
              <mc:AlternateContent>
                <mc:Choice Requires="wps">
                  <w:drawing>
                    <wp:anchor distT="45720" distB="45720" distL="114300" distR="114300" simplePos="0" relativeHeight="251658241" behindDoc="0" locked="1" layoutInCell="1" allowOverlap="1" wp14:anchorId="47ED5A87" wp14:editId="703A3310">
                      <wp:simplePos x="0" y="0"/>
                      <wp:positionH relativeFrom="column">
                        <wp:posOffset>1009015</wp:posOffset>
                      </wp:positionH>
                      <wp:positionV relativeFrom="page">
                        <wp:posOffset>1080770</wp:posOffset>
                      </wp:positionV>
                      <wp:extent cx="1024255" cy="618490"/>
                      <wp:effectExtent l="0" t="0" r="4445" b="2540"/>
                      <wp:wrapNone/>
                      <wp:docPr id="13367875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EAF95" w14:textId="6173019A" w:rsidR="00C05DD7" w:rsidRPr="000F787E" w:rsidRDefault="006801E1" w:rsidP="00C05DD7">
                                  <w:pPr>
                                    <w:rPr>
                                      <w:rFonts w:ascii="Arial" w:hAnsi="Arial" w:cs="Arial"/>
                                      <w:spacing w:val="-3"/>
                                      <w:lang w:val="es-ES"/>
                                    </w:rPr>
                                  </w:pPr>
                                  <w:r w:rsidRPr="006801E1">
                                    <w:rPr>
                                      <w:rFonts w:ascii="Arial" w:hAnsi="Arial" w:cs="Arial"/>
                                      <w:spacing w:val="-3"/>
                                      <w:lang w:val="es-ES"/>
                                    </w:rPr>
                                    <w:t>Pumpulituppo tai harsotaitos ja desinfiointipyyhe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D5A87" id="Text Box 28" o:spid="_x0000_s1037" type="#_x0000_t202" style="position:absolute;left:0;text-align:left;margin-left:79.45pt;margin-top:85.1pt;width:80.65pt;height:48.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" filled="f" stroked="f">
                      <v:textbox inset="0,,0">
                        <w:txbxContent>
                          <w:p w14:paraId="233EAF95" w14:textId="6173019A" w:rsidR="00C05DD7" w:rsidRPr="000F787E" w:rsidRDefault="006801E1" w:rsidP="00C05DD7">
                            <w:pPr>
                              <w:rPr>
                                <w:rFonts w:ascii="Arial" w:hAnsi="Arial" w:cs="Arial"/>
                                <w:spacing w:val="-3"/>
                                <w:lang w:val="es-ES"/>
                              </w:rPr>
                            </w:pPr>
                            <w:r w:rsidRPr="006801E1">
                              <w:rPr>
                                <w:rFonts w:ascii="Arial" w:hAnsi="Arial" w:cs="Arial"/>
                                <w:spacing w:val="-3"/>
                                <w:lang w:val="es-ES"/>
                              </w:rPr>
                              <w:t>Pumpulituppo tai harsotaitos ja desinfiointipyyhe</w:t>
                            </w:r>
                          </w:p>
                        </w:txbxContent>
                      </v:textbox>
                      <w10:wrap anchory="page"/>
                      <w10:anchorlock/>
                    </v:shape>
                  </w:pict>
                </mc:Fallback>
              </mc:AlternateContent>
            </w:r>
            <w:r>
              <w:rPr>
                <w:b/>
                <w:bCs/>
                <w:noProof/>
                <w:lang w:val="en-US" w:eastAsia="ko-KR"/>
              </w:rPr>
              <mc:AlternateContent>
                <mc:Choice Requires="wps">
                  <w:drawing>
                    <wp:anchor distT="45720" distB="45720" distL="114300" distR="114300" simplePos="0" relativeHeight="251658242" behindDoc="0" locked="1" layoutInCell="1" allowOverlap="1" wp14:anchorId="493F88F9" wp14:editId="45270582">
                      <wp:simplePos x="0" y="0"/>
                      <wp:positionH relativeFrom="column">
                        <wp:posOffset>1058545</wp:posOffset>
                      </wp:positionH>
                      <wp:positionV relativeFrom="page">
                        <wp:posOffset>1847850</wp:posOffset>
                      </wp:positionV>
                      <wp:extent cx="867410" cy="259080"/>
                      <wp:effectExtent l="0" t="0" r="0" b="0"/>
                      <wp:wrapNone/>
                      <wp:docPr id="43178909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59080"/>
                              </a:xfrm>
                              <a:prstGeom prst="rect">
                                <a:avLst/>
                              </a:prstGeom>
                              <a:noFill/>
                              <a:ln>
                                <a:noFill/>
                              </a:ln>
                            </wps:spPr>
                            <wps:txbx>
                              <w:txbxContent>
                                <w:p w14:paraId="475FE301" w14:textId="420A8157" w:rsidR="00C05DD7" w:rsidRPr="00F77610" w:rsidRDefault="006801E1" w:rsidP="00C05DD7">
                                  <w:pPr>
                                    <w:rPr>
                                      <w:rFonts w:ascii="Arial" w:hAnsi="Arial" w:cs="Arial"/>
                                      <w:sz w:val="23"/>
                                      <w:szCs w:val="23"/>
                                      <w:lang w:val="es-ES"/>
                                    </w:rPr>
                                  </w:pPr>
                                  <w:r w:rsidRPr="006801E1">
                                    <w:rPr>
                                      <w:rFonts w:ascii="Arial" w:hAnsi="Arial" w:cs="Arial"/>
                                      <w:sz w:val="23"/>
                                      <w:szCs w:val="23"/>
                                      <w:lang w:val="es-ES"/>
                                    </w:rPr>
                                    <w:t>Laastari</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3F88F9" id="Text Box 117" o:spid="_x0000_s1038" type="#_x0000_t202" style="position:absolute;left:0;text-align:left;margin-left:83.35pt;margin-top:145.5pt;width:68.3pt;height:20.4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" filled="f" stroked="f">
                      <v:textbox style="mso-fit-shape-to-text:t" inset="0,,0">
                        <w:txbxContent>
                          <w:p w14:paraId="475FE301" w14:textId="420A8157" w:rsidR="00C05DD7" w:rsidRPr="00F77610" w:rsidRDefault="006801E1" w:rsidP="00C05DD7">
                            <w:pPr>
                              <w:rPr>
                                <w:rFonts w:ascii="Arial" w:hAnsi="Arial" w:cs="Arial"/>
                                <w:sz w:val="23"/>
                                <w:szCs w:val="23"/>
                                <w:lang w:val="es-ES"/>
                              </w:rPr>
                            </w:pPr>
                            <w:r w:rsidRPr="006801E1">
                              <w:rPr>
                                <w:rFonts w:ascii="Arial" w:hAnsi="Arial" w:cs="Arial"/>
                                <w:sz w:val="23"/>
                                <w:szCs w:val="23"/>
                                <w:lang w:val="es-ES"/>
                              </w:rPr>
                              <w:t>Laastari</w:t>
                            </w:r>
                          </w:p>
                        </w:txbxContent>
                      </v:textbox>
                      <w10:wrap anchory="page"/>
                      <w10:anchorlock/>
                    </v:shape>
                  </w:pict>
                </mc:Fallback>
              </mc:AlternateContent>
            </w:r>
            <w:r>
              <w:rPr>
                <w:b/>
                <w:bCs/>
                <w:noProof/>
                <w:lang w:val="en-US" w:eastAsia="ko-KR"/>
              </w:rPr>
              <mc:AlternateContent>
                <mc:Choice Requires="wps">
                  <w:drawing>
                    <wp:anchor distT="45720" distB="45720" distL="114300" distR="114300" simplePos="0" relativeHeight="251658243" behindDoc="0" locked="1" layoutInCell="1" allowOverlap="1" wp14:anchorId="535B7280" wp14:editId="30F2A16A">
                      <wp:simplePos x="0" y="0"/>
                      <wp:positionH relativeFrom="column">
                        <wp:posOffset>1049020</wp:posOffset>
                      </wp:positionH>
                      <wp:positionV relativeFrom="page">
                        <wp:posOffset>2347595</wp:posOffset>
                      </wp:positionV>
                      <wp:extent cx="1022985" cy="930910"/>
                      <wp:effectExtent l="0" t="0" r="0" b="0"/>
                      <wp:wrapNone/>
                      <wp:docPr id="64291144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930910"/>
                              </a:xfrm>
                              <a:prstGeom prst="rect">
                                <a:avLst/>
                              </a:prstGeom>
                              <a:noFill/>
                              <a:ln>
                                <a:noFill/>
                              </a:ln>
                            </wps:spPr>
                            <wps:txbx>
                              <w:txbxContent>
                                <w:p w14:paraId="401A6CC4" w14:textId="66E64361" w:rsidR="00C05DD7" w:rsidRPr="00F77610" w:rsidRDefault="006801E1" w:rsidP="000F787E">
                                  <w:pPr>
                                    <w:rPr>
                                      <w:rFonts w:ascii="Arial" w:hAnsi="Arial" w:cs="Arial"/>
                                      <w:sz w:val="23"/>
                                      <w:szCs w:val="23"/>
                                      <w:lang w:val="es-ES"/>
                                    </w:rPr>
                                  </w:pPr>
                                  <w:r w:rsidRPr="006801E1">
                                    <w:rPr>
                                      <w:rFonts w:ascii="Arial" w:hAnsi="Arial" w:cs="Arial"/>
                                      <w:sz w:val="23"/>
                                      <w:szCs w:val="23"/>
                                      <w:lang w:val="es-ES"/>
                                    </w:rPr>
                                    <w:t>Pistävälle ja viiltävälle jätteelle tarkoitettu astia</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5B7280" id="Text Box 115" o:spid="_x0000_s1039" type="#_x0000_t202" style="position:absolute;left:0;text-align:left;margin-left:82.6pt;margin-top:184.85pt;width:80.55pt;height:73.3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" filled="f" stroked="f">
                      <v:textbox style="mso-fit-shape-to-text:t" inset="0,,0">
                        <w:txbxContent>
                          <w:p w14:paraId="401A6CC4" w14:textId="66E64361" w:rsidR="00C05DD7" w:rsidRPr="00F77610" w:rsidRDefault="006801E1" w:rsidP="000F787E">
                            <w:pPr>
                              <w:rPr>
                                <w:rFonts w:ascii="Arial" w:hAnsi="Arial" w:cs="Arial"/>
                                <w:sz w:val="23"/>
                                <w:szCs w:val="23"/>
                                <w:lang w:val="es-ES"/>
                              </w:rPr>
                            </w:pPr>
                            <w:r w:rsidRPr="006801E1">
                              <w:rPr>
                                <w:rFonts w:ascii="Arial" w:hAnsi="Arial" w:cs="Arial"/>
                                <w:sz w:val="23"/>
                                <w:szCs w:val="23"/>
                                <w:lang w:val="es-ES"/>
                              </w:rPr>
                              <w:t>Pistävälle ja viiltävälle jätteelle tarkoitettu astia</w:t>
                            </w:r>
                          </w:p>
                        </w:txbxContent>
                      </v:textbox>
                      <w10:wrap anchory="page"/>
                      <w10:anchorlock/>
                    </v:shape>
                  </w:pict>
                </mc:Fallback>
              </mc:AlternateContent>
            </w:r>
            <w:r w:rsidR="000953D1">
              <w:rPr>
                <w:b/>
                <w:bCs/>
                <w:noProof/>
              </w:rPr>
              <w:t>Kuva</w:t>
            </w:r>
            <w:r w:rsidR="00C05DD7">
              <w:rPr>
                <w:b/>
                <w:bCs/>
              </w:rPr>
              <w:t xml:space="preserve"> B</w:t>
            </w:r>
          </w:p>
        </w:tc>
        <w:tc>
          <w:tcPr>
            <w:tcW w:w="5517" w:type="dxa"/>
          </w:tcPr>
          <w:p w14:paraId="27D5F09B" w14:textId="691C139B" w:rsidR="00C05DD7" w:rsidRDefault="000953D1">
            <w:pPr>
              <w:widowControl w:val="0"/>
              <w:numPr>
                <w:ilvl w:val="0"/>
                <w:numId w:val="39"/>
              </w:numPr>
              <w:suppressAutoHyphens/>
              <w:ind w:left="567" w:hanging="567"/>
              <w:rPr>
                <w:rFonts w:eastAsia="Times New Roman"/>
                <w:b/>
                <w:lang w:val="en-US" w:eastAsia="en-US"/>
              </w:rPr>
            </w:pPr>
            <w:r>
              <w:rPr>
                <w:rFonts w:eastAsia="Times New Roman"/>
                <w:b/>
                <w:lang w:val="en-US" w:eastAsia="en-US"/>
              </w:rPr>
              <w:t xml:space="preserve">Ota </w:t>
            </w:r>
            <w:proofErr w:type="spellStart"/>
            <w:r>
              <w:rPr>
                <w:rFonts w:eastAsia="Times New Roman"/>
                <w:b/>
                <w:lang w:val="en-US" w:eastAsia="en-US"/>
              </w:rPr>
              <w:t>pistostarvikkeet</w:t>
            </w:r>
            <w:proofErr w:type="spellEnd"/>
            <w:r>
              <w:rPr>
                <w:rFonts w:eastAsia="Times New Roman"/>
                <w:b/>
                <w:lang w:val="en-US" w:eastAsia="en-US"/>
              </w:rPr>
              <w:t xml:space="preserve"> </w:t>
            </w:r>
            <w:proofErr w:type="spellStart"/>
            <w:r>
              <w:rPr>
                <w:rFonts w:eastAsia="Times New Roman"/>
                <w:b/>
                <w:lang w:val="en-US" w:eastAsia="en-US"/>
              </w:rPr>
              <w:t>esille</w:t>
            </w:r>
            <w:proofErr w:type="spellEnd"/>
            <w:r w:rsidR="004D7483">
              <w:rPr>
                <w:rFonts w:eastAsia="Times New Roman"/>
                <w:b/>
                <w:lang w:val="en-US" w:eastAsia="en-US"/>
              </w:rPr>
              <w:t>.</w:t>
            </w:r>
          </w:p>
          <w:p w14:paraId="557C2F04" w14:textId="77777777" w:rsidR="00C05DD7" w:rsidRDefault="00C05DD7">
            <w:pPr>
              <w:widowControl w:val="0"/>
              <w:suppressAutoHyphens/>
              <w:ind w:left="567" w:hanging="567"/>
              <w:rPr>
                <w:rFonts w:eastAsia="Times New Roman"/>
                <w:b/>
                <w:lang w:val="en-US" w:eastAsia="en-US"/>
              </w:rPr>
            </w:pPr>
          </w:p>
          <w:p w14:paraId="18249BF3" w14:textId="68F3596D" w:rsidR="00C05DD7" w:rsidRPr="00CA43F5" w:rsidRDefault="000953D1" w:rsidP="000C5342">
            <w:pPr>
              <w:widowControl w:val="0"/>
              <w:numPr>
                <w:ilvl w:val="0"/>
                <w:numId w:val="40"/>
              </w:numPr>
              <w:suppressAutoHyphens/>
              <w:ind w:left="567" w:hanging="567"/>
              <w:rPr>
                <w:rFonts w:eastAsia="Times New Roman"/>
                <w:bCs/>
                <w:lang w:val="fi-FI" w:eastAsia="en-US"/>
              </w:rPr>
            </w:pPr>
            <w:r w:rsidRPr="00CA43F5">
              <w:rPr>
                <w:lang w:val="fi-FI"/>
              </w:rPr>
              <w:t>Valmistele puhdas, tasainen ja hyvin valaistu työskentelyalusta, kuten pöytä tai muu vastaava taso</w:t>
            </w:r>
            <w:r w:rsidR="00C05DD7" w:rsidRPr="00CA43F5">
              <w:rPr>
                <w:rFonts w:eastAsia="Times New Roman"/>
                <w:bCs/>
                <w:lang w:val="fi-FI" w:eastAsia="en-US"/>
              </w:rPr>
              <w:t>.</w:t>
            </w:r>
          </w:p>
          <w:p w14:paraId="4F7F778B" w14:textId="41DEAC3B" w:rsidR="00C05DD7" w:rsidRPr="00CA43F5" w:rsidRDefault="000953D1" w:rsidP="000C5342">
            <w:pPr>
              <w:widowControl w:val="0"/>
              <w:numPr>
                <w:ilvl w:val="0"/>
                <w:numId w:val="40"/>
              </w:numPr>
              <w:suppressAutoHyphens/>
              <w:ind w:left="567" w:hanging="567"/>
              <w:rPr>
                <w:rFonts w:eastAsia="Times New Roman"/>
                <w:bCs/>
                <w:lang w:val="fi-FI" w:eastAsia="en-US"/>
              </w:rPr>
            </w:pPr>
            <w:r w:rsidRPr="00CA43F5">
              <w:rPr>
                <w:lang w:val="fi-FI"/>
              </w:rPr>
              <w:t xml:space="preserve">Ota esitäytetyn ruiskun sisältävä </w:t>
            </w:r>
            <w:r w:rsidR="0005547E" w:rsidRPr="00CA43F5">
              <w:rPr>
                <w:lang w:val="fi-FI"/>
              </w:rPr>
              <w:t>kartonkikotelo</w:t>
            </w:r>
            <w:r w:rsidRPr="00CA43F5">
              <w:rPr>
                <w:lang w:val="fi-FI"/>
              </w:rPr>
              <w:t xml:space="preserve"> pois jääkaapista</w:t>
            </w:r>
            <w:r w:rsidR="00C05DD7" w:rsidRPr="00CA43F5">
              <w:rPr>
                <w:rFonts w:eastAsia="Times New Roman"/>
                <w:bCs/>
                <w:lang w:val="fi-FI" w:eastAsia="en-US"/>
              </w:rPr>
              <w:t>.</w:t>
            </w:r>
          </w:p>
          <w:p w14:paraId="6819E729" w14:textId="71CDB062" w:rsidR="00C05DD7" w:rsidRPr="00CA43F5" w:rsidRDefault="000953D1" w:rsidP="000C5342">
            <w:pPr>
              <w:widowControl w:val="0"/>
              <w:numPr>
                <w:ilvl w:val="0"/>
                <w:numId w:val="40"/>
              </w:numPr>
              <w:suppressAutoHyphens/>
              <w:ind w:left="567" w:hanging="567"/>
              <w:rPr>
                <w:rFonts w:eastAsia="Times New Roman"/>
                <w:bCs/>
                <w:lang w:val="fi-FI" w:eastAsia="en-US"/>
              </w:rPr>
            </w:pPr>
            <w:r w:rsidRPr="00CA43F5">
              <w:rPr>
                <w:lang w:val="fi-FI"/>
              </w:rPr>
              <w:t xml:space="preserve">Varmista, että sinulla on seuraavat tarvikkeet (ks. </w:t>
            </w:r>
            <w:r w:rsidRPr="00CA43F5">
              <w:rPr>
                <w:b/>
                <w:bCs/>
                <w:lang w:val="fi-FI"/>
              </w:rPr>
              <w:t>kuva B</w:t>
            </w:r>
            <w:r w:rsidRPr="00CA43F5">
              <w:rPr>
                <w:lang w:val="fi-FI"/>
              </w:rPr>
              <w:t>)</w:t>
            </w:r>
            <w:r w:rsidR="00C05DD7" w:rsidRPr="00CA43F5">
              <w:rPr>
                <w:rFonts w:eastAsia="Times New Roman"/>
                <w:bCs/>
                <w:lang w:val="fi-FI" w:eastAsia="en-US"/>
              </w:rPr>
              <w:t>:</w:t>
            </w:r>
          </w:p>
          <w:p w14:paraId="44C5FDAA" w14:textId="11680D71" w:rsidR="00C05DD7" w:rsidRPr="00CA43F5" w:rsidRDefault="00C05DD7">
            <w:pPr>
              <w:widowControl w:val="0"/>
              <w:suppressAutoHyphens/>
              <w:rPr>
                <w:rFonts w:eastAsia="Times New Roman"/>
                <w:lang w:val="fi-FI" w:eastAsia="ko-KR"/>
              </w:rPr>
            </w:pPr>
            <w:r w:rsidRPr="00CA43F5">
              <w:rPr>
                <w:rFonts w:eastAsia="Times New Roman"/>
                <w:lang w:val="fi-FI" w:eastAsia="ko-KR"/>
              </w:rPr>
              <w:t xml:space="preserve">- </w:t>
            </w:r>
            <w:r w:rsidR="000953D1" w:rsidRPr="00CA43F5">
              <w:rPr>
                <w:lang w:val="fi-FI"/>
              </w:rPr>
              <w:t>Esitäytetyn Avtozma-ruiskun sisältävä kartonkikotelo</w:t>
            </w:r>
          </w:p>
          <w:p w14:paraId="7AA14091" w14:textId="77777777" w:rsidR="00C05DD7" w:rsidRPr="00CA43F5" w:rsidRDefault="00C05DD7" w:rsidP="00940778">
            <w:pPr>
              <w:rPr>
                <w:lang w:val="fi-FI"/>
              </w:rPr>
            </w:pPr>
          </w:p>
          <w:p w14:paraId="1736E467" w14:textId="77B6707E" w:rsidR="00C05DD7" w:rsidRPr="00CA43F5" w:rsidRDefault="000953D1">
            <w:pPr>
              <w:widowControl w:val="0"/>
              <w:suppressAutoHyphens/>
              <w:rPr>
                <w:rFonts w:eastAsia="Times New Roman"/>
                <w:b/>
                <w:lang w:val="fi-FI" w:eastAsia="ko-KR"/>
              </w:rPr>
            </w:pPr>
            <w:r w:rsidRPr="00CA43F5">
              <w:rPr>
                <w:b/>
                <w:bCs/>
                <w:lang w:val="fi-FI"/>
              </w:rPr>
              <w:t>Ei mukana pakkauksessa</w:t>
            </w:r>
            <w:r w:rsidR="00C05DD7" w:rsidRPr="00CA43F5">
              <w:rPr>
                <w:rFonts w:eastAsia="Times New Roman"/>
                <w:b/>
                <w:lang w:val="fi-FI" w:eastAsia="ko-KR"/>
              </w:rPr>
              <w:t>:</w:t>
            </w:r>
          </w:p>
          <w:p w14:paraId="2FE50249" w14:textId="1149DBBB" w:rsidR="00C05DD7" w:rsidRPr="00CA43F5" w:rsidRDefault="00C05DD7">
            <w:pPr>
              <w:widowControl w:val="0"/>
              <w:suppressAutoHyphens/>
              <w:rPr>
                <w:rFonts w:eastAsia="Times New Roman"/>
                <w:lang w:val="fi-FI" w:eastAsia="ko-KR"/>
              </w:rPr>
            </w:pPr>
            <w:r w:rsidRPr="00CA43F5">
              <w:rPr>
                <w:rFonts w:eastAsia="Times New Roman"/>
                <w:lang w:val="fi-FI" w:eastAsia="ko-KR"/>
              </w:rPr>
              <w:t xml:space="preserve">- </w:t>
            </w:r>
            <w:r w:rsidR="000953D1" w:rsidRPr="00CA43F5">
              <w:rPr>
                <w:lang w:val="fi-FI"/>
              </w:rPr>
              <w:t>Pumpulituppo tai harsotaitos</w:t>
            </w:r>
          </w:p>
          <w:p w14:paraId="7F956D34" w14:textId="09FA0015" w:rsidR="00C05DD7" w:rsidRPr="00CA43F5" w:rsidRDefault="00C05DD7">
            <w:pPr>
              <w:widowControl w:val="0"/>
              <w:suppressAutoHyphens/>
              <w:rPr>
                <w:rFonts w:eastAsia="Times New Roman"/>
                <w:lang w:val="fi-FI" w:eastAsia="ko-KR"/>
              </w:rPr>
            </w:pPr>
            <w:r w:rsidRPr="00CA43F5">
              <w:rPr>
                <w:rFonts w:eastAsia="Times New Roman"/>
                <w:lang w:val="fi-FI" w:eastAsia="ko-KR"/>
              </w:rPr>
              <w:t xml:space="preserve">- </w:t>
            </w:r>
            <w:r w:rsidR="000953D1" w:rsidRPr="00CA43F5">
              <w:rPr>
                <w:rFonts w:eastAsia="Times New Roman"/>
                <w:lang w:val="fi-FI" w:eastAsia="ko-KR"/>
              </w:rPr>
              <w:t>Laastari</w:t>
            </w:r>
          </w:p>
          <w:p w14:paraId="228B570F" w14:textId="21AA8726" w:rsidR="00C05DD7" w:rsidRPr="00CA43F5" w:rsidRDefault="00C05DD7">
            <w:pPr>
              <w:widowControl w:val="0"/>
              <w:suppressAutoHyphens/>
              <w:rPr>
                <w:rFonts w:eastAsia="Times New Roman"/>
                <w:lang w:val="fi-FI" w:eastAsia="ko-KR"/>
              </w:rPr>
            </w:pPr>
            <w:r w:rsidRPr="00CA43F5">
              <w:rPr>
                <w:rFonts w:eastAsia="Times New Roman"/>
                <w:lang w:val="fi-FI" w:eastAsia="ko-KR"/>
              </w:rPr>
              <w:t xml:space="preserve">- </w:t>
            </w:r>
            <w:r w:rsidR="000953D1" w:rsidRPr="00CA43F5">
              <w:rPr>
                <w:color w:val="231F20"/>
                <w:lang w:val="fi-FI"/>
              </w:rPr>
              <w:t>Pistävälle ja viiltävälle jätteelle tarkoitettu astia</w:t>
            </w:r>
          </w:p>
          <w:p w14:paraId="569794F8" w14:textId="35E37558" w:rsidR="00C05DD7" w:rsidRDefault="00C05DD7">
            <w:pPr>
              <w:widowControl w:val="0"/>
              <w:suppressAutoHyphens/>
              <w:rPr>
                <w:rFonts w:eastAsia="Times New Roman"/>
                <w:lang w:val="en-US" w:eastAsia="ko-KR"/>
              </w:rPr>
            </w:pPr>
            <w:r>
              <w:rPr>
                <w:rFonts w:eastAsia="Times New Roman"/>
                <w:lang w:val="en-US" w:eastAsia="ko-KR"/>
              </w:rPr>
              <w:t xml:space="preserve">- </w:t>
            </w:r>
            <w:proofErr w:type="spellStart"/>
            <w:r w:rsidR="000953D1">
              <w:t>D</w:t>
            </w:r>
            <w:r w:rsidR="000953D1" w:rsidRPr="0028514E">
              <w:t>esinfiointipyyhe</w:t>
            </w:r>
            <w:proofErr w:type="spellEnd"/>
          </w:p>
          <w:p w14:paraId="103AC29E" w14:textId="77777777" w:rsidR="00C05DD7" w:rsidRPr="00124F43" w:rsidRDefault="00C05DD7">
            <w:pPr>
              <w:ind w:left="567" w:hanging="567"/>
            </w:pPr>
          </w:p>
        </w:tc>
      </w:tr>
      <w:bookmarkEnd w:id="50"/>
      <w:tr w:rsidR="009C440C" w:rsidRPr="00BB5A61" w14:paraId="2F21B5DA" w14:textId="77777777" w:rsidTr="006E6BB4">
        <w:trPr>
          <w:cantSplit/>
        </w:trPr>
        <w:tc>
          <w:tcPr>
            <w:tcW w:w="3539" w:type="dxa"/>
          </w:tcPr>
          <w:p w14:paraId="3A609C4A" w14:textId="21DCDB1E" w:rsidR="00C05DD7" w:rsidRDefault="0086716C">
            <w:pPr>
              <w:suppressAutoHyphens/>
              <w:rPr>
                <w:sz w:val="26"/>
                <w:szCs w:val="26"/>
              </w:rPr>
            </w:pPr>
            <w:r>
              <w:rPr>
                <w:noProof/>
                <w:lang w:val="en-US" w:eastAsia="ko-KR"/>
              </w:rPr>
              <mc:AlternateContent>
                <mc:Choice Requires="wps">
                  <w:drawing>
                    <wp:anchor distT="45720" distB="45720" distL="114300" distR="114300" simplePos="0" relativeHeight="251658248" behindDoc="0" locked="1" layoutInCell="1" allowOverlap="1" wp14:anchorId="41BDE94E" wp14:editId="06AFD075">
                      <wp:simplePos x="0" y="0"/>
                      <wp:positionH relativeFrom="column">
                        <wp:posOffset>1437640</wp:posOffset>
                      </wp:positionH>
                      <wp:positionV relativeFrom="page">
                        <wp:posOffset>1943735</wp:posOffset>
                      </wp:positionV>
                      <wp:extent cx="673100" cy="87630"/>
                      <wp:effectExtent l="19050" t="38100" r="0" b="26670"/>
                      <wp:wrapNone/>
                      <wp:docPr id="90344970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87630"/>
                              </a:xfrm>
                              <a:prstGeom prst="rect">
                                <a:avLst/>
                              </a:prstGeom>
                              <a:noFill/>
                              <a:ln>
                                <a:noFill/>
                              </a:ln>
                            </wps:spPr>
                            <wps:txbx>
                              <w:txbxContent>
                                <w:p w14:paraId="4A11E8C7" w14:textId="70116D78" w:rsidR="00C05DD7" w:rsidRPr="00F32F95" w:rsidRDefault="00E12AA4" w:rsidP="00C05DD7">
                                  <w:pPr>
                                    <w:rPr>
                                      <w:rFonts w:ascii="Arial Narrow" w:hAnsi="Arial Narrow"/>
                                      <w:b/>
                                      <w:bCs/>
                                      <w:sz w:val="12"/>
                                      <w:szCs w:val="12"/>
                                    </w:rPr>
                                  </w:pPr>
                                  <w:r w:rsidRPr="00E12AA4">
                                    <w:rPr>
                                      <w:rFonts w:ascii="Arial Narrow" w:hAnsi="Arial Narrow"/>
                                      <w:b/>
                                      <w:bCs/>
                                      <w:sz w:val="12"/>
                                      <w:szCs w:val="12"/>
                                    </w:rPr>
                                    <w:t>EXP: KK VVVV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1BDE94E" id="Text Box 113" o:spid="_x0000_s1040" type="#_x0000_t202" style="position:absolute;margin-left:113.2pt;margin-top:153.05pt;width:53pt;height:6.9pt;rotation:-535127fd;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" filled="f" stroked="f">
                      <v:textbox style="mso-fit-shape-to-text:t" inset="0,0,0,0">
                        <w:txbxContent>
                          <w:p w14:paraId="4A11E8C7" w14:textId="70116D78" w:rsidR="00C05DD7" w:rsidRPr="00F32F95" w:rsidRDefault="00E12AA4" w:rsidP="00C05DD7">
                            <w:pPr>
                              <w:rPr>
                                <w:rFonts w:ascii="Arial Narrow" w:hAnsi="Arial Narrow"/>
                                <w:b/>
                                <w:bCs/>
                                <w:sz w:val="12"/>
                                <w:szCs w:val="12"/>
                              </w:rPr>
                            </w:pPr>
                            <w:r w:rsidRPr="00E12AA4">
                              <w:rPr>
                                <w:rFonts w:ascii="Arial Narrow" w:hAnsi="Arial Narrow"/>
                                <w:b/>
                                <w:bCs/>
                                <w:sz w:val="12"/>
                                <w:szCs w:val="12"/>
                              </w:rPr>
                              <w:t>EXP: KK VVVV</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47" behindDoc="0" locked="1" layoutInCell="1" allowOverlap="1" wp14:anchorId="44505E8D" wp14:editId="12F2118F">
                      <wp:simplePos x="0" y="0"/>
                      <wp:positionH relativeFrom="column">
                        <wp:posOffset>1087120</wp:posOffset>
                      </wp:positionH>
                      <wp:positionV relativeFrom="page">
                        <wp:posOffset>997585</wp:posOffset>
                      </wp:positionV>
                      <wp:extent cx="673100" cy="233045"/>
                      <wp:effectExtent l="19050" t="38100" r="0" b="35560"/>
                      <wp:wrapNone/>
                      <wp:docPr id="198771935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wps:spPr>
                            <wps:txbx>
                              <w:txbxContent>
                                <w:p w14:paraId="7E21ECD9" w14:textId="4DC96D6E" w:rsidR="00C05DD7" w:rsidRPr="00F32F95" w:rsidRDefault="00483000" w:rsidP="00C05DD7">
                                  <w:pPr>
                                    <w:jc w:val="center"/>
                                    <w:rPr>
                                      <w:rFonts w:ascii="Arial Narrow" w:hAnsi="Arial Narrow"/>
                                      <w:b/>
                                      <w:bCs/>
                                      <w:sz w:val="16"/>
                                      <w:szCs w:val="16"/>
                                    </w:rPr>
                                  </w:pPr>
                                  <w:r w:rsidRPr="00483000">
                                    <w:rPr>
                                      <w:rFonts w:ascii="Arial Narrow" w:hAnsi="Arial Narrow"/>
                                      <w:b/>
                                      <w:bCs/>
                                      <w:sz w:val="16"/>
                                      <w:szCs w:val="16"/>
                                    </w:rPr>
                                    <w:t>EXP: KK VVVV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4505E8D" id="Text Box 111" o:spid="_x0000_s1041" type="#_x0000_t202" style="position:absolute;margin-left:85.6pt;margin-top:78.55pt;width:53pt;height:18.35pt;rotation:-448334fd;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" filled="f" stroked="f">
                      <v:textbox style="mso-fit-shape-to-text:t" inset="0,0,0,0">
                        <w:txbxContent>
                          <w:p w14:paraId="7E21ECD9" w14:textId="4DC96D6E" w:rsidR="00C05DD7" w:rsidRPr="00F32F95" w:rsidRDefault="00483000" w:rsidP="00C05DD7">
                            <w:pPr>
                              <w:jc w:val="center"/>
                              <w:rPr>
                                <w:rFonts w:ascii="Arial Narrow" w:hAnsi="Arial Narrow"/>
                                <w:b/>
                                <w:bCs/>
                                <w:sz w:val="16"/>
                                <w:szCs w:val="16"/>
                              </w:rPr>
                            </w:pPr>
                            <w:r w:rsidRPr="00483000">
                              <w:rPr>
                                <w:rFonts w:ascii="Arial Narrow" w:hAnsi="Arial Narrow"/>
                                <w:b/>
                                <w:bCs/>
                                <w:sz w:val="16"/>
                                <w:szCs w:val="16"/>
                              </w:rPr>
                              <w:t>EXP: KK VVVV</w:t>
                            </w:r>
                          </w:p>
                        </w:txbxContent>
                      </v:textbox>
                      <w10:wrap anchory="page"/>
                      <w10:anchorlock/>
                    </v:shape>
                  </w:pict>
                </mc:Fallback>
              </mc:AlternateContent>
            </w:r>
            <w:r>
              <w:rPr>
                <w:rFonts w:eastAsia="Times New Roman"/>
                <w:b/>
                <w:noProof/>
                <w:lang w:val="en-US" w:eastAsia="ko-KR"/>
              </w:rPr>
              <w:drawing>
                <wp:inline distT="0" distB="0" distL="0" distR="0" wp14:anchorId="209419E9" wp14:editId="3867FBE7">
                  <wp:extent cx="2084070" cy="2573020"/>
                  <wp:effectExtent l="19050" t="19050" r="0" b="0"/>
                  <wp:docPr id="8" name="그림 27"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텍스트, 스케치, 도표, 원이(가) 표시된 사진&#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4070" cy="2573020"/>
                          </a:xfrm>
                          <a:prstGeom prst="rect">
                            <a:avLst/>
                          </a:prstGeom>
                          <a:noFill/>
                          <a:ln w="9525" cmpd="sng">
                            <a:solidFill>
                              <a:srgbClr val="000000"/>
                            </a:solidFill>
                            <a:miter lim="800000"/>
                            <a:headEnd/>
                            <a:tailEnd/>
                          </a:ln>
                          <a:effectLst/>
                        </pic:spPr>
                      </pic:pic>
                    </a:graphicData>
                  </a:graphic>
                </wp:inline>
              </w:drawing>
            </w:r>
          </w:p>
          <w:p w14:paraId="27589CE0" w14:textId="36063315" w:rsidR="00C05DD7" w:rsidRDefault="000953D1">
            <w:pPr>
              <w:jc w:val="right"/>
              <w:rPr>
                <w:b/>
                <w:bCs/>
                <w:noProof/>
                <w:lang w:eastAsia="ko-KR"/>
              </w:rPr>
            </w:pPr>
            <w:r>
              <w:rPr>
                <w:b/>
                <w:bCs/>
                <w:noProof/>
                <w:lang w:eastAsia="ko-KR"/>
              </w:rPr>
              <w:t>Kuva</w:t>
            </w:r>
            <w:r w:rsidR="00C05DD7">
              <w:rPr>
                <w:b/>
                <w:bCs/>
                <w:noProof/>
                <w:lang w:eastAsia="ko-KR"/>
              </w:rPr>
              <w:t xml:space="preserve"> C</w:t>
            </w:r>
          </w:p>
        </w:tc>
        <w:tc>
          <w:tcPr>
            <w:tcW w:w="5517" w:type="dxa"/>
          </w:tcPr>
          <w:p w14:paraId="0D86F6A0" w14:textId="7F9C52DD" w:rsidR="00C05DD7" w:rsidRDefault="000953D1" w:rsidP="000C5342">
            <w:pPr>
              <w:widowControl w:val="0"/>
              <w:numPr>
                <w:ilvl w:val="0"/>
                <w:numId w:val="39"/>
              </w:numPr>
              <w:suppressAutoHyphens/>
              <w:ind w:left="567" w:hanging="567"/>
              <w:rPr>
                <w:rFonts w:eastAsia="Times New Roman" w:cs="Arial"/>
                <w:b/>
                <w:lang w:val="en-US" w:eastAsia="en-US"/>
              </w:rPr>
            </w:pPr>
            <w:proofErr w:type="spellStart"/>
            <w:r>
              <w:rPr>
                <w:b/>
                <w:bCs/>
              </w:rPr>
              <w:t>Tarkista</w:t>
            </w:r>
            <w:proofErr w:type="spellEnd"/>
            <w:r>
              <w:rPr>
                <w:b/>
                <w:bCs/>
              </w:rPr>
              <w:t xml:space="preserve"> </w:t>
            </w:r>
            <w:proofErr w:type="spellStart"/>
            <w:r>
              <w:rPr>
                <w:b/>
                <w:bCs/>
              </w:rPr>
              <w:t>kartonkikotelo</w:t>
            </w:r>
            <w:proofErr w:type="spellEnd"/>
            <w:r w:rsidR="005216FA">
              <w:rPr>
                <w:b/>
                <w:bCs/>
              </w:rPr>
              <w:t>.</w:t>
            </w:r>
          </w:p>
          <w:p w14:paraId="0DB002EA" w14:textId="77777777" w:rsidR="00C05DD7" w:rsidRDefault="00C05DD7">
            <w:pPr>
              <w:widowControl w:val="0"/>
              <w:suppressAutoHyphens/>
              <w:ind w:left="567" w:hanging="567"/>
              <w:rPr>
                <w:rFonts w:eastAsia="Times New Roman" w:cs="Arial"/>
                <w:b/>
                <w:lang w:val="en-US" w:eastAsia="en-US"/>
              </w:rPr>
            </w:pPr>
          </w:p>
          <w:p w14:paraId="346C739F" w14:textId="0F7B9C11" w:rsidR="00C05DD7" w:rsidRPr="00CA43F5" w:rsidRDefault="00480A32" w:rsidP="000C5342">
            <w:pPr>
              <w:widowControl w:val="0"/>
              <w:numPr>
                <w:ilvl w:val="0"/>
                <w:numId w:val="41"/>
              </w:numPr>
              <w:suppressAutoHyphens/>
              <w:ind w:left="567" w:hanging="567"/>
              <w:rPr>
                <w:rFonts w:eastAsia="Times New Roman" w:cs="Arial"/>
                <w:bCs/>
                <w:lang w:val="fi-FI" w:eastAsia="en-US"/>
              </w:rPr>
            </w:pPr>
            <w:r w:rsidRPr="00CA43F5">
              <w:rPr>
                <w:rFonts w:eastAsia="Times New Roman" w:cs="Arial"/>
                <w:bCs/>
                <w:lang w:val="fi-FI" w:eastAsia="en-US"/>
              </w:rPr>
              <w:t xml:space="preserve">Tarkista kartonkikotelosta, että </w:t>
            </w:r>
            <w:r w:rsidR="0065335D" w:rsidRPr="00CA43F5">
              <w:rPr>
                <w:rFonts w:eastAsia="Times New Roman" w:cs="Arial"/>
                <w:bCs/>
                <w:lang w:val="fi-FI" w:eastAsia="en-US"/>
              </w:rPr>
              <w:t>kyseessä</w:t>
            </w:r>
            <w:r w:rsidRPr="00CA43F5">
              <w:rPr>
                <w:rFonts w:eastAsia="Times New Roman" w:cs="Arial"/>
                <w:bCs/>
                <w:lang w:val="fi-FI" w:eastAsia="en-US"/>
              </w:rPr>
              <w:t xml:space="preserve"> on oikea lääke ja annosvahvuus</w:t>
            </w:r>
            <w:r w:rsidR="00C05DD7" w:rsidRPr="00CA43F5">
              <w:rPr>
                <w:rFonts w:eastAsia="Times New Roman" w:cs="Arial"/>
                <w:bCs/>
                <w:lang w:val="fi-FI" w:eastAsia="en-US"/>
              </w:rPr>
              <w:t xml:space="preserve"> (Avtozma)</w:t>
            </w:r>
            <w:r w:rsidRPr="00CA43F5">
              <w:rPr>
                <w:rFonts w:eastAsia="Times New Roman" w:cs="Arial"/>
                <w:bCs/>
                <w:lang w:val="fi-FI" w:eastAsia="en-US"/>
              </w:rPr>
              <w:t>.</w:t>
            </w:r>
          </w:p>
          <w:p w14:paraId="3F9C5F79" w14:textId="594F7781" w:rsidR="00C05DD7" w:rsidRPr="00CA43F5" w:rsidRDefault="00480A32" w:rsidP="000C5342">
            <w:pPr>
              <w:widowControl w:val="0"/>
              <w:numPr>
                <w:ilvl w:val="0"/>
                <w:numId w:val="41"/>
              </w:numPr>
              <w:suppressAutoHyphens/>
              <w:ind w:left="567" w:hanging="567"/>
              <w:rPr>
                <w:rFonts w:eastAsia="Times New Roman" w:cs="Arial"/>
                <w:bCs/>
                <w:lang w:val="fi-FI" w:eastAsia="en-US"/>
              </w:rPr>
            </w:pPr>
            <w:r w:rsidRPr="00CA43F5">
              <w:rPr>
                <w:lang w:val="fi-FI"/>
              </w:rPr>
              <w:t>Tarkista viimeinen käyttöpäivämäärä kartonkikotelosta varmistaaksesi, ettei päivämäärä ole umpeutunut</w:t>
            </w:r>
            <w:r w:rsidRPr="00CA43F5">
              <w:rPr>
                <w:rFonts w:eastAsia="Times New Roman" w:cs="Arial"/>
                <w:bCs/>
                <w:lang w:val="fi-FI" w:eastAsia="en-US"/>
              </w:rPr>
              <w:t>.</w:t>
            </w:r>
          </w:p>
          <w:p w14:paraId="6D076E16" w14:textId="77777777" w:rsidR="00C05DD7" w:rsidRPr="00CA43F5" w:rsidRDefault="00C05DD7" w:rsidP="00940778">
            <w:pPr>
              <w:rPr>
                <w:lang w:val="fi-FI"/>
              </w:rPr>
            </w:pPr>
          </w:p>
          <w:p w14:paraId="5117269F" w14:textId="2D95370B" w:rsidR="00C05DD7" w:rsidRPr="00CA43F5" w:rsidRDefault="00480A32" w:rsidP="00CA43F5">
            <w:pPr>
              <w:pStyle w:val="a4"/>
              <w:widowControl w:val="0"/>
              <w:numPr>
                <w:ilvl w:val="0"/>
                <w:numId w:val="38"/>
              </w:numPr>
              <w:suppressAutoHyphens/>
              <w:ind w:left="1134" w:hanging="567"/>
              <w:rPr>
                <w:rFonts w:eastAsia="맑은 고딕" w:cs="Arial"/>
                <w:strike/>
                <w:sz w:val="26"/>
                <w:szCs w:val="26"/>
                <w:lang w:eastAsia="ko-KR"/>
              </w:rPr>
            </w:pPr>
            <w:r w:rsidRPr="00070CF8">
              <w:rPr>
                <w:b/>
                <w:bCs/>
              </w:rPr>
              <w:t>Älä</w:t>
            </w:r>
            <w:r w:rsidRPr="00070CF8">
              <w:t xml:space="preserve"> käytä esitäytettyä ruiskua, jos viimeinen käyttöpäivämäärä on ohitettu.</w:t>
            </w:r>
          </w:p>
          <w:p w14:paraId="00317982" w14:textId="18A173E5" w:rsidR="00C05DD7" w:rsidRPr="00CA43F5" w:rsidRDefault="00480A32" w:rsidP="00CA43F5">
            <w:pPr>
              <w:pStyle w:val="a4"/>
              <w:widowControl w:val="0"/>
              <w:numPr>
                <w:ilvl w:val="0"/>
                <w:numId w:val="38"/>
              </w:numPr>
              <w:suppressAutoHyphens/>
              <w:ind w:left="1134" w:hanging="567"/>
              <w:rPr>
                <w:rFonts w:cs="Arial"/>
                <w:lang w:eastAsia="ko-KR"/>
              </w:rPr>
            </w:pPr>
            <w:r w:rsidRPr="00070CF8">
              <w:t xml:space="preserve">Jos avaat kartonkikotelon ensimmäistä kertaa, tarkista, että se on asianmukaisesti sinetöity. </w:t>
            </w:r>
            <w:r w:rsidR="00FD25B0" w:rsidRPr="00070CF8">
              <w:rPr>
                <w:b/>
              </w:rPr>
              <w:t xml:space="preserve">Älä </w:t>
            </w:r>
            <w:r w:rsidR="00FD25B0" w:rsidRPr="00070CF8">
              <w:t>käytä esitäytettyä ruiskua, j</w:t>
            </w:r>
            <w:r w:rsidRPr="00070CF8">
              <w:t>os kartonkikotelo vaikuttaa siltä, että se on jo avattu tai se on vahingoittunut.</w:t>
            </w:r>
          </w:p>
          <w:p w14:paraId="050F183E" w14:textId="77777777" w:rsidR="00C05DD7" w:rsidRPr="00CA43F5" w:rsidRDefault="00C05DD7" w:rsidP="00940778">
            <w:pPr>
              <w:rPr>
                <w:lang w:val="fi-FI"/>
              </w:rPr>
            </w:pPr>
          </w:p>
        </w:tc>
      </w:tr>
      <w:tr w:rsidR="009C440C" w:rsidRPr="00ED6BAC" w14:paraId="2F7DEF88" w14:textId="77777777" w:rsidTr="006E6BB4">
        <w:trPr>
          <w:cantSplit/>
        </w:trPr>
        <w:tc>
          <w:tcPr>
            <w:tcW w:w="3539" w:type="dxa"/>
          </w:tcPr>
          <w:p w14:paraId="3B4A3E4E" w14:textId="44EF6D16" w:rsidR="00C05DD7" w:rsidRDefault="0086716C">
            <w:pPr>
              <w:suppressAutoHyphens/>
              <w:jc w:val="right"/>
              <w:rPr>
                <w:sz w:val="26"/>
                <w:szCs w:val="26"/>
              </w:rPr>
            </w:pPr>
            <w:r>
              <w:rPr>
                <w:noProof/>
                <w:lang w:val="en-US" w:eastAsia="ko-KR"/>
              </w:rPr>
              <w:lastRenderedPageBreak/>
              <mc:AlternateContent>
                <mc:Choice Requires="wps">
                  <w:drawing>
                    <wp:anchor distT="45720" distB="45720" distL="114300" distR="114300" simplePos="0" relativeHeight="251658244" behindDoc="0" locked="1" layoutInCell="1" allowOverlap="1" wp14:anchorId="2ABB0983" wp14:editId="0D77B88B">
                      <wp:simplePos x="0" y="0"/>
                      <wp:positionH relativeFrom="column">
                        <wp:posOffset>1193800</wp:posOffset>
                      </wp:positionH>
                      <wp:positionV relativeFrom="page">
                        <wp:posOffset>1565910</wp:posOffset>
                      </wp:positionV>
                      <wp:extent cx="767080" cy="233680"/>
                      <wp:effectExtent l="0" t="0" r="0" b="0"/>
                      <wp:wrapNone/>
                      <wp:docPr id="4265192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33680"/>
                              </a:xfrm>
                              <a:prstGeom prst="rect">
                                <a:avLst/>
                              </a:prstGeom>
                              <a:noFill/>
                              <a:ln>
                                <a:noFill/>
                              </a:ln>
                            </wps:spPr>
                            <wps:txbx>
                              <w:txbxContent>
                                <w:p w14:paraId="4FABD91B" w14:textId="1D1272C2" w:rsidR="00C05DD7" w:rsidRPr="00C4365B" w:rsidRDefault="00E12AA4" w:rsidP="00C05DD7">
                                  <w:pPr>
                                    <w:rPr>
                                      <w:rFonts w:ascii="Arial Narrow" w:hAnsi="Arial Narrow"/>
                                      <w:b/>
                                      <w:bCs/>
                                      <w:sz w:val="18"/>
                                      <w:szCs w:val="18"/>
                                    </w:rPr>
                                  </w:pPr>
                                  <w:r w:rsidRPr="00E12AA4">
                                    <w:rPr>
                                      <w:rFonts w:ascii="Arial" w:hAnsi="Arial" w:cs="Arial"/>
                                      <w:b/>
                                      <w:bCs/>
                                      <w:sz w:val="14"/>
                                      <w:szCs w:val="14"/>
                                    </w:rPr>
                                    <w:t>EXP: KK VVVV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ABB0983" id="Text Box 109" o:spid="_x0000_s1042" type="#_x0000_t202" style="position:absolute;left:0;text-align:left;margin-left:94pt;margin-top:123.3pt;width:60.4pt;height:18.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" filled="f" stroked="f">
                      <v:textbox style="mso-fit-shape-to-text:t" inset="0,0,0,0">
                        <w:txbxContent>
                          <w:p w14:paraId="4FABD91B" w14:textId="1D1272C2" w:rsidR="00C05DD7" w:rsidRPr="00C4365B" w:rsidRDefault="00E12AA4" w:rsidP="00C05DD7">
                            <w:pPr>
                              <w:rPr>
                                <w:rFonts w:ascii="Arial Narrow" w:hAnsi="Arial Narrow"/>
                                <w:b/>
                                <w:bCs/>
                                <w:sz w:val="18"/>
                                <w:szCs w:val="18"/>
                              </w:rPr>
                            </w:pPr>
                            <w:r w:rsidRPr="00E12AA4">
                              <w:rPr>
                                <w:rFonts w:ascii="Arial" w:hAnsi="Arial" w:cs="Arial"/>
                                <w:b/>
                                <w:bCs/>
                                <w:sz w:val="14"/>
                                <w:szCs w:val="14"/>
                              </w:rPr>
                              <w:t>EXP: KK VVVV</w:t>
                            </w:r>
                          </w:p>
                        </w:txbxContent>
                      </v:textbox>
                      <w10:wrap anchory="page"/>
                      <w10:anchorlock/>
                    </v:shape>
                  </w:pict>
                </mc:Fallback>
              </mc:AlternateContent>
            </w:r>
            <w:r>
              <w:rPr>
                <w:noProof/>
                <w:lang w:val="en-US" w:eastAsia="ko-KR"/>
              </w:rPr>
              <w:drawing>
                <wp:inline distT="0" distB="0" distL="0" distR="0" wp14:anchorId="140A64D7" wp14:editId="11768EE9">
                  <wp:extent cx="2062480" cy="2573020"/>
                  <wp:effectExtent l="19050" t="19050" r="0" b="0"/>
                  <wp:docPr id="9" name="그림 26"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스케치, 그림, 공구, 상징이(가) 표시된 사진&#10;&#10;자동 생성된 설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2480" cy="2573020"/>
                          </a:xfrm>
                          <a:prstGeom prst="rect">
                            <a:avLst/>
                          </a:prstGeom>
                          <a:noFill/>
                          <a:ln w="9525" cmpd="sng">
                            <a:solidFill>
                              <a:srgbClr val="000000"/>
                            </a:solidFill>
                            <a:miter lim="800000"/>
                            <a:headEnd/>
                            <a:tailEnd/>
                          </a:ln>
                          <a:effectLst/>
                        </pic:spPr>
                      </pic:pic>
                    </a:graphicData>
                  </a:graphic>
                </wp:inline>
              </w:drawing>
            </w:r>
          </w:p>
          <w:p w14:paraId="2A44FC48" w14:textId="144B310F" w:rsidR="00C05DD7" w:rsidRDefault="000953D1">
            <w:pPr>
              <w:suppressAutoHyphens/>
              <w:jc w:val="right"/>
              <w:rPr>
                <w:b/>
                <w:bCs/>
                <w:noProof/>
              </w:rPr>
            </w:pPr>
            <w:r>
              <w:rPr>
                <w:b/>
                <w:bCs/>
                <w:noProof/>
              </w:rPr>
              <w:t>Kuva</w:t>
            </w:r>
            <w:r w:rsidR="00C05DD7">
              <w:rPr>
                <w:b/>
                <w:bCs/>
                <w:noProof/>
              </w:rPr>
              <w:t xml:space="preserve"> D</w:t>
            </w:r>
          </w:p>
        </w:tc>
        <w:tc>
          <w:tcPr>
            <w:tcW w:w="5517" w:type="dxa"/>
          </w:tcPr>
          <w:p w14:paraId="338F3252" w14:textId="77F81225" w:rsidR="00C05DD7" w:rsidRDefault="00480A32">
            <w:pPr>
              <w:pStyle w:val="a4"/>
              <w:widowControl w:val="0"/>
              <w:numPr>
                <w:ilvl w:val="0"/>
                <w:numId w:val="39"/>
              </w:numPr>
              <w:suppressAutoHyphens/>
              <w:ind w:left="567" w:hanging="567"/>
              <w:rPr>
                <w:b/>
              </w:rPr>
            </w:pPr>
            <w:r>
              <w:rPr>
                <w:b/>
              </w:rPr>
              <w:t>Tarkista esitäytetty ruisku</w:t>
            </w:r>
            <w:r w:rsidR="00C05DD7">
              <w:rPr>
                <w:b/>
              </w:rPr>
              <w:t>.</w:t>
            </w:r>
          </w:p>
          <w:p w14:paraId="178A374D" w14:textId="77777777" w:rsidR="00C05DD7" w:rsidRDefault="00C05DD7">
            <w:pPr>
              <w:suppressAutoHyphens/>
              <w:ind w:left="567" w:hanging="567"/>
              <w:rPr>
                <w:bCs/>
              </w:rPr>
            </w:pPr>
          </w:p>
          <w:p w14:paraId="2C7851B3" w14:textId="0F2159A7" w:rsidR="00C05DD7" w:rsidRDefault="00480A32" w:rsidP="00070CF8">
            <w:pPr>
              <w:pStyle w:val="a4"/>
              <w:widowControl w:val="0"/>
              <w:numPr>
                <w:ilvl w:val="0"/>
                <w:numId w:val="42"/>
              </w:numPr>
              <w:suppressAutoHyphens/>
              <w:ind w:left="567" w:hanging="567"/>
              <w:rPr>
                <w:bCs/>
              </w:rPr>
            </w:pPr>
            <w:r w:rsidRPr="00A35894">
              <w:t>Avaa kartonkikotelo ja ota kotelosta yksi kertakäyttöön tarkoitettu esitäytetty ruisku.</w:t>
            </w:r>
            <w:r>
              <w:rPr>
                <w:bCs/>
              </w:rPr>
              <w:t xml:space="preserve"> </w:t>
            </w:r>
            <w:r w:rsidRPr="00A35894">
              <w:t>Laita loput esitäytetyt Avtozma-ruiskut kotelossa jääkaappiin.</w:t>
            </w:r>
          </w:p>
          <w:p w14:paraId="1EE319DE" w14:textId="5614AED7" w:rsidR="00C05DD7" w:rsidRDefault="00480A32">
            <w:pPr>
              <w:pStyle w:val="a4"/>
              <w:widowControl w:val="0"/>
              <w:numPr>
                <w:ilvl w:val="0"/>
                <w:numId w:val="42"/>
              </w:numPr>
              <w:suppressAutoHyphens/>
              <w:ind w:left="567" w:hanging="567"/>
              <w:rPr>
                <w:bCs/>
              </w:rPr>
            </w:pPr>
            <w:r>
              <w:rPr>
                <w:bCs/>
              </w:rPr>
              <w:t xml:space="preserve">Tarkista esitäytetyn Avtozma-ruiskun viimeinen käyttöpäivämäärä </w:t>
            </w:r>
            <w:r w:rsidR="00C05DD7">
              <w:rPr>
                <w:bCs/>
              </w:rPr>
              <w:t>(</w:t>
            </w:r>
            <w:r>
              <w:rPr>
                <w:b/>
              </w:rPr>
              <w:t>ks. kuva </w:t>
            </w:r>
            <w:r w:rsidR="00C05DD7">
              <w:rPr>
                <w:b/>
              </w:rPr>
              <w:t>D</w:t>
            </w:r>
            <w:r w:rsidR="00C05DD7">
              <w:rPr>
                <w:bCs/>
              </w:rPr>
              <w:t>).</w:t>
            </w:r>
          </w:p>
          <w:p w14:paraId="09642B53" w14:textId="512AC202" w:rsidR="00C05DD7" w:rsidRDefault="00480A32" w:rsidP="00CA43F5">
            <w:pPr>
              <w:pStyle w:val="a4"/>
              <w:widowControl w:val="0"/>
              <w:numPr>
                <w:ilvl w:val="0"/>
                <w:numId w:val="38"/>
              </w:numPr>
              <w:suppressAutoHyphens/>
              <w:ind w:left="1134" w:hanging="567"/>
            </w:pPr>
            <w:r w:rsidRPr="00A35894">
              <w:t xml:space="preserve">Jos viimeinen käyttöpäivämäärä on ohitettu, </w:t>
            </w:r>
            <w:r>
              <w:rPr>
                <w:b/>
              </w:rPr>
              <w:t xml:space="preserve">älä </w:t>
            </w:r>
            <w:r w:rsidRPr="00A35894">
              <w:t>käytä esitäytettyä ruiskua</w:t>
            </w:r>
            <w:r w:rsidR="00C05DD7">
              <w:t>.</w:t>
            </w:r>
            <w:r w:rsidR="00C05DD7" w:rsidRPr="00A35894">
              <w:t xml:space="preserve"> </w:t>
            </w:r>
            <w:r w:rsidRPr="00A35894">
              <w:t>Jos viimeinen käyttöpäivämäärä on ohitettu, hävitä esitäytetty ruisku turvallisesti laittamalla se pistävälle ja viiltävälle jätteelle tarkoitettuun astiaan ja ota käyttöön uusi esitäytetty ruisku.</w:t>
            </w:r>
          </w:p>
          <w:p w14:paraId="62DEC22D" w14:textId="75C61204" w:rsidR="00C05DD7" w:rsidRDefault="00480A32">
            <w:pPr>
              <w:pStyle w:val="a4"/>
              <w:widowControl w:val="0"/>
              <w:numPr>
                <w:ilvl w:val="0"/>
                <w:numId w:val="42"/>
              </w:numPr>
              <w:suppressAutoHyphens/>
              <w:ind w:left="567" w:hanging="567"/>
              <w:rPr>
                <w:bCs/>
              </w:rPr>
            </w:pPr>
            <w:r>
              <w:rPr>
                <w:bCs/>
              </w:rPr>
              <w:t xml:space="preserve">Tarkista, ettei esitäytetty ruisku ole </w:t>
            </w:r>
            <w:r w:rsidR="00EF533A">
              <w:rPr>
                <w:bCs/>
              </w:rPr>
              <w:t>viallinen</w:t>
            </w:r>
            <w:r w:rsidR="00A35894">
              <w:rPr>
                <w:bCs/>
              </w:rPr>
              <w:t xml:space="preserve"> tai vuoda</w:t>
            </w:r>
            <w:r w:rsidR="00C05DD7">
              <w:rPr>
                <w:bCs/>
              </w:rPr>
              <w:t>.</w:t>
            </w:r>
          </w:p>
          <w:p w14:paraId="16CC2CF0" w14:textId="0F5B1EA8" w:rsidR="00C05DD7" w:rsidRPr="00A35894" w:rsidRDefault="00A35894" w:rsidP="00CA43F5">
            <w:pPr>
              <w:pStyle w:val="a4"/>
              <w:widowControl w:val="0"/>
              <w:numPr>
                <w:ilvl w:val="0"/>
                <w:numId w:val="38"/>
              </w:numPr>
              <w:suppressAutoHyphens/>
              <w:ind w:left="1134" w:hanging="567"/>
            </w:pPr>
            <w:r>
              <w:rPr>
                <w:b/>
              </w:rPr>
              <w:t>Älä</w:t>
            </w:r>
            <w:r>
              <w:rPr>
                <w:bCs/>
              </w:rPr>
              <w:t xml:space="preserve"> käytä esitäytettyä ruiskua, jos se on pudonnut, </w:t>
            </w:r>
            <w:r w:rsidR="00EF533A">
              <w:rPr>
                <w:bCs/>
              </w:rPr>
              <w:t>viallinen</w:t>
            </w:r>
            <w:r>
              <w:rPr>
                <w:bCs/>
              </w:rPr>
              <w:t xml:space="preserve"> tai vuotaa</w:t>
            </w:r>
            <w:r w:rsidR="00C05DD7" w:rsidRPr="00A35894">
              <w:t>.</w:t>
            </w:r>
          </w:p>
          <w:p w14:paraId="31E4BEF1" w14:textId="77777777" w:rsidR="00C05DD7" w:rsidRPr="00CA43F5" w:rsidRDefault="00C05DD7" w:rsidP="00940778">
            <w:pPr>
              <w:rPr>
                <w:lang w:val="fi-FI"/>
              </w:rPr>
            </w:pPr>
          </w:p>
        </w:tc>
      </w:tr>
      <w:tr w:rsidR="009C440C" w:rsidRPr="00BB5A61" w14:paraId="0D224809" w14:textId="77777777" w:rsidTr="006E6BB4">
        <w:trPr>
          <w:cantSplit/>
        </w:trPr>
        <w:tc>
          <w:tcPr>
            <w:tcW w:w="3539" w:type="dxa"/>
          </w:tcPr>
          <w:p w14:paraId="0D5AEEEE" w14:textId="41925DA5" w:rsidR="00C05DD7" w:rsidRPr="00C017D7" w:rsidRDefault="0086716C">
            <w:pPr>
              <w:suppressAutoHyphens/>
              <w:rPr>
                <w:noProof/>
              </w:rPr>
            </w:pPr>
            <w:r>
              <w:rPr>
                <w:noProof/>
                <w:lang w:val="en-US" w:eastAsia="ko-KR"/>
              </w:rPr>
              <mc:AlternateContent>
                <mc:Choice Requires="wps">
                  <w:drawing>
                    <wp:anchor distT="45720" distB="45720" distL="114300" distR="114300" simplePos="0" relativeHeight="251658246" behindDoc="0" locked="1" layoutInCell="1" allowOverlap="1" wp14:anchorId="7C739A6D" wp14:editId="0089CD37">
                      <wp:simplePos x="0" y="0"/>
                      <wp:positionH relativeFrom="column">
                        <wp:posOffset>304800</wp:posOffset>
                      </wp:positionH>
                      <wp:positionV relativeFrom="page">
                        <wp:posOffset>389890</wp:posOffset>
                      </wp:positionV>
                      <wp:extent cx="767080" cy="489585"/>
                      <wp:effectExtent l="0" t="0" r="0" b="0"/>
                      <wp:wrapNone/>
                      <wp:docPr id="139887624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75190ECF" w14:textId="52E375FA" w:rsidR="00C05DD7" w:rsidRPr="00CA43F5" w:rsidRDefault="00E12AA4" w:rsidP="00C05DD7">
                                  <w:pPr>
                                    <w:spacing w:line="216" w:lineRule="auto"/>
                                    <w:jc w:val="center"/>
                                    <w:rPr>
                                      <w:rFonts w:ascii="Arial" w:hAnsi="Arial" w:cs="Arial"/>
                                      <w:b/>
                                      <w:bCs/>
                                      <w:sz w:val="26"/>
                                      <w:szCs w:val="26"/>
                                    </w:rPr>
                                  </w:pPr>
                                  <w:r w:rsidRPr="00CA43F5">
                                    <w:rPr>
                                      <w:rFonts w:ascii="Arial" w:hAnsi="Arial" w:cs="Arial"/>
                                      <w:b/>
                                      <w:bCs/>
                                      <w:sz w:val="26"/>
                                      <w:szCs w:val="26"/>
                                    </w:rPr>
                                    <w:t>30 minuuttia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39A6D" id="Text Box 107" o:spid="_x0000_s1043" type="#_x0000_t202" style="position:absolute;margin-left:24pt;margin-top:30.7pt;width:60.4pt;height:38.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" filled="f" stroked="f">
                      <v:textbox inset="0,0,0,0">
                        <w:txbxContent>
                          <w:p w14:paraId="75190ECF" w14:textId="52E375FA" w:rsidR="00C05DD7" w:rsidRPr="00CA43F5" w:rsidRDefault="00E12AA4" w:rsidP="00C05DD7">
                            <w:pPr>
                              <w:spacing w:line="216" w:lineRule="auto"/>
                              <w:jc w:val="center"/>
                              <w:rPr>
                                <w:rFonts w:ascii="Arial" w:hAnsi="Arial" w:cs="Arial"/>
                                <w:b/>
                                <w:bCs/>
                                <w:sz w:val="26"/>
                                <w:szCs w:val="26"/>
                              </w:rPr>
                            </w:pPr>
                            <w:r w:rsidRPr="00CA43F5">
                              <w:rPr>
                                <w:rFonts w:ascii="Arial" w:hAnsi="Arial" w:cs="Arial"/>
                                <w:b/>
                                <w:bCs/>
                                <w:sz w:val="26"/>
                                <w:szCs w:val="26"/>
                              </w:rPr>
                              <w:t>30 minuuttia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45" behindDoc="0" locked="1" layoutInCell="1" allowOverlap="1" wp14:anchorId="660EE770" wp14:editId="4DCE4D86">
                      <wp:simplePos x="0" y="0"/>
                      <wp:positionH relativeFrom="column">
                        <wp:posOffset>-1918970</wp:posOffset>
                      </wp:positionH>
                      <wp:positionV relativeFrom="page">
                        <wp:posOffset>446405</wp:posOffset>
                      </wp:positionV>
                      <wp:extent cx="767080" cy="489585"/>
                      <wp:effectExtent l="0" t="0" r="0" b="0"/>
                      <wp:wrapNone/>
                      <wp:docPr id="205656355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659207E3" w14:textId="77777777" w:rsidR="00C05DD7" w:rsidRPr="00D67FF9" w:rsidRDefault="00C05DD7" w:rsidP="00C05DD7">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2E45749F" w14:textId="77777777" w:rsidR="00C05DD7" w:rsidRPr="00D67FF9" w:rsidRDefault="00C05DD7" w:rsidP="00C05DD7">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EE770" id="Text Box 105" o:spid="_x0000_s1044" type="#_x0000_t202" style="position:absolute;margin-left:-151.1pt;margin-top:35.15pt;width:60.4pt;height:38.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659207E3" w14:textId="77777777" w:rsidR="00C05DD7" w:rsidRPr="00D67FF9" w:rsidRDefault="00C05DD7" w:rsidP="00C05DD7">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2E45749F" w14:textId="77777777" w:rsidR="00C05DD7" w:rsidRPr="00D67FF9" w:rsidRDefault="00C05DD7" w:rsidP="00C05DD7">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w:drawing>
                <wp:inline distT="0" distB="0" distL="0" distR="0" wp14:anchorId="0B6AFA77" wp14:editId="56894EC3">
                  <wp:extent cx="2062480" cy="2573020"/>
                  <wp:effectExtent l="19050" t="19050" r="0" b="0"/>
                  <wp:docPr id="10" name="그림 25"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공구, 시계, 일러스트레이션, 디자인이(가) 표시된 사진&#10;&#10;자동 생성된 설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2480" cy="2573020"/>
                          </a:xfrm>
                          <a:prstGeom prst="rect">
                            <a:avLst/>
                          </a:prstGeom>
                          <a:noFill/>
                          <a:ln w="9525" cmpd="sng">
                            <a:solidFill>
                              <a:srgbClr val="000000"/>
                            </a:solidFill>
                            <a:miter lim="800000"/>
                            <a:headEnd/>
                            <a:tailEnd/>
                          </a:ln>
                          <a:effectLst/>
                        </pic:spPr>
                      </pic:pic>
                    </a:graphicData>
                  </a:graphic>
                </wp:inline>
              </w:drawing>
            </w:r>
          </w:p>
          <w:p w14:paraId="748CCE9D" w14:textId="7A35A743" w:rsidR="00C05DD7" w:rsidRDefault="000953D1">
            <w:pPr>
              <w:suppressAutoHyphens/>
              <w:jc w:val="right"/>
              <w:rPr>
                <w:b/>
                <w:bCs/>
                <w:noProof/>
              </w:rPr>
            </w:pPr>
            <w:r>
              <w:rPr>
                <w:b/>
                <w:bCs/>
                <w:noProof/>
              </w:rPr>
              <w:t>Kuva</w:t>
            </w:r>
            <w:r w:rsidR="00C05DD7">
              <w:rPr>
                <w:b/>
                <w:bCs/>
                <w:noProof/>
              </w:rPr>
              <w:t xml:space="preserve"> </w:t>
            </w:r>
            <w:r>
              <w:rPr>
                <w:b/>
                <w:bCs/>
                <w:noProof/>
              </w:rPr>
              <w:t>E</w:t>
            </w:r>
          </w:p>
        </w:tc>
        <w:tc>
          <w:tcPr>
            <w:tcW w:w="5517" w:type="dxa"/>
          </w:tcPr>
          <w:p w14:paraId="58DF590A" w14:textId="0DAA8B30" w:rsidR="00C05DD7" w:rsidRDefault="00A35894" w:rsidP="00070CF8">
            <w:pPr>
              <w:pStyle w:val="a4"/>
              <w:widowControl w:val="0"/>
              <w:numPr>
                <w:ilvl w:val="0"/>
                <w:numId w:val="39"/>
              </w:numPr>
              <w:suppressAutoHyphens/>
              <w:ind w:left="567" w:hanging="567"/>
              <w:rPr>
                <w:b/>
              </w:rPr>
            </w:pPr>
            <w:r>
              <w:rPr>
                <w:b/>
              </w:rPr>
              <w:t>Odota</w:t>
            </w:r>
            <w:r w:rsidR="00C05DD7">
              <w:rPr>
                <w:b/>
              </w:rPr>
              <w:t xml:space="preserve"> 30</w:t>
            </w:r>
            <w:r>
              <w:rPr>
                <w:b/>
              </w:rPr>
              <w:t> minuuttia</w:t>
            </w:r>
            <w:r w:rsidR="00C05DD7">
              <w:rPr>
                <w:b/>
              </w:rPr>
              <w:t>.</w:t>
            </w:r>
          </w:p>
          <w:p w14:paraId="0B67C627" w14:textId="77777777" w:rsidR="00C05DD7" w:rsidRPr="0065335D" w:rsidRDefault="00C05DD7">
            <w:pPr>
              <w:suppressAutoHyphens/>
              <w:ind w:left="567" w:hanging="567"/>
              <w:rPr>
                <w:noProof/>
              </w:rPr>
            </w:pPr>
          </w:p>
          <w:p w14:paraId="272980C4" w14:textId="369BCF4C" w:rsidR="00C05DD7" w:rsidRDefault="0065335D" w:rsidP="00070CF8">
            <w:pPr>
              <w:pStyle w:val="a4"/>
              <w:widowControl w:val="0"/>
              <w:numPr>
                <w:ilvl w:val="0"/>
                <w:numId w:val="43"/>
              </w:numPr>
              <w:suppressAutoHyphens/>
              <w:ind w:left="567" w:hanging="567"/>
              <w:rPr>
                <w:rFonts w:eastAsia="DengXian"/>
                <w:noProof/>
              </w:rPr>
            </w:pPr>
            <w:r w:rsidRPr="0065335D">
              <w:t>Jätä pakkauksesta otettu esitäytetty ruisku huoneenlämpöön (</w:t>
            </w:r>
            <w:r w:rsidR="00D43D49">
              <w:rPr>
                <w:rFonts w:eastAsia="맑은 고딕" w:hint="eastAsia"/>
                <w:lang w:eastAsia="ko-KR"/>
              </w:rPr>
              <w:t>18</w:t>
            </w:r>
            <w:r w:rsidRPr="0065335D">
              <w:t>–</w:t>
            </w:r>
            <w:r w:rsidR="00D43D49" w:rsidRPr="0065335D">
              <w:t>2</w:t>
            </w:r>
            <w:r w:rsidR="00D43D49">
              <w:rPr>
                <w:rFonts w:eastAsia="맑은 고딕" w:hint="eastAsia"/>
                <w:lang w:eastAsia="ko-KR"/>
              </w:rPr>
              <w:t>8</w:t>
            </w:r>
            <w:r w:rsidR="00D43D49" w:rsidRPr="0065335D">
              <w:t> </w:t>
            </w:r>
            <w:r w:rsidRPr="0065335D">
              <w:t>°C) 30 minuutiksi</w:t>
            </w:r>
            <w:r w:rsidR="00C05DD7">
              <w:rPr>
                <w:rFonts w:eastAsia="DengXian"/>
                <w:noProof/>
              </w:rPr>
              <w:t xml:space="preserve"> (</w:t>
            </w:r>
            <w:r w:rsidR="00BD7CC0">
              <w:rPr>
                <w:rFonts w:eastAsia="DengXian"/>
                <w:noProof/>
              </w:rPr>
              <w:t>ks.</w:t>
            </w:r>
            <w:r w:rsidR="00C05DD7">
              <w:rPr>
                <w:rFonts w:eastAsia="DengXian"/>
                <w:noProof/>
              </w:rPr>
              <w:t xml:space="preserve"> </w:t>
            </w:r>
            <w:r w:rsidR="00BD7CC0">
              <w:rPr>
                <w:rFonts w:eastAsia="DengXian"/>
                <w:b/>
                <w:bCs/>
                <w:noProof/>
              </w:rPr>
              <w:t>kuva</w:t>
            </w:r>
            <w:r w:rsidR="00C05DD7">
              <w:rPr>
                <w:rFonts w:eastAsia="DengXian"/>
                <w:b/>
                <w:bCs/>
                <w:noProof/>
              </w:rPr>
              <w:t> E</w:t>
            </w:r>
            <w:r w:rsidR="00C05DD7">
              <w:rPr>
                <w:rFonts w:eastAsia="DengXian"/>
                <w:noProof/>
              </w:rPr>
              <w:t>).</w:t>
            </w:r>
          </w:p>
          <w:p w14:paraId="7E3D9453" w14:textId="7CE49F8B" w:rsidR="00C05DD7" w:rsidRDefault="00BD7CC0" w:rsidP="00CA43F5">
            <w:pPr>
              <w:pStyle w:val="a4"/>
              <w:widowControl w:val="0"/>
              <w:numPr>
                <w:ilvl w:val="0"/>
                <w:numId w:val="38"/>
              </w:numPr>
              <w:suppressAutoHyphens/>
              <w:ind w:left="1134" w:hanging="567"/>
              <w:rPr>
                <w:rFonts w:eastAsia="DengXian"/>
                <w:noProof/>
              </w:rPr>
            </w:pPr>
            <w:r>
              <w:rPr>
                <w:rFonts w:eastAsia="DengXian"/>
                <w:b/>
                <w:bCs/>
                <w:noProof/>
              </w:rPr>
              <w:t>Älä</w:t>
            </w:r>
            <w:r>
              <w:rPr>
                <w:rFonts w:eastAsia="DengXian"/>
                <w:noProof/>
              </w:rPr>
              <w:t xml:space="preserve"> lämmitä esitäytettyä ruiskua millään lämmönlähteellä, kuten kuumalla vedellä tai mikroaaltouunissa</w:t>
            </w:r>
            <w:r w:rsidR="00C05DD7">
              <w:rPr>
                <w:rFonts w:eastAsia="DengXian"/>
                <w:noProof/>
              </w:rPr>
              <w:t>.</w:t>
            </w:r>
          </w:p>
          <w:p w14:paraId="1B702C0A" w14:textId="6B1FB331" w:rsidR="00C05DD7" w:rsidRDefault="00BD7CC0" w:rsidP="00CA43F5">
            <w:pPr>
              <w:pStyle w:val="a4"/>
              <w:widowControl w:val="0"/>
              <w:numPr>
                <w:ilvl w:val="0"/>
                <w:numId w:val="38"/>
              </w:numPr>
              <w:suppressAutoHyphens/>
              <w:ind w:left="1134" w:hanging="567"/>
              <w:rPr>
                <w:rFonts w:eastAsia="DengXian"/>
                <w:noProof/>
              </w:rPr>
            </w:pPr>
            <w:r>
              <w:rPr>
                <w:b/>
              </w:rPr>
              <w:t xml:space="preserve">Älä </w:t>
            </w:r>
            <w:r w:rsidRPr="0065335D">
              <w:t>jätä esitäytettyä ruiskua suoraan auringonvaloon</w:t>
            </w:r>
            <w:r w:rsidR="00C95203">
              <w:t>.</w:t>
            </w:r>
          </w:p>
          <w:p w14:paraId="39564716" w14:textId="0559ADDC" w:rsidR="00C05DD7" w:rsidRDefault="0065335D" w:rsidP="00CA43F5">
            <w:pPr>
              <w:pStyle w:val="a4"/>
              <w:widowControl w:val="0"/>
              <w:numPr>
                <w:ilvl w:val="0"/>
                <w:numId w:val="38"/>
              </w:numPr>
              <w:suppressAutoHyphens/>
              <w:ind w:left="1134" w:hanging="567"/>
              <w:rPr>
                <w:rFonts w:eastAsia="DengXian"/>
                <w:noProof/>
              </w:rPr>
            </w:pPr>
            <w:r>
              <w:rPr>
                <w:rFonts w:eastAsia="DengXian"/>
                <w:b/>
                <w:bCs/>
                <w:noProof/>
              </w:rPr>
              <w:t xml:space="preserve">Älä </w:t>
            </w:r>
            <w:r>
              <w:rPr>
                <w:rFonts w:eastAsia="DengXian"/>
                <w:noProof/>
              </w:rPr>
              <w:t>poista suojakorkkia vielä, kun esitäytetty ruisku lämpenee huoneenlämpöiseksi</w:t>
            </w:r>
            <w:r w:rsidR="00C05DD7">
              <w:rPr>
                <w:rFonts w:eastAsia="DengXian"/>
                <w:noProof/>
              </w:rPr>
              <w:t>.</w:t>
            </w:r>
          </w:p>
          <w:p w14:paraId="3DF1ED76" w14:textId="203CB208" w:rsidR="00C05DD7" w:rsidRDefault="0065335D" w:rsidP="00CA43F5">
            <w:pPr>
              <w:pStyle w:val="a4"/>
              <w:widowControl w:val="0"/>
              <w:numPr>
                <w:ilvl w:val="0"/>
                <w:numId w:val="38"/>
              </w:numPr>
              <w:suppressAutoHyphens/>
              <w:ind w:left="1134" w:hanging="567"/>
              <w:rPr>
                <w:rFonts w:eastAsia="DengXian"/>
                <w:noProof/>
              </w:rPr>
            </w:pPr>
            <w:r w:rsidRPr="0065335D">
              <w:t xml:space="preserve">Jos esitäytetty </w:t>
            </w:r>
            <w:r w:rsidR="007773B5">
              <w:t>ruisku</w:t>
            </w:r>
            <w:r w:rsidRPr="0065335D">
              <w:t xml:space="preserve"> ei ole huoneenlämpöinen, </w:t>
            </w:r>
            <w:r w:rsidR="0014197A" w:rsidRPr="0028514E">
              <w:t>pistos saattaa tuntua epämiellyttävältä ja männän painaminen saattaa olla vaikeaa</w:t>
            </w:r>
            <w:r w:rsidRPr="0065335D">
              <w:t>.</w:t>
            </w:r>
          </w:p>
          <w:p w14:paraId="052F92E0" w14:textId="77777777" w:rsidR="00C05DD7" w:rsidRPr="00CA43F5" w:rsidRDefault="00C05DD7" w:rsidP="00940778">
            <w:pPr>
              <w:rPr>
                <w:lang w:val="fi-FI"/>
              </w:rPr>
            </w:pPr>
          </w:p>
        </w:tc>
      </w:tr>
      <w:tr w:rsidR="009C440C" w:rsidRPr="00124F43" w14:paraId="2FA9CC5A" w14:textId="77777777" w:rsidTr="006E6BB4">
        <w:trPr>
          <w:cantSplit/>
        </w:trPr>
        <w:tc>
          <w:tcPr>
            <w:tcW w:w="3539" w:type="dxa"/>
          </w:tcPr>
          <w:p w14:paraId="77323EA2" w14:textId="2AF76428" w:rsidR="00C05DD7" w:rsidRDefault="0086716C">
            <w:pPr>
              <w:suppressAutoHyphens/>
              <w:rPr>
                <w:noProof/>
              </w:rPr>
            </w:pPr>
            <w:r>
              <w:rPr>
                <w:noProof/>
                <w:lang w:val="en-US" w:eastAsia="ko-KR"/>
              </w:rPr>
              <w:drawing>
                <wp:inline distT="0" distB="0" distL="0" distR="0" wp14:anchorId="488CF097" wp14:editId="5BF39712">
                  <wp:extent cx="2084070" cy="2573020"/>
                  <wp:effectExtent l="19050" t="19050" r="0" b="0"/>
                  <wp:docPr id="11" name="그림 24"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검, 일러스트레이션이(가) 표시된 사진&#10;&#10;자동 생성된 설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4070" cy="2573020"/>
                          </a:xfrm>
                          <a:prstGeom prst="rect">
                            <a:avLst/>
                          </a:prstGeom>
                          <a:noFill/>
                          <a:ln w="9525" cmpd="sng">
                            <a:solidFill>
                              <a:srgbClr val="000000"/>
                            </a:solidFill>
                            <a:miter lim="800000"/>
                            <a:headEnd/>
                            <a:tailEnd/>
                          </a:ln>
                          <a:effectLst/>
                        </pic:spPr>
                      </pic:pic>
                    </a:graphicData>
                  </a:graphic>
                </wp:inline>
              </w:drawing>
            </w:r>
          </w:p>
          <w:p w14:paraId="5D99C3FC" w14:textId="09CC30C3" w:rsidR="00C05DD7" w:rsidRDefault="000953D1">
            <w:pPr>
              <w:suppressAutoHyphens/>
              <w:jc w:val="right"/>
              <w:rPr>
                <w:b/>
                <w:bCs/>
                <w:noProof/>
              </w:rPr>
            </w:pPr>
            <w:r>
              <w:rPr>
                <w:b/>
                <w:bCs/>
                <w:noProof/>
              </w:rPr>
              <w:t>Kuva</w:t>
            </w:r>
            <w:r w:rsidR="00C05DD7">
              <w:rPr>
                <w:b/>
                <w:bCs/>
                <w:noProof/>
              </w:rPr>
              <w:t xml:space="preserve"> </w:t>
            </w:r>
            <w:r>
              <w:rPr>
                <w:b/>
                <w:bCs/>
                <w:noProof/>
              </w:rPr>
              <w:t>F</w:t>
            </w:r>
          </w:p>
        </w:tc>
        <w:tc>
          <w:tcPr>
            <w:tcW w:w="5517" w:type="dxa"/>
          </w:tcPr>
          <w:p w14:paraId="6F00938E" w14:textId="5378C86F" w:rsidR="00C05DD7" w:rsidRDefault="00A313D5">
            <w:pPr>
              <w:pStyle w:val="a4"/>
              <w:widowControl w:val="0"/>
              <w:numPr>
                <w:ilvl w:val="0"/>
                <w:numId w:val="39"/>
              </w:numPr>
              <w:suppressAutoHyphens/>
              <w:ind w:left="567" w:hanging="567"/>
              <w:rPr>
                <w:b/>
              </w:rPr>
            </w:pPr>
            <w:r>
              <w:rPr>
                <w:b/>
              </w:rPr>
              <w:t>Tarkasta lääke</w:t>
            </w:r>
            <w:r w:rsidR="00C05DD7">
              <w:rPr>
                <w:b/>
              </w:rPr>
              <w:t>.</w:t>
            </w:r>
          </w:p>
          <w:p w14:paraId="042995D7" w14:textId="77777777" w:rsidR="00C05DD7" w:rsidRPr="002B25A8" w:rsidRDefault="00C05DD7">
            <w:pPr>
              <w:suppressAutoHyphens/>
              <w:ind w:left="567" w:hanging="567"/>
              <w:rPr>
                <w:noProof/>
              </w:rPr>
            </w:pPr>
          </w:p>
          <w:p w14:paraId="4A661845" w14:textId="01C6E1AB" w:rsidR="00C05DD7" w:rsidRDefault="00A313D5">
            <w:pPr>
              <w:pStyle w:val="a4"/>
              <w:widowControl w:val="0"/>
              <w:numPr>
                <w:ilvl w:val="0"/>
                <w:numId w:val="44"/>
              </w:numPr>
              <w:suppressAutoHyphens/>
              <w:ind w:left="567" w:hanging="567"/>
              <w:rPr>
                <w:rFonts w:eastAsia="DengXian"/>
                <w:noProof/>
              </w:rPr>
            </w:pPr>
            <w:r>
              <w:rPr>
                <w:rFonts w:eastAsia="DengXian"/>
                <w:noProof/>
              </w:rPr>
              <w:t>Pitele Avtozma-ruiskua suojakorkki alaspäin</w:t>
            </w:r>
            <w:r w:rsidR="00C05DD7">
              <w:rPr>
                <w:rFonts w:eastAsia="DengXian"/>
                <w:noProof/>
              </w:rPr>
              <w:t>.</w:t>
            </w:r>
          </w:p>
          <w:p w14:paraId="49BDEDA0" w14:textId="1FB03FC5" w:rsidR="00C05DD7" w:rsidRDefault="00A313D5" w:rsidP="00070CF8">
            <w:pPr>
              <w:pStyle w:val="a4"/>
              <w:widowControl w:val="0"/>
              <w:numPr>
                <w:ilvl w:val="0"/>
                <w:numId w:val="44"/>
              </w:numPr>
              <w:suppressAutoHyphens/>
              <w:ind w:left="567" w:hanging="567"/>
              <w:rPr>
                <w:rFonts w:eastAsia="DengXian"/>
                <w:noProof/>
              </w:rPr>
            </w:pPr>
            <w:r>
              <w:rPr>
                <w:rFonts w:eastAsia="DengXian"/>
                <w:noProof/>
              </w:rPr>
              <w:t>Katso lääkettä ja varmista, että neste on kirkasta ja väritöntä tai vaaleankeltaista eikä sisällä hiukkasia tai saostumia</w:t>
            </w:r>
            <w:r w:rsidR="00C05DD7">
              <w:rPr>
                <w:rFonts w:eastAsia="DengXian"/>
                <w:noProof/>
              </w:rPr>
              <w:t xml:space="preserve"> (</w:t>
            </w:r>
            <w:r>
              <w:rPr>
                <w:rFonts w:eastAsia="DengXian"/>
                <w:noProof/>
              </w:rPr>
              <w:t>ks.</w:t>
            </w:r>
            <w:r w:rsidR="00C05DD7">
              <w:rPr>
                <w:rFonts w:eastAsia="DengXian"/>
                <w:noProof/>
              </w:rPr>
              <w:t xml:space="preserve"> </w:t>
            </w:r>
            <w:r>
              <w:rPr>
                <w:rFonts w:eastAsia="DengXian"/>
                <w:b/>
                <w:bCs/>
                <w:noProof/>
              </w:rPr>
              <w:t>kuva</w:t>
            </w:r>
            <w:r w:rsidR="00C05DD7">
              <w:rPr>
                <w:rFonts w:eastAsia="DengXian"/>
                <w:b/>
                <w:bCs/>
                <w:noProof/>
              </w:rPr>
              <w:t> F</w:t>
            </w:r>
            <w:r w:rsidR="00C05DD7">
              <w:rPr>
                <w:rFonts w:eastAsia="DengXian"/>
                <w:noProof/>
              </w:rPr>
              <w:t>).</w:t>
            </w:r>
          </w:p>
          <w:p w14:paraId="1651F5CF" w14:textId="041510C3" w:rsidR="00C05DD7" w:rsidRDefault="00A313D5" w:rsidP="00CA43F5">
            <w:pPr>
              <w:pStyle w:val="a4"/>
              <w:widowControl w:val="0"/>
              <w:numPr>
                <w:ilvl w:val="0"/>
                <w:numId w:val="38"/>
              </w:numPr>
              <w:suppressAutoHyphens/>
              <w:ind w:left="1134" w:hanging="567"/>
              <w:rPr>
                <w:rFonts w:eastAsia="DengXian"/>
                <w:noProof/>
              </w:rPr>
            </w:pPr>
            <w:r>
              <w:rPr>
                <w:rFonts w:eastAsia="DengXian"/>
                <w:b/>
                <w:bCs/>
                <w:noProof/>
              </w:rPr>
              <w:t>Älä</w:t>
            </w:r>
            <w:r w:rsidR="00C05DD7">
              <w:rPr>
                <w:rFonts w:eastAsia="DengXian"/>
                <w:b/>
                <w:bCs/>
                <w:noProof/>
              </w:rPr>
              <w:t xml:space="preserve"> </w:t>
            </w:r>
            <w:r>
              <w:t>käytä esitäytettyä ruiskua, jos neste on värjääntynyttä tai sameaa tai jos siinä on hiukkasia tai saostumia</w:t>
            </w:r>
            <w:r w:rsidR="00C05DD7">
              <w:rPr>
                <w:rFonts w:eastAsia="DengXian"/>
                <w:noProof/>
              </w:rPr>
              <w:t xml:space="preserve">. </w:t>
            </w:r>
            <w:r>
              <w:t>H</w:t>
            </w:r>
            <w:r w:rsidRPr="00A35894">
              <w:t>ävitä esitäytetty ruisku turvallisesti laittamalla se pistävälle ja viiltävälle jätteelle tarkoitettuun astiaan ja ota käyttöön uusi esitäytetty ruisku</w:t>
            </w:r>
            <w:r w:rsidR="00C05DD7">
              <w:rPr>
                <w:rFonts w:eastAsia="DengXian"/>
                <w:noProof/>
              </w:rPr>
              <w:t>.</w:t>
            </w:r>
          </w:p>
          <w:p w14:paraId="614FC224" w14:textId="7B2DF2DC" w:rsidR="00C05DD7" w:rsidRDefault="00A313D5" w:rsidP="00CA43F5">
            <w:pPr>
              <w:pStyle w:val="a4"/>
              <w:widowControl w:val="0"/>
              <w:numPr>
                <w:ilvl w:val="0"/>
                <w:numId w:val="38"/>
              </w:numPr>
              <w:suppressAutoHyphens/>
              <w:ind w:left="1134" w:hanging="567"/>
              <w:rPr>
                <w:rFonts w:eastAsia="DengXian"/>
                <w:noProof/>
              </w:rPr>
            </w:pPr>
            <w:r>
              <w:rPr>
                <w:rFonts w:eastAsia="DengXian"/>
                <w:noProof/>
              </w:rPr>
              <w:t>Ilmakuplat ovat normaaleja</w:t>
            </w:r>
            <w:r w:rsidR="00C05DD7">
              <w:rPr>
                <w:rFonts w:eastAsia="DengXian"/>
                <w:noProof/>
              </w:rPr>
              <w:t>.</w:t>
            </w:r>
          </w:p>
          <w:p w14:paraId="4BD7C4E8" w14:textId="77777777" w:rsidR="00C05DD7" w:rsidRPr="000821BB" w:rsidRDefault="00C05DD7" w:rsidP="00940778"/>
        </w:tc>
      </w:tr>
      <w:tr w:rsidR="009C440C" w:rsidRPr="00ED6BAC" w14:paraId="1D7EF7DF" w14:textId="77777777" w:rsidTr="006E6BB4">
        <w:trPr>
          <w:cantSplit/>
        </w:trPr>
        <w:tc>
          <w:tcPr>
            <w:tcW w:w="3539" w:type="dxa"/>
          </w:tcPr>
          <w:p w14:paraId="20116AE5" w14:textId="5DFA56F0" w:rsidR="00C05DD7" w:rsidRPr="00B27317" w:rsidRDefault="0086716C">
            <w:pPr>
              <w:suppressAutoHyphens/>
              <w:rPr>
                <w:noProof/>
              </w:rPr>
            </w:pPr>
            <w:r>
              <w:rPr>
                <w:noProof/>
                <w:lang w:val="en-US" w:eastAsia="ko-KR"/>
              </w:rPr>
              <w:lastRenderedPageBreak/>
              <w:drawing>
                <wp:inline distT="0" distB="0" distL="0" distR="0" wp14:anchorId="25EF3A55" wp14:editId="719AE2C3">
                  <wp:extent cx="2084070" cy="2573020"/>
                  <wp:effectExtent l="19050" t="19050" r="0" b="0"/>
                  <wp:docPr id="12" name="그림 23"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스케치, 그림, 라인 아트, 아동 미술이(가) 표시된 사진&#10;&#10;자동 생성된 설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4070" cy="2573020"/>
                          </a:xfrm>
                          <a:prstGeom prst="rect">
                            <a:avLst/>
                          </a:prstGeom>
                          <a:noFill/>
                          <a:ln w="9525" cmpd="sng">
                            <a:solidFill>
                              <a:srgbClr val="000000"/>
                            </a:solidFill>
                            <a:miter lim="800000"/>
                            <a:headEnd/>
                            <a:tailEnd/>
                          </a:ln>
                          <a:effectLst/>
                        </pic:spPr>
                      </pic:pic>
                    </a:graphicData>
                  </a:graphic>
                </wp:inline>
              </w:drawing>
            </w:r>
          </w:p>
          <w:p w14:paraId="573E90A2" w14:textId="7B9A44F5" w:rsidR="00C05DD7" w:rsidRDefault="00B27317">
            <w:pPr>
              <w:suppressAutoHyphens/>
              <w:jc w:val="right"/>
              <w:rPr>
                <w:b/>
                <w:bCs/>
                <w:noProof/>
              </w:rPr>
            </w:pPr>
            <w:r>
              <w:rPr>
                <w:b/>
                <w:bCs/>
                <w:noProof/>
              </w:rPr>
              <w:t>Kuva</w:t>
            </w:r>
            <w:r w:rsidR="00C05DD7">
              <w:rPr>
                <w:b/>
                <w:bCs/>
                <w:noProof/>
              </w:rPr>
              <w:t xml:space="preserve"> G</w:t>
            </w:r>
          </w:p>
        </w:tc>
        <w:tc>
          <w:tcPr>
            <w:tcW w:w="5517" w:type="dxa"/>
          </w:tcPr>
          <w:p w14:paraId="163F6E98" w14:textId="28B20C48" w:rsidR="00C05DD7" w:rsidRDefault="00B27317">
            <w:pPr>
              <w:pStyle w:val="a4"/>
              <w:widowControl w:val="0"/>
              <w:numPr>
                <w:ilvl w:val="0"/>
                <w:numId w:val="39"/>
              </w:numPr>
              <w:suppressAutoHyphens/>
              <w:ind w:left="567" w:hanging="567"/>
              <w:rPr>
                <w:b/>
              </w:rPr>
            </w:pPr>
            <w:r>
              <w:rPr>
                <w:b/>
              </w:rPr>
              <w:t>Pese kädet</w:t>
            </w:r>
            <w:r w:rsidR="00C05DD7">
              <w:rPr>
                <w:b/>
              </w:rPr>
              <w:t>.</w:t>
            </w:r>
          </w:p>
          <w:p w14:paraId="1A828B99" w14:textId="77777777" w:rsidR="00C05DD7" w:rsidRPr="00B27317" w:rsidRDefault="00C05DD7">
            <w:pPr>
              <w:suppressAutoHyphens/>
              <w:ind w:left="567" w:hanging="567"/>
              <w:rPr>
                <w:noProof/>
              </w:rPr>
            </w:pPr>
          </w:p>
          <w:p w14:paraId="1D321FE9" w14:textId="17EEE4A2" w:rsidR="00C05DD7" w:rsidRDefault="00B27317" w:rsidP="00070CF8">
            <w:pPr>
              <w:pStyle w:val="a4"/>
              <w:widowControl w:val="0"/>
              <w:numPr>
                <w:ilvl w:val="0"/>
                <w:numId w:val="45"/>
              </w:numPr>
              <w:suppressAutoHyphens/>
              <w:ind w:left="567" w:hanging="567"/>
              <w:rPr>
                <w:rFonts w:eastAsia="DengXian"/>
                <w:noProof/>
              </w:rPr>
            </w:pPr>
            <w:r w:rsidRPr="00B27317">
              <w:t>Pese kädet vedellä ja saippualla ja kuivaa ne huolellisesti</w:t>
            </w:r>
            <w:r>
              <w:rPr>
                <w:rFonts w:eastAsia="DengXian"/>
                <w:noProof/>
              </w:rPr>
              <w:t xml:space="preserve"> </w:t>
            </w:r>
            <w:r w:rsidR="00C05DD7">
              <w:rPr>
                <w:rFonts w:eastAsia="DengXian"/>
                <w:noProof/>
              </w:rPr>
              <w:t>(</w:t>
            </w:r>
            <w:r>
              <w:rPr>
                <w:rFonts w:eastAsia="DengXian"/>
                <w:noProof/>
              </w:rPr>
              <w:t>ks.</w:t>
            </w:r>
            <w:r w:rsidR="00C05DD7">
              <w:rPr>
                <w:rFonts w:eastAsia="DengXian"/>
                <w:noProof/>
              </w:rPr>
              <w:t xml:space="preserve"> </w:t>
            </w:r>
            <w:r>
              <w:rPr>
                <w:rFonts w:eastAsia="DengXian"/>
                <w:b/>
                <w:bCs/>
                <w:noProof/>
              </w:rPr>
              <w:t>kuva</w:t>
            </w:r>
            <w:r w:rsidR="00C05DD7">
              <w:rPr>
                <w:rFonts w:eastAsia="DengXian"/>
                <w:b/>
                <w:bCs/>
                <w:noProof/>
              </w:rPr>
              <w:t> G</w:t>
            </w:r>
            <w:r w:rsidR="00C05DD7">
              <w:rPr>
                <w:rFonts w:eastAsia="DengXian"/>
                <w:noProof/>
              </w:rPr>
              <w:t>).</w:t>
            </w:r>
          </w:p>
          <w:p w14:paraId="26FEF162" w14:textId="77777777" w:rsidR="00C05DD7" w:rsidRPr="00CA43F5" w:rsidRDefault="00C05DD7" w:rsidP="00940778">
            <w:pPr>
              <w:rPr>
                <w:lang w:val="fi-FI"/>
              </w:rPr>
            </w:pPr>
          </w:p>
        </w:tc>
      </w:tr>
      <w:tr w:rsidR="009C440C" w:rsidRPr="00124F43" w14:paraId="477F092E" w14:textId="77777777" w:rsidTr="006E6BB4">
        <w:trPr>
          <w:cantSplit/>
        </w:trPr>
        <w:tc>
          <w:tcPr>
            <w:tcW w:w="3539" w:type="dxa"/>
          </w:tcPr>
          <w:p w14:paraId="2AF7F37D" w14:textId="2386C156" w:rsidR="00C05DD7" w:rsidRDefault="0086716C">
            <w:pPr>
              <w:suppressAutoHyphens/>
              <w:rPr>
                <w:noProof/>
              </w:rPr>
            </w:pPr>
            <w:r>
              <w:rPr>
                <w:noProof/>
                <w:lang w:val="en-US" w:eastAsia="ko-KR"/>
              </w:rPr>
              <w:drawing>
                <wp:inline distT="0" distB="0" distL="0" distR="0" wp14:anchorId="13DBE329" wp14:editId="435EB65C">
                  <wp:extent cx="2084070" cy="3306445"/>
                  <wp:effectExtent l="19050" t="19050" r="0" b="8255"/>
                  <wp:docPr id="13" name="그림 22"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스케치, 화이트, 그림, 디자인이(가) 표시된 사진&#10;&#10;자동 생성된 설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4070" cy="3306445"/>
                          </a:xfrm>
                          <a:prstGeom prst="rect">
                            <a:avLst/>
                          </a:prstGeom>
                          <a:noFill/>
                          <a:ln w="9525" cmpd="sng">
                            <a:solidFill>
                              <a:srgbClr val="000000"/>
                            </a:solidFill>
                            <a:miter lim="800000"/>
                            <a:headEnd/>
                            <a:tailEnd/>
                          </a:ln>
                          <a:effectLst/>
                        </pic:spPr>
                      </pic:pic>
                    </a:graphicData>
                  </a:graphic>
                </wp:inline>
              </w:drawing>
            </w:r>
          </w:p>
          <w:p w14:paraId="0544D536" w14:textId="539A0770" w:rsidR="00C05DD7" w:rsidRDefault="0086716C">
            <w:pPr>
              <w:suppressAutoHyphens/>
              <w:jc w:val="right"/>
              <w:rPr>
                <w:b/>
                <w:bCs/>
                <w:noProof/>
              </w:rPr>
            </w:pPr>
            <w:r>
              <w:rPr>
                <w:b/>
                <w:bCs/>
                <w:noProof/>
                <w:lang w:val="en-US" w:eastAsia="ko-KR"/>
              </w:rPr>
              <mc:AlternateContent>
                <mc:Choice Requires="wps">
                  <w:drawing>
                    <wp:anchor distT="45720" distB="45720" distL="114300" distR="114300" simplePos="0" relativeHeight="251658249" behindDoc="0" locked="1" layoutInCell="1" allowOverlap="1" wp14:anchorId="07F439A2" wp14:editId="68E27B1D">
                      <wp:simplePos x="0" y="0"/>
                      <wp:positionH relativeFrom="column">
                        <wp:posOffset>574675</wp:posOffset>
                      </wp:positionH>
                      <wp:positionV relativeFrom="page">
                        <wp:posOffset>2904490</wp:posOffset>
                      </wp:positionV>
                      <wp:extent cx="1410970" cy="434975"/>
                      <wp:effectExtent l="0" t="0" r="0" b="0"/>
                      <wp:wrapNone/>
                      <wp:docPr id="42257564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434975"/>
                              </a:xfrm>
                              <a:prstGeom prst="rect">
                                <a:avLst/>
                              </a:prstGeom>
                              <a:noFill/>
                              <a:ln>
                                <a:noFill/>
                              </a:ln>
                            </wps:spPr>
                            <wps:txbx>
                              <w:txbxContent>
                                <w:p w14:paraId="5D1A88BD" w14:textId="3D2D394D" w:rsidR="00C05DD7" w:rsidRPr="00237A3E" w:rsidRDefault="00E12AA4" w:rsidP="00C05DD7">
                                  <w:pPr>
                                    <w:rPr>
                                      <w:rFonts w:ascii="Arial" w:hAnsi="Arial" w:cs="Arial"/>
                                      <w:b/>
                                      <w:bCs/>
                                      <w:sz w:val="16"/>
                                      <w:szCs w:val="16"/>
                                      <w:lang w:val="fi-FI"/>
                                    </w:rPr>
                                  </w:pPr>
                                  <w:r w:rsidRPr="00237A3E">
                                    <w:rPr>
                                      <w:rFonts w:ascii="Arial" w:hAnsi="Arial" w:cs="Arial"/>
                                      <w:b/>
                                      <w:bCs/>
                                      <w:sz w:val="16"/>
                                      <w:szCs w:val="16"/>
                                      <w:lang w:val="fi-FI"/>
                                    </w:rPr>
                                    <w:t>Potilas itse, potilasta hoitava henkilö ja terveydenhuollon ammattilainen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439A2" id="Text Box 103" o:spid="_x0000_s1045" type="#_x0000_t202" style="position:absolute;left:0;text-align:left;margin-left:45.25pt;margin-top:228.7pt;width:111.1pt;height:34.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" filled="f" stroked="f">
                      <v:textbox inset="0,0,0,0">
                        <w:txbxContent>
                          <w:p w14:paraId="5D1A88BD" w14:textId="3D2D394D" w:rsidR="00C05DD7" w:rsidRPr="00237A3E" w:rsidRDefault="00E12AA4" w:rsidP="00C05DD7">
                            <w:pPr>
                              <w:rPr>
                                <w:rFonts w:ascii="Arial" w:hAnsi="Arial" w:cs="Arial"/>
                                <w:b/>
                                <w:bCs/>
                                <w:sz w:val="16"/>
                                <w:szCs w:val="16"/>
                                <w:lang w:val="fi-FI"/>
                              </w:rPr>
                            </w:pPr>
                            <w:r w:rsidRPr="00237A3E">
                              <w:rPr>
                                <w:rFonts w:ascii="Arial" w:hAnsi="Arial" w:cs="Arial"/>
                                <w:b/>
                                <w:bCs/>
                                <w:sz w:val="16"/>
                                <w:szCs w:val="16"/>
                                <w:lang w:val="fi-FI"/>
                              </w:rPr>
                              <w:t>Potilas itse, potilasta hoitava henkilö ja terveydenhuollon ammattilainen</w:t>
                            </w:r>
                          </w:p>
                        </w:txbxContent>
                      </v:textbox>
                      <w10:wrap anchory="page"/>
                      <w10:anchorlock/>
                    </v:shape>
                  </w:pict>
                </mc:Fallback>
              </mc:AlternateContent>
            </w:r>
            <w:r>
              <w:rPr>
                <w:b/>
                <w:bCs/>
                <w:noProof/>
                <w:lang w:val="en-US" w:eastAsia="ko-KR"/>
              </w:rPr>
              <mc:AlternateContent>
                <mc:Choice Requires="wps">
                  <w:drawing>
                    <wp:anchor distT="45720" distB="45720" distL="114300" distR="114300" simplePos="0" relativeHeight="251658250" behindDoc="0" locked="1" layoutInCell="1" allowOverlap="1" wp14:anchorId="6675EAAA" wp14:editId="6FBED0E6">
                      <wp:simplePos x="0" y="0"/>
                      <wp:positionH relativeFrom="column">
                        <wp:posOffset>573405</wp:posOffset>
                      </wp:positionH>
                      <wp:positionV relativeFrom="page">
                        <wp:posOffset>2439035</wp:posOffset>
                      </wp:positionV>
                      <wp:extent cx="1412240" cy="417195"/>
                      <wp:effectExtent l="0" t="0" r="0" b="0"/>
                      <wp:wrapNone/>
                      <wp:docPr id="134485495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417195"/>
                              </a:xfrm>
                              <a:prstGeom prst="rect">
                                <a:avLst/>
                              </a:prstGeom>
                              <a:noFill/>
                              <a:ln>
                                <a:noFill/>
                              </a:ln>
                            </wps:spPr>
                            <wps:txbx>
                              <w:txbxContent>
                                <w:p w14:paraId="0CED0830" w14:textId="69746D42" w:rsidR="00C05DD7" w:rsidRPr="00237A3E" w:rsidRDefault="00E12AA4" w:rsidP="00C05DD7">
                                  <w:pPr>
                                    <w:rPr>
                                      <w:rFonts w:ascii="Arial" w:hAnsi="Arial" w:cs="Arial"/>
                                      <w:b/>
                                      <w:bCs/>
                                      <w:sz w:val="16"/>
                                      <w:szCs w:val="16"/>
                                      <w:lang w:val="fi-FI"/>
                                    </w:rPr>
                                  </w:pPr>
                                  <w:r w:rsidRPr="00237A3E">
                                    <w:rPr>
                                      <w:rFonts w:ascii="Arial" w:hAnsi="Arial" w:cs="Arial"/>
                                      <w:b/>
                                      <w:bCs/>
                                      <w:sz w:val="16"/>
                                      <w:szCs w:val="16"/>
                                      <w:lang w:val="fi-FI"/>
                                    </w:rPr>
                                    <w:t>VAIN potilasta hoitava henkilö ja terveydenhuollon ammattilainen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5EAAA" id="Text Box 101" o:spid="_x0000_s1046" type="#_x0000_t202" style="position:absolute;left:0;text-align:left;margin-left:45.15pt;margin-top:192.05pt;width:111.2pt;height:32.8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" filled="f" stroked="f">
                      <v:textbox inset="0,0,0,0">
                        <w:txbxContent>
                          <w:p w14:paraId="0CED0830" w14:textId="69746D42" w:rsidR="00C05DD7" w:rsidRPr="00237A3E" w:rsidRDefault="00E12AA4" w:rsidP="00C05DD7">
                            <w:pPr>
                              <w:rPr>
                                <w:rFonts w:ascii="Arial" w:hAnsi="Arial" w:cs="Arial"/>
                                <w:b/>
                                <w:bCs/>
                                <w:sz w:val="16"/>
                                <w:szCs w:val="16"/>
                                <w:lang w:val="fi-FI"/>
                              </w:rPr>
                            </w:pPr>
                            <w:r w:rsidRPr="00237A3E">
                              <w:rPr>
                                <w:rFonts w:ascii="Arial" w:hAnsi="Arial" w:cs="Arial"/>
                                <w:b/>
                                <w:bCs/>
                                <w:sz w:val="16"/>
                                <w:szCs w:val="16"/>
                                <w:lang w:val="fi-FI"/>
                              </w:rPr>
                              <w:t>VAIN potilasta hoitava henkilö ja terveydenhuollon ammattilainen</w:t>
                            </w:r>
                          </w:p>
                        </w:txbxContent>
                      </v:textbox>
                      <w10:wrap anchory="page"/>
                      <w10:anchorlock/>
                    </v:shape>
                  </w:pict>
                </mc:Fallback>
              </mc:AlternateContent>
            </w:r>
            <w:r w:rsidR="00B27317">
              <w:rPr>
                <w:b/>
                <w:bCs/>
                <w:noProof/>
              </w:rPr>
              <w:t>Kuva</w:t>
            </w:r>
            <w:r w:rsidR="00C05DD7">
              <w:rPr>
                <w:b/>
                <w:bCs/>
                <w:noProof/>
              </w:rPr>
              <w:t xml:space="preserve"> H</w:t>
            </w:r>
          </w:p>
        </w:tc>
        <w:tc>
          <w:tcPr>
            <w:tcW w:w="5517" w:type="dxa"/>
          </w:tcPr>
          <w:p w14:paraId="3CB42114" w14:textId="38A32DE5" w:rsidR="00C05DD7" w:rsidRDefault="00B27317">
            <w:pPr>
              <w:pStyle w:val="a4"/>
              <w:widowControl w:val="0"/>
              <w:numPr>
                <w:ilvl w:val="0"/>
                <w:numId w:val="39"/>
              </w:numPr>
              <w:suppressAutoHyphens/>
              <w:ind w:left="567" w:hanging="567"/>
              <w:rPr>
                <w:b/>
              </w:rPr>
            </w:pPr>
            <w:r>
              <w:rPr>
                <w:b/>
              </w:rPr>
              <w:t xml:space="preserve">Valitse </w:t>
            </w:r>
            <w:r w:rsidR="000273BB">
              <w:rPr>
                <w:b/>
              </w:rPr>
              <w:t>sopiva pistoskohta</w:t>
            </w:r>
            <w:r w:rsidR="00C05DD7">
              <w:rPr>
                <w:b/>
              </w:rPr>
              <w:t xml:space="preserve"> (</w:t>
            </w:r>
            <w:r w:rsidR="000273BB">
              <w:rPr>
                <w:b/>
              </w:rPr>
              <w:t>ks. kuva</w:t>
            </w:r>
            <w:r w:rsidR="00C05DD7">
              <w:rPr>
                <w:b/>
              </w:rPr>
              <w:t> H).</w:t>
            </w:r>
          </w:p>
          <w:p w14:paraId="6565D966" w14:textId="77777777" w:rsidR="00C05DD7" w:rsidRPr="00CA43F5" w:rsidRDefault="00C05DD7" w:rsidP="00940778">
            <w:pPr>
              <w:rPr>
                <w:lang w:val="fi-FI"/>
              </w:rPr>
            </w:pPr>
          </w:p>
          <w:p w14:paraId="0F5215CB" w14:textId="236CB926" w:rsidR="00C05DD7" w:rsidRDefault="000273BB" w:rsidP="00070CF8">
            <w:pPr>
              <w:pStyle w:val="a4"/>
              <w:widowControl w:val="0"/>
              <w:numPr>
                <w:ilvl w:val="0"/>
                <w:numId w:val="46"/>
              </w:numPr>
              <w:suppressAutoHyphens/>
              <w:ind w:left="567" w:hanging="567"/>
              <w:rPr>
                <w:rFonts w:eastAsia="DengXian"/>
                <w:noProof/>
              </w:rPr>
            </w:pPr>
            <w:r w:rsidRPr="000273BB">
              <w:t>Voit pistää seuraaviin kohtiin</w:t>
            </w:r>
            <w:r w:rsidR="00C05DD7">
              <w:rPr>
                <w:rFonts w:eastAsia="DengXian"/>
                <w:noProof/>
              </w:rPr>
              <w:t xml:space="preserve"> </w:t>
            </w:r>
          </w:p>
          <w:p w14:paraId="5B1ACA43" w14:textId="00C93C14" w:rsidR="00C05DD7" w:rsidRDefault="000273BB" w:rsidP="00CA43F5">
            <w:pPr>
              <w:pStyle w:val="a4"/>
              <w:widowControl w:val="0"/>
              <w:numPr>
                <w:ilvl w:val="0"/>
                <w:numId w:val="47"/>
              </w:numPr>
              <w:suppressAutoHyphens/>
              <w:ind w:left="1134" w:hanging="567"/>
              <w:rPr>
                <w:rFonts w:eastAsia="DengXian"/>
                <w:noProof/>
              </w:rPr>
            </w:pPr>
            <w:r w:rsidRPr="000273BB">
              <w:t>reiden etuosa</w:t>
            </w:r>
          </w:p>
          <w:p w14:paraId="2DCE4B0D" w14:textId="134E8149" w:rsidR="00C05DD7" w:rsidRDefault="000273BB" w:rsidP="00CA43F5">
            <w:pPr>
              <w:pStyle w:val="a4"/>
              <w:widowControl w:val="0"/>
              <w:numPr>
                <w:ilvl w:val="0"/>
                <w:numId w:val="47"/>
              </w:numPr>
              <w:suppressAutoHyphens/>
              <w:ind w:left="1134" w:hanging="567"/>
              <w:rPr>
                <w:rFonts w:eastAsia="DengXian"/>
                <w:noProof/>
              </w:rPr>
            </w:pPr>
            <w:r w:rsidRPr="000273BB">
              <w:t>vatsa, lukuun ottamatta 5 cm:n aluetta navan ympärillä</w:t>
            </w:r>
            <w:r w:rsidR="00C05DD7">
              <w:rPr>
                <w:rFonts w:eastAsia="DengXian"/>
                <w:noProof/>
              </w:rPr>
              <w:t>.</w:t>
            </w:r>
          </w:p>
          <w:p w14:paraId="5E21FBFA" w14:textId="4E79F7F6" w:rsidR="00C05DD7" w:rsidRDefault="000273BB" w:rsidP="00CA43F5">
            <w:pPr>
              <w:pStyle w:val="a4"/>
              <w:widowControl w:val="0"/>
              <w:numPr>
                <w:ilvl w:val="0"/>
                <w:numId w:val="47"/>
              </w:numPr>
              <w:suppressAutoHyphens/>
              <w:ind w:left="1134" w:hanging="567"/>
              <w:rPr>
                <w:rFonts w:eastAsia="DengXian"/>
                <w:noProof/>
              </w:rPr>
            </w:pPr>
            <w:r w:rsidRPr="000273BB">
              <w:t>olkavarren ulkosyrjä (vain potilasta hoitava henkilö tai terveydenhuollon ammattilainen</w:t>
            </w:r>
            <w:r w:rsidR="00C05DD7">
              <w:rPr>
                <w:rFonts w:eastAsia="DengXian"/>
                <w:noProof/>
              </w:rPr>
              <w:t>).</w:t>
            </w:r>
          </w:p>
          <w:p w14:paraId="58CC7FE2" w14:textId="11464575" w:rsidR="00C05DD7" w:rsidRDefault="000273BB" w:rsidP="00CA43F5">
            <w:pPr>
              <w:pStyle w:val="a4"/>
              <w:widowControl w:val="0"/>
              <w:numPr>
                <w:ilvl w:val="0"/>
                <w:numId w:val="38"/>
              </w:numPr>
              <w:suppressAutoHyphens/>
              <w:ind w:left="1134" w:hanging="567"/>
              <w:rPr>
                <w:rFonts w:eastAsia="DengXian"/>
                <w:noProof/>
              </w:rPr>
            </w:pPr>
            <w:r>
              <w:rPr>
                <w:b/>
                <w:bCs/>
              </w:rPr>
              <w:t>Älä</w:t>
            </w:r>
            <w:r w:rsidRPr="000273BB">
              <w:t xml:space="preserve"> yritä itse pistää pistosta olkavarteen</w:t>
            </w:r>
            <w:r w:rsidR="00C05DD7">
              <w:rPr>
                <w:rFonts w:eastAsia="DengXian"/>
                <w:noProof/>
              </w:rPr>
              <w:t>.</w:t>
            </w:r>
          </w:p>
          <w:p w14:paraId="3852E7AE" w14:textId="354706F7" w:rsidR="00C05DD7" w:rsidRDefault="0014197A" w:rsidP="00CA43F5">
            <w:pPr>
              <w:pStyle w:val="a4"/>
              <w:widowControl w:val="0"/>
              <w:numPr>
                <w:ilvl w:val="0"/>
                <w:numId w:val="38"/>
              </w:numPr>
              <w:suppressAutoHyphens/>
              <w:ind w:left="1134" w:hanging="567"/>
              <w:rPr>
                <w:rFonts w:eastAsia="DengXian"/>
                <w:noProof/>
              </w:rPr>
            </w:pPr>
            <w:r w:rsidRPr="0028514E">
              <w:t xml:space="preserve">Uusi pistos on pistettävä jokaisella kerralla eri kohtaan vähintään </w:t>
            </w:r>
            <w:r>
              <w:t>2,5 </w:t>
            </w:r>
            <w:r w:rsidR="00194B8C">
              <w:t>cm:</w:t>
            </w:r>
            <w:r w:rsidRPr="0028514E">
              <w:t>n etäisyydelle edellisestä pistoskohdasta.</w:t>
            </w:r>
          </w:p>
          <w:p w14:paraId="5F8ECB3C" w14:textId="384D11D1" w:rsidR="00C05DD7" w:rsidRDefault="000273BB" w:rsidP="00CA43F5">
            <w:pPr>
              <w:pStyle w:val="a4"/>
              <w:widowControl w:val="0"/>
              <w:numPr>
                <w:ilvl w:val="0"/>
                <w:numId w:val="38"/>
              </w:numPr>
              <w:suppressAutoHyphens/>
              <w:ind w:left="1134" w:hanging="567"/>
              <w:rPr>
                <w:rFonts w:eastAsia="DengXian"/>
                <w:noProof/>
              </w:rPr>
            </w:pPr>
            <w:r>
              <w:rPr>
                <w:b/>
                <w:bCs/>
              </w:rPr>
              <w:t>Älä</w:t>
            </w:r>
            <w:r w:rsidRPr="000273BB">
              <w:t xml:space="preserve"> pistä pistosta luomiin, arpiin, mustelmiin äläkä alueille, joilla iho aristaa, punoittaa tai on kovettunut</w:t>
            </w:r>
            <w:r w:rsidR="00C05DD7">
              <w:rPr>
                <w:rFonts w:eastAsia="DengXian"/>
                <w:noProof/>
              </w:rPr>
              <w:t>.</w:t>
            </w:r>
          </w:p>
          <w:p w14:paraId="0417B283" w14:textId="27C6030E" w:rsidR="00C05DD7" w:rsidRDefault="000273BB" w:rsidP="00CA43F5">
            <w:pPr>
              <w:pStyle w:val="a4"/>
              <w:widowControl w:val="0"/>
              <w:numPr>
                <w:ilvl w:val="0"/>
                <w:numId w:val="38"/>
              </w:numPr>
              <w:suppressAutoHyphens/>
              <w:ind w:left="1134" w:hanging="567"/>
              <w:rPr>
                <w:rFonts w:eastAsia="DengXian"/>
                <w:noProof/>
              </w:rPr>
            </w:pPr>
            <w:r>
              <w:rPr>
                <w:b/>
                <w:bCs/>
              </w:rPr>
              <w:t>Älä</w:t>
            </w:r>
            <w:r w:rsidRPr="000273BB">
              <w:t xml:space="preserve"> pistä vaatteiden läpi</w:t>
            </w:r>
            <w:r w:rsidR="00C05DD7">
              <w:rPr>
                <w:rFonts w:eastAsia="DengXian"/>
                <w:noProof/>
              </w:rPr>
              <w:t>.</w:t>
            </w:r>
          </w:p>
          <w:p w14:paraId="1C280CC8" w14:textId="77777777" w:rsidR="00C05DD7" w:rsidRPr="000821BB" w:rsidRDefault="00C05DD7" w:rsidP="00940778"/>
        </w:tc>
      </w:tr>
      <w:tr w:rsidR="009C440C" w:rsidRPr="00BB5A61" w14:paraId="074DFAC6" w14:textId="77777777" w:rsidTr="006E6BB4">
        <w:trPr>
          <w:cantSplit/>
        </w:trPr>
        <w:tc>
          <w:tcPr>
            <w:tcW w:w="3539" w:type="dxa"/>
          </w:tcPr>
          <w:p w14:paraId="6F901036" w14:textId="373563F5" w:rsidR="00C05DD7" w:rsidRDefault="0086716C">
            <w:pPr>
              <w:suppressAutoHyphens/>
              <w:rPr>
                <w:noProof/>
              </w:rPr>
            </w:pPr>
            <w:r>
              <w:rPr>
                <w:noProof/>
                <w:lang w:val="en-US" w:eastAsia="ko-KR"/>
              </w:rPr>
              <w:drawing>
                <wp:inline distT="0" distB="0" distL="0" distR="0" wp14:anchorId="66203040" wp14:editId="72A82236">
                  <wp:extent cx="2084070" cy="2562225"/>
                  <wp:effectExtent l="19050" t="19050" r="0" b="9525"/>
                  <wp:docPr id="14" name="그림 21"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스케치, 라인 아트, 클립아트, 그림이(가) 표시된 사진&#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4070" cy="2562225"/>
                          </a:xfrm>
                          <a:prstGeom prst="rect">
                            <a:avLst/>
                          </a:prstGeom>
                          <a:noFill/>
                          <a:ln w="9525" cmpd="sng">
                            <a:solidFill>
                              <a:srgbClr val="000000"/>
                            </a:solidFill>
                            <a:miter lim="800000"/>
                            <a:headEnd/>
                            <a:tailEnd/>
                          </a:ln>
                          <a:effectLst/>
                        </pic:spPr>
                      </pic:pic>
                    </a:graphicData>
                  </a:graphic>
                </wp:inline>
              </w:drawing>
            </w:r>
          </w:p>
          <w:p w14:paraId="04CAD40B" w14:textId="6D68C935" w:rsidR="00C05DD7" w:rsidRDefault="00B27317">
            <w:pPr>
              <w:suppressAutoHyphens/>
              <w:jc w:val="right"/>
              <w:rPr>
                <w:b/>
                <w:bCs/>
                <w:noProof/>
              </w:rPr>
            </w:pPr>
            <w:r>
              <w:rPr>
                <w:b/>
                <w:bCs/>
                <w:noProof/>
              </w:rPr>
              <w:t>Kuva</w:t>
            </w:r>
            <w:r w:rsidR="00C05DD7">
              <w:rPr>
                <w:b/>
                <w:bCs/>
                <w:noProof/>
              </w:rPr>
              <w:t xml:space="preserve"> I</w:t>
            </w:r>
          </w:p>
        </w:tc>
        <w:tc>
          <w:tcPr>
            <w:tcW w:w="5517" w:type="dxa"/>
          </w:tcPr>
          <w:p w14:paraId="7435572D" w14:textId="15D58A82" w:rsidR="00C05DD7" w:rsidRDefault="002F557F">
            <w:pPr>
              <w:pStyle w:val="a4"/>
              <w:widowControl w:val="0"/>
              <w:numPr>
                <w:ilvl w:val="0"/>
                <w:numId w:val="39"/>
              </w:numPr>
              <w:suppressAutoHyphens/>
              <w:ind w:left="567" w:hanging="567"/>
              <w:rPr>
                <w:b/>
              </w:rPr>
            </w:pPr>
            <w:r>
              <w:rPr>
                <w:b/>
                <w:bCs/>
              </w:rPr>
              <w:t>Puhdista pistoskohta</w:t>
            </w:r>
            <w:r w:rsidR="00C05DD7">
              <w:rPr>
                <w:b/>
              </w:rPr>
              <w:t>.</w:t>
            </w:r>
          </w:p>
          <w:p w14:paraId="3D5E477E" w14:textId="77777777" w:rsidR="00C05DD7" w:rsidRPr="000821BB" w:rsidRDefault="00C05DD7">
            <w:pPr>
              <w:suppressAutoHyphens/>
              <w:ind w:left="567" w:hanging="567"/>
              <w:rPr>
                <w:noProof/>
              </w:rPr>
            </w:pPr>
          </w:p>
          <w:p w14:paraId="64E98736" w14:textId="5B201E76" w:rsidR="00C05DD7" w:rsidRDefault="0014197A" w:rsidP="00070CF8">
            <w:pPr>
              <w:pStyle w:val="a4"/>
              <w:widowControl w:val="0"/>
              <w:numPr>
                <w:ilvl w:val="0"/>
                <w:numId w:val="48"/>
              </w:numPr>
              <w:suppressAutoHyphens/>
              <w:ind w:left="567" w:hanging="567"/>
              <w:rPr>
                <w:rFonts w:eastAsia="DengXian"/>
                <w:noProof/>
              </w:rPr>
            </w:pPr>
            <w:r w:rsidRPr="0028514E">
              <w:t xml:space="preserve">Puhdista pistoskohta desinfiointipyyhkeellä </w:t>
            </w:r>
            <w:r w:rsidR="002F557F" w:rsidRPr="002F557F">
              <w:t xml:space="preserve">ja anna </w:t>
            </w:r>
            <w:r>
              <w:t>ihon</w:t>
            </w:r>
            <w:r w:rsidR="002F557F" w:rsidRPr="002F557F">
              <w:t xml:space="preserve"> kuivua noin 10 sekunnin ajan </w:t>
            </w:r>
            <w:r w:rsidR="00C05DD7">
              <w:rPr>
                <w:rFonts w:eastAsia="DengXian"/>
                <w:noProof/>
              </w:rPr>
              <w:t>(</w:t>
            </w:r>
            <w:r w:rsidR="002F557F">
              <w:rPr>
                <w:rFonts w:eastAsia="DengXian"/>
                <w:noProof/>
              </w:rPr>
              <w:t>ks.</w:t>
            </w:r>
            <w:r w:rsidR="00C05DD7">
              <w:rPr>
                <w:rFonts w:eastAsia="DengXian"/>
                <w:noProof/>
              </w:rPr>
              <w:t xml:space="preserve"> </w:t>
            </w:r>
            <w:r w:rsidR="002F557F">
              <w:rPr>
                <w:rFonts w:eastAsia="DengXian"/>
                <w:b/>
                <w:bCs/>
                <w:noProof/>
              </w:rPr>
              <w:t>kuva</w:t>
            </w:r>
            <w:r w:rsidR="00C05DD7">
              <w:rPr>
                <w:rFonts w:eastAsia="DengXian"/>
                <w:b/>
                <w:bCs/>
                <w:noProof/>
              </w:rPr>
              <w:t> I</w:t>
            </w:r>
            <w:r w:rsidR="00C05DD7">
              <w:rPr>
                <w:rFonts w:eastAsia="DengXian"/>
                <w:noProof/>
              </w:rPr>
              <w:t xml:space="preserve">). </w:t>
            </w:r>
            <w:r w:rsidR="002F557F">
              <w:rPr>
                <w:rFonts w:eastAsia="DengXian"/>
                <w:noProof/>
              </w:rPr>
              <w:t>Tämä vähentää infektioriskiä</w:t>
            </w:r>
            <w:r w:rsidR="00C05DD7">
              <w:rPr>
                <w:rFonts w:eastAsia="DengXian"/>
                <w:noProof/>
              </w:rPr>
              <w:t>.</w:t>
            </w:r>
          </w:p>
          <w:p w14:paraId="6DF505AB" w14:textId="2FF18BE0" w:rsidR="00C05DD7" w:rsidRDefault="002F557F" w:rsidP="00CA43F5">
            <w:pPr>
              <w:pStyle w:val="a4"/>
              <w:widowControl w:val="0"/>
              <w:numPr>
                <w:ilvl w:val="0"/>
                <w:numId w:val="38"/>
              </w:numPr>
              <w:suppressAutoHyphens/>
              <w:ind w:left="1134" w:hanging="567"/>
              <w:rPr>
                <w:rFonts w:eastAsia="DengXian"/>
                <w:noProof/>
              </w:rPr>
            </w:pPr>
            <w:r>
              <w:rPr>
                <w:b/>
              </w:rPr>
              <w:t xml:space="preserve">Älä </w:t>
            </w:r>
            <w:r w:rsidRPr="002F557F">
              <w:t>kosketa pistoskohtaa enää ennen pistoksen pistämistä</w:t>
            </w:r>
            <w:r w:rsidR="00C05DD7">
              <w:rPr>
                <w:rFonts w:eastAsia="DengXian"/>
                <w:noProof/>
              </w:rPr>
              <w:t>.</w:t>
            </w:r>
          </w:p>
          <w:p w14:paraId="6BE77644" w14:textId="0D21C492" w:rsidR="00C05DD7" w:rsidRDefault="002F557F" w:rsidP="00CA43F5">
            <w:pPr>
              <w:pStyle w:val="a4"/>
              <w:widowControl w:val="0"/>
              <w:numPr>
                <w:ilvl w:val="0"/>
                <w:numId w:val="38"/>
              </w:numPr>
              <w:suppressAutoHyphens/>
              <w:ind w:left="1134" w:hanging="567"/>
              <w:rPr>
                <w:rFonts w:eastAsia="DengXian"/>
                <w:noProof/>
              </w:rPr>
            </w:pPr>
            <w:r>
              <w:rPr>
                <w:b/>
              </w:rPr>
              <w:t xml:space="preserve">Älä </w:t>
            </w:r>
            <w:r w:rsidRPr="002F557F">
              <w:t>tuuleta äläkä puhalla puhdistettua aluetta</w:t>
            </w:r>
            <w:r w:rsidR="00C05DD7">
              <w:rPr>
                <w:rFonts w:eastAsia="DengXian"/>
                <w:noProof/>
              </w:rPr>
              <w:t>.</w:t>
            </w:r>
          </w:p>
          <w:p w14:paraId="29B1065E" w14:textId="77777777" w:rsidR="00C05DD7" w:rsidRPr="00CA43F5" w:rsidRDefault="00C05DD7" w:rsidP="00940778">
            <w:pPr>
              <w:rPr>
                <w:lang w:val="fi-FI"/>
              </w:rPr>
            </w:pPr>
          </w:p>
        </w:tc>
      </w:tr>
    </w:tbl>
    <w:p w14:paraId="19CA78E9" w14:textId="5C60F6F1" w:rsidR="00C05DD7" w:rsidRPr="000821BB" w:rsidRDefault="002F557F" w:rsidP="00C05DD7">
      <w:pPr>
        <w:keepNext/>
        <w:rPr>
          <w:b/>
          <w:bCs/>
        </w:rPr>
      </w:pPr>
      <w:proofErr w:type="spellStart"/>
      <w:r>
        <w:rPr>
          <w:b/>
          <w:bCs/>
        </w:rPr>
        <w:lastRenderedPageBreak/>
        <w:t>Pistoksen</w:t>
      </w:r>
      <w:proofErr w:type="spellEnd"/>
      <w:r>
        <w:rPr>
          <w:b/>
          <w:bCs/>
        </w:rPr>
        <w:t xml:space="preserve"> </w:t>
      </w:r>
      <w:proofErr w:type="spellStart"/>
      <w:r>
        <w:rPr>
          <w:b/>
          <w:bCs/>
        </w:rPr>
        <w:t>antaminen</w:t>
      </w:r>
      <w:proofErr w:type="spellEnd"/>
    </w:p>
    <w:p w14:paraId="078D3A3F" w14:textId="77777777" w:rsidR="00C05DD7" w:rsidRDefault="00C05DD7" w:rsidP="00C05DD7">
      <w:pPr>
        <w:keepNext/>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9C440C" w:rsidRPr="00BB5A61" w14:paraId="56578E47" w14:textId="77777777" w:rsidTr="006E6BB4">
        <w:trPr>
          <w:cantSplit/>
        </w:trPr>
        <w:tc>
          <w:tcPr>
            <w:tcW w:w="3539" w:type="dxa"/>
          </w:tcPr>
          <w:p w14:paraId="50002DD2" w14:textId="48961F61" w:rsidR="00C05DD7" w:rsidRDefault="0086716C">
            <w:pPr>
              <w:suppressAutoHyphens/>
              <w:jc w:val="right"/>
              <w:rPr>
                <w:noProof/>
              </w:rPr>
            </w:pPr>
            <w:r>
              <w:rPr>
                <w:noProof/>
                <w:lang w:val="en-US" w:eastAsia="ko-KR"/>
              </w:rPr>
              <w:drawing>
                <wp:inline distT="0" distB="0" distL="0" distR="0" wp14:anchorId="60172F63" wp14:editId="79D3ACB9">
                  <wp:extent cx="2062480" cy="2583815"/>
                  <wp:effectExtent l="19050" t="19050" r="0" b="6985"/>
                  <wp:docPr id="15" name="그림 2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스케치, 그림, 라인 아트, 클립아트이(가) 표시된 사진&#10;&#10;자동 생성된 설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2480" cy="2583815"/>
                          </a:xfrm>
                          <a:prstGeom prst="rect">
                            <a:avLst/>
                          </a:prstGeom>
                          <a:noFill/>
                          <a:ln w="9525" cmpd="sng">
                            <a:solidFill>
                              <a:srgbClr val="000000"/>
                            </a:solidFill>
                            <a:miter lim="800000"/>
                            <a:headEnd/>
                            <a:tailEnd/>
                          </a:ln>
                          <a:effectLst/>
                        </pic:spPr>
                      </pic:pic>
                    </a:graphicData>
                  </a:graphic>
                </wp:inline>
              </w:drawing>
            </w:r>
          </w:p>
          <w:p w14:paraId="31EAAE34" w14:textId="6B184AEC" w:rsidR="00C05DD7" w:rsidRDefault="002F557F">
            <w:pPr>
              <w:suppressAutoHyphens/>
              <w:jc w:val="right"/>
              <w:rPr>
                <w:b/>
                <w:bCs/>
                <w:noProof/>
              </w:rPr>
            </w:pPr>
            <w:r>
              <w:rPr>
                <w:b/>
                <w:bCs/>
                <w:noProof/>
              </w:rPr>
              <w:t>Kuva</w:t>
            </w:r>
            <w:r w:rsidR="00C05DD7">
              <w:rPr>
                <w:b/>
                <w:bCs/>
                <w:noProof/>
              </w:rPr>
              <w:t xml:space="preserve"> J</w:t>
            </w:r>
          </w:p>
        </w:tc>
        <w:tc>
          <w:tcPr>
            <w:tcW w:w="5517" w:type="dxa"/>
          </w:tcPr>
          <w:p w14:paraId="1329BD5C" w14:textId="5FA3FE9A" w:rsidR="00C05DD7" w:rsidRDefault="002F557F">
            <w:pPr>
              <w:pStyle w:val="a4"/>
              <w:widowControl w:val="0"/>
              <w:numPr>
                <w:ilvl w:val="0"/>
                <w:numId w:val="39"/>
              </w:numPr>
              <w:suppressAutoHyphens/>
              <w:ind w:left="567" w:hanging="567"/>
              <w:rPr>
                <w:b/>
              </w:rPr>
            </w:pPr>
            <w:r>
              <w:rPr>
                <w:b/>
              </w:rPr>
              <w:t>Poista suojakorkki</w:t>
            </w:r>
            <w:r w:rsidR="00C05DD7">
              <w:rPr>
                <w:b/>
              </w:rPr>
              <w:t>.</w:t>
            </w:r>
          </w:p>
          <w:p w14:paraId="43523C4D" w14:textId="77777777" w:rsidR="00C05DD7" w:rsidRDefault="00C05DD7">
            <w:pPr>
              <w:pStyle w:val="Default"/>
              <w:ind w:left="567" w:hanging="567"/>
              <w:rPr>
                <w:rFonts w:ascii="Times New Roman" w:hAnsi="Times New Roman" w:cs="Times New Roman"/>
                <w:sz w:val="22"/>
                <w:szCs w:val="22"/>
              </w:rPr>
            </w:pPr>
          </w:p>
          <w:p w14:paraId="44E0338F" w14:textId="19678305" w:rsidR="00C05DD7" w:rsidRDefault="002F557F">
            <w:pPr>
              <w:pStyle w:val="a4"/>
              <w:widowControl w:val="0"/>
              <w:numPr>
                <w:ilvl w:val="0"/>
                <w:numId w:val="49"/>
              </w:numPr>
              <w:ind w:left="567" w:hanging="567"/>
              <w:rPr>
                <w:bCs/>
              </w:rPr>
            </w:pPr>
            <w:r>
              <w:t>Pitele esitäytettyä ruiskua runko-osasta toisella kädellä</w:t>
            </w:r>
            <w:r w:rsidR="00C05DD7">
              <w:rPr>
                <w:color w:val="231F20"/>
              </w:rPr>
              <w:t>.</w:t>
            </w:r>
            <w:r w:rsidR="00C05DD7">
              <w:rPr>
                <w:color w:val="231F20"/>
              </w:rPr>
              <w:br/>
            </w:r>
            <w:r>
              <w:t>Vedä toisella kädellä suojakorkki varovasti suoraan irti ruiskusta</w:t>
            </w:r>
            <w:r w:rsidR="00C05DD7">
              <w:rPr>
                <w:bCs/>
              </w:rPr>
              <w:t xml:space="preserve"> (</w:t>
            </w:r>
            <w:r>
              <w:rPr>
                <w:bCs/>
              </w:rPr>
              <w:t>ks.</w:t>
            </w:r>
            <w:r w:rsidR="00C05DD7">
              <w:rPr>
                <w:bCs/>
              </w:rPr>
              <w:t xml:space="preserve"> </w:t>
            </w:r>
            <w:r>
              <w:rPr>
                <w:b/>
              </w:rPr>
              <w:t>kuva</w:t>
            </w:r>
            <w:r w:rsidR="00C05DD7">
              <w:rPr>
                <w:b/>
              </w:rPr>
              <w:t> J</w:t>
            </w:r>
            <w:r w:rsidR="00C05DD7">
              <w:rPr>
                <w:bCs/>
              </w:rPr>
              <w:t>).</w:t>
            </w:r>
          </w:p>
          <w:p w14:paraId="6826C9C4" w14:textId="1CED6172" w:rsidR="00C05DD7" w:rsidRDefault="002F557F">
            <w:pPr>
              <w:pStyle w:val="a4"/>
              <w:ind w:left="567"/>
              <w:rPr>
                <w:bCs/>
                <w:noProof/>
                <w:lang w:eastAsia="ko-KR"/>
              </w:rPr>
            </w:pPr>
            <w:r>
              <w:rPr>
                <w:bCs/>
                <w:i/>
                <w:iCs/>
                <w:noProof/>
                <w:lang w:eastAsia="ko-KR"/>
              </w:rPr>
              <w:t>Huomautus</w:t>
            </w:r>
            <w:r w:rsidR="00C05DD7">
              <w:rPr>
                <w:bCs/>
                <w:noProof/>
                <w:lang w:eastAsia="ko-KR"/>
              </w:rPr>
              <w:t xml:space="preserve">: </w:t>
            </w:r>
            <w:r>
              <w:rPr>
                <w:bCs/>
                <w:noProof/>
                <w:lang w:eastAsia="ko-KR"/>
              </w:rPr>
              <w:t xml:space="preserve">Jos et </w:t>
            </w:r>
            <w:r w:rsidRPr="0028514E">
              <w:t xml:space="preserve">saa </w:t>
            </w:r>
            <w:r>
              <w:t>suoja</w:t>
            </w:r>
            <w:r w:rsidRPr="0028514E">
              <w:t>korkkia irrotetuksi, pyydä sinua hoitavalta henkilöltä apua tai ota yhteyttä terveydenhuollon ammattilaiseen</w:t>
            </w:r>
            <w:r w:rsidR="00C05DD7">
              <w:rPr>
                <w:bCs/>
                <w:noProof/>
                <w:lang w:eastAsia="ko-KR"/>
              </w:rPr>
              <w:t>.</w:t>
            </w:r>
          </w:p>
          <w:p w14:paraId="331755B8" w14:textId="77777777" w:rsidR="00C05DD7" w:rsidRDefault="00C05DD7">
            <w:pPr>
              <w:pStyle w:val="a4"/>
              <w:numPr>
                <w:ilvl w:val="12"/>
                <w:numId w:val="0"/>
              </w:numPr>
              <w:ind w:left="567" w:hanging="567"/>
              <w:rPr>
                <w:bCs/>
                <w:noProof/>
                <w:lang w:eastAsia="ko-KR"/>
              </w:rPr>
            </w:pPr>
          </w:p>
          <w:p w14:paraId="214054CE" w14:textId="1EAFB856" w:rsidR="00C05DD7" w:rsidRPr="00793A19" w:rsidRDefault="002F557F" w:rsidP="00CA43F5">
            <w:pPr>
              <w:pStyle w:val="a4"/>
              <w:widowControl w:val="0"/>
              <w:numPr>
                <w:ilvl w:val="0"/>
                <w:numId w:val="38"/>
              </w:numPr>
              <w:suppressAutoHyphens/>
              <w:ind w:left="1134" w:hanging="567"/>
            </w:pPr>
            <w:r>
              <w:rPr>
                <w:b/>
                <w:bCs/>
              </w:rPr>
              <w:t>Älä</w:t>
            </w:r>
            <w:r w:rsidRPr="00491903">
              <w:t xml:space="preserve"> </w:t>
            </w:r>
            <w:r>
              <w:t>pidä kiinni männästä, kun poistat suojakorkin</w:t>
            </w:r>
            <w:r w:rsidR="00C05DD7" w:rsidRPr="00793A19">
              <w:t>.</w:t>
            </w:r>
          </w:p>
          <w:p w14:paraId="3C0217F6" w14:textId="6055D126" w:rsidR="00C05DD7" w:rsidRDefault="0014197A" w:rsidP="00CA43F5">
            <w:pPr>
              <w:pStyle w:val="a4"/>
              <w:widowControl w:val="0"/>
              <w:numPr>
                <w:ilvl w:val="0"/>
                <w:numId w:val="38"/>
              </w:numPr>
              <w:suppressAutoHyphens/>
              <w:ind w:left="1134" w:hanging="567"/>
              <w:rPr>
                <w:bCs/>
              </w:rPr>
            </w:pPr>
            <w:r w:rsidRPr="0028514E">
              <w:t>Saatat nähdä nestetipan neulan kärjessä</w:t>
            </w:r>
            <w:r w:rsidR="002F557F">
              <w:t>. Se on normaalia</w:t>
            </w:r>
            <w:r w:rsidR="00C05DD7">
              <w:rPr>
                <w:bCs/>
              </w:rPr>
              <w:t>.</w:t>
            </w:r>
          </w:p>
          <w:p w14:paraId="375E09E4" w14:textId="3E1DDD09" w:rsidR="00C05DD7" w:rsidRDefault="002F557F" w:rsidP="00CA43F5">
            <w:pPr>
              <w:pStyle w:val="a4"/>
              <w:widowControl w:val="0"/>
              <w:numPr>
                <w:ilvl w:val="0"/>
                <w:numId w:val="38"/>
              </w:numPr>
              <w:suppressAutoHyphens/>
              <w:ind w:left="1134" w:hanging="567"/>
              <w:rPr>
                <w:bCs/>
              </w:rPr>
            </w:pPr>
            <w:r w:rsidRPr="0028514E">
              <w:t xml:space="preserve">Jos esitäytettyä </w:t>
            </w:r>
            <w:r w:rsidR="0014197A">
              <w:t>ruiskua</w:t>
            </w:r>
            <w:r w:rsidRPr="0028514E">
              <w:t xml:space="preserve"> ei käytetä </w:t>
            </w:r>
            <w:r>
              <w:t>5 </w:t>
            </w:r>
            <w:r w:rsidRPr="0028514E">
              <w:t xml:space="preserve">minuutin kuluessa siitä, kun </w:t>
            </w:r>
            <w:r>
              <w:t>suoja</w:t>
            </w:r>
            <w:r w:rsidRPr="0028514E">
              <w:t xml:space="preserve">korkki on poistettu, </w:t>
            </w:r>
            <w:r w:rsidR="0014197A">
              <w:t>ruisku</w:t>
            </w:r>
            <w:r w:rsidRPr="0028514E">
              <w:t xml:space="preserve"> on hävitettävä laittamalla se pistävälle ja viiltävälle jätteelle tarkoitettuun astiaan, ja käyttöön on otettava uusi esitäytetty </w:t>
            </w:r>
            <w:r w:rsidR="0014197A">
              <w:t>ruisku</w:t>
            </w:r>
            <w:r w:rsidR="00C05DD7">
              <w:rPr>
                <w:bCs/>
              </w:rPr>
              <w:t>.</w:t>
            </w:r>
          </w:p>
          <w:p w14:paraId="2DAE3B48" w14:textId="00494220" w:rsidR="00C05DD7" w:rsidRPr="00793A19" w:rsidRDefault="002F557F">
            <w:pPr>
              <w:pStyle w:val="a4"/>
              <w:widowControl w:val="0"/>
              <w:numPr>
                <w:ilvl w:val="0"/>
                <w:numId w:val="49"/>
              </w:numPr>
              <w:ind w:left="567" w:hanging="567"/>
            </w:pPr>
            <w:r w:rsidRPr="0028514E">
              <w:t xml:space="preserve">Hävitä </w:t>
            </w:r>
            <w:r>
              <w:t>suoja</w:t>
            </w:r>
            <w:r w:rsidRPr="0028514E">
              <w:t xml:space="preserve">korkki </w:t>
            </w:r>
            <w:r>
              <w:t xml:space="preserve">heti </w:t>
            </w:r>
            <w:r w:rsidRPr="0028514E">
              <w:t>laittamalla se pistävälle ja viiltävälle jätteelle tarkoitettuun astiaa</w:t>
            </w:r>
            <w:r>
              <w:t>n</w:t>
            </w:r>
            <w:r>
              <w:rPr>
                <w:color w:val="231F20"/>
              </w:rPr>
              <w:t xml:space="preserve"> </w:t>
            </w:r>
            <w:r w:rsidR="00C05DD7">
              <w:rPr>
                <w:color w:val="231F20"/>
              </w:rPr>
              <w:t>(</w:t>
            </w:r>
            <w:r>
              <w:rPr>
                <w:color w:val="231F20"/>
              </w:rPr>
              <w:t>ks.</w:t>
            </w:r>
            <w:r w:rsidR="00C05DD7">
              <w:rPr>
                <w:color w:val="231F20"/>
              </w:rPr>
              <w:t xml:space="preserve"> </w:t>
            </w:r>
            <w:r>
              <w:rPr>
                <w:b/>
                <w:bCs/>
                <w:color w:val="231F20"/>
              </w:rPr>
              <w:t>vaihe </w:t>
            </w:r>
            <w:r w:rsidR="00C05DD7">
              <w:rPr>
                <w:b/>
                <w:bCs/>
                <w:color w:val="231F20"/>
              </w:rPr>
              <w:t>14</w:t>
            </w:r>
            <w:r w:rsidR="00C05DD7">
              <w:rPr>
                <w:color w:val="231F20"/>
              </w:rPr>
              <w:t xml:space="preserve"> </w:t>
            </w:r>
            <w:r>
              <w:rPr>
                <w:color w:val="231F20"/>
              </w:rPr>
              <w:t>ja</w:t>
            </w:r>
            <w:r w:rsidR="00C05DD7">
              <w:rPr>
                <w:color w:val="231F20"/>
              </w:rPr>
              <w:t xml:space="preserve"> </w:t>
            </w:r>
            <w:r>
              <w:rPr>
                <w:b/>
                <w:color w:val="231F20"/>
              </w:rPr>
              <w:t>Esitäytetyn ruiskun hävittäminen</w:t>
            </w:r>
            <w:r w:rsidR="00C05DD7">
              <w:rPr>
                <w:b/>
                <w:color w:val="231F20"/>
              </w:rPr>
              <w:t xml:space="preserve"> </w:t>
            </w:r>
            <w:r>
              <w:rPr>
                <w:color w:val="231F20"/>
              </w:rPr>
              <w:t>ja</w:t>
            </w:r>
            <w:r w:rsidR="00C05DD7">
              <w:rPr>
                <w:color w:val="231F20"/>
              </w:rPr>
              <w:t xml:space="preserve"> </w:t>
            </w:r>
            <w:r>
              <w:rPr>
                <w:b/>
                <w:color w:val="231F20"/>
              </w:rPr>
              <w:t>kuva</w:t>
            </w:r>
            <w:r w:rsidR="00C05DD7">
              <w:rPr>
                <w:b/>
                <w:color w:val="231F20"/>
              </w:rPr>
              <w:t> N</w:t>
            </w:r>
            <w:r w:rsidR="00C05DD7">
              <w:rPr>
                <w:color w:val="231F20"/>
              </w:rPr>
              <w:t>)</w:t>
            </w:r>
            <w:r w:rsidR="00704B34">
              <w:rPr>
                <w:color w:val="231F20"/>
              </w:rPr>
              <w:t>.</w:t>
            </w:r>
          </w:p>
          <w:p w14:paraId="10250FA0" w14:textId="77777777" w:rsidR="00C05DD7" w:rsidRPr="00793A19" w:rsidRDefault="00C05DD7">
            <w:pPr>
              <w:pStyle w:val="a4"/>
              <w:ind w:left="567" w:hanging="567"/>
            </w:pPr>
          </w:p>
          <w:p w14:paraId="78D53820" w14:textId="0F74CA7D" w:rsidR="00C05DD7" w:rsidRPr="0014197A" w:rsidRDefault="0014197A" w:rsidP="00CA43F5">
            <w:pPr>
              <w:pStyle w:val="a4"/>
              <w:widowControl w:val="0"/>
              <w:numPr>
                <w:ilvl w:val="0"/>
                <w:numId w:val="38"/>
              </w:numPr>
              <w:suppressAutoHyphens/>
              <w:ind w:left="1134" w:hanging="567"/>
            </w:pPr>
            <w:r w:rsidRPr="00CA43F5">
              <w:rPr>
                <w:b/>
                <w:bCs/>
              </w:rPr>
              <w:t>Älä</w:t>
            </w:r>
            <w:r w:rsidRPr="0014197A">
              <w:t xml:space="preserve"> yritä kiinnittää suojakorkkia takaisin esitäytettyyn ruiskuun</w:t>
            </w:r>
            <w:r w:rsidR="00C05DD7" w:rsidRPr="0014197A">
              <w:t>.</w:t>
            </w:r>
          </w:p>
          <w:p w14:paraId="26D71D03" w14:textId="728AF882" w:rsidR="00C05DD7" w:rsidRDefault="0014197A" w:rsidP="00CA43F5">
            <w:pPr>
              <w:pStyle w:val="a4"/>
              <w:widowControl w:val="0"/>
              <w:numPr>
                <w:ilvl w:val="0"/>
                <w:numId w:val="38"/>
              </w:numPr>
              <w:suppressAutoHyphens/>
              <w:ind w:left="1134" w:hanging="567"/>
              <w:rPr>
                <w:bCs/>
              </w:rPr>
            </w:pPr>
            <w:r>
              <w:rPr>
                <w:b/>
              </w:rPr>
              <w:t xml:space="preserve">Älä </w:t>
            </w:r>
            <w:r>
              <w:rPr>
                <w:bCs/>
              </w:rPr>
              <w:t>kosketa neulansuojusta, joka sijaitsee esitäytetyn ruiskun kärjessä, jotta vältät neulanpistotapaturman.</w:t>
            </w:r>
          </w:p>
          <w:p w14:paraId="2580B975" w14:textId="77777777" w:rsidR="00C05DD7" w:rsidRPr="00CA43F5" w:rsidRDefault="00C05DD7" w:rsidP="00940778">
            <w:pPr>
              <w:rPr>
                <w:lang w:val="fi-FI"/>
              </w:rPr>
            </w:pPr>
          </w:p>
        </w:tc>
      </w:tr>
      <w:tr w:rsidR="009C440C" w:rsidRPr="00BB5A61" w14:paraId="269DE139" w14:textId="77777777" w:rsidTr="006E6BB4">
        <w:trPr>
          <w:cantSplit/>
        </w:trPr>
        <w:tc>
          <w:tcPr>
            <w:tcW w:w="3539" w:type="dxa"/>
          </w:tcPr>
          <w:p w14:paraId="77FA0C49" w14:textId="21B24F5D" w:rsidR="00C05DD7" w:rsidRDefault="0086716C">
            <w:pPr>
              <w:suppressAutoHyphens/>
              <w:jc w:val="right"/>
              <w:rPr>
                <w:noProof/>
              </w:rPr>
            </w:pPr>
            <w:r>
              <w:rPr>
                <w:noProof/>
                <w:lang w:val="en-US" w:eastAsia="ko-KR"/>
              </w:rPr>
              <mc:AlternateContent>
                <mc:Choice Requires="wps">
                  <w:drawing>
                    <wp:anchor distT="45720" distB="45720" distL="114300" distR="114300" simplePos="0" relativeHeight="251658252" behindDoc="0" locked="0" layoutInCell="1" allowOverlap="1" wp14:anchorId="27C0F9B3" wp14:editId="4E39FD2C">
                      <wp:simplePos x="0" y="0"/>
                      <wp:positionH relativeFrom="column">
                        <wp:posOffset>8255</wp:posOffset>
                      </wp:positionH>
                      <wp:positionV relativeFrom="page">
                        <wp:posOffset>1730375</wp:posOffset>
                      </wp:positionV>
                      <wp:extent cx="1983740" cy="277495"/>
                      <wp:effectExtent l="0" t="0" r="0" b="0"/>
                      <wp:wrapNone/>
                      <wp:docPr id="13992355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wps:spPr>
                            <wps:txbx>
                              <w:txbxContent>
                                <w:p w14:paraId="057559F4" w14:textId="301444FA" w:rsidR="00C05DD7" w:rsidRPr="00C05DD7" w:rsidRDefault="00E12AA4" w:rsidP="00C05DD7">
                                  <w:pPr>
                                    <w:jc w:val="center"/>
                                    <w:rPr>
                                      <w:rFonts w:ascii="Arial" w:hAnsi="Arial" w:cs="Arial"/>
                                      <w:b/>
                                      <w:bCs/>
                                      <w:color w:val="FFFFFF"/>
                                      <w:sz w:val="28"/>
                                      <w:szCs w:val="28"/>
                                    </w:rPr>
                                  </w:pPr>
                                  <w:r w:rsidRPr="00E12AA4">
                                    <w:rPr>
                                      <w:rFonts w:ascii="Arial" w:hAnsi="Arial" w:cs="Arial"/>
                                      <w:b/>
                                      <w:bCs/>
                                      <w:color w:val="FFFFFF"/>
                                      <w:sz w:val="28"/>
                                      <w:szCs w:val="28"/>
                                    </w:rPr>
                                    <w:t>TAI</w:t>
                                  </w:r>
                                </w:p>
                                <w:p w14:paraId="0208ABB4" w14:textId="77777777" w:rsidR="00C05DD7" w:rsidRPr="00C05DD7" w:rsidRDefault="00C05DD7" w:rsidP="00C05DD7">
                                  <w:pPr>
                                    <w:jc w:val="center"/>
                                    <w:rPr>
                                      <w:rFonts w:ascii="Arial" w:hAnsi="Arial" w:cs="Arial"/>
                                      <w:b/>
                                      <w:bCs/>
                                      <w:color w:val="FFFFFF"/>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0F9B3" id="Text Box 99" o:spid="_x0000_s1047" type="#_x0000_t202" style="position:absolute;left:0;text-align:left;margin-left:.65pt;margin-top:136.25pt;width:156.2pt;height:21.8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" filled="f" stroked="f">
                      <v:textbox inset="0,0,0,0">
                        <w:txbxContent>
                          <w:p w14:paraId="057559F4" w14:textId="301444FA" w:rsidR="00C05DD7" w:rsidRPr="00C05DD7" w:rsidRDefault="00E12AA4" w:rsidP="00C05DD7">
                            <w:pPr>
                              <w:jc w:val="center"/>
                              <w:rPr>
                                <w:rFonts w:ascii="Arial" w:hAnsi="Arial" w:cs="Arial"/>
                                <w:b/>
                                <w:bCs/>
                                <w:color w:val="FFFFFF"/>
                                <w:sz w:val="28"/>
                                <w:szCs w:val="28"/>
                              </w:rPr>
                            </w:pPr>
                            <w:r w:rsidRPr="00E12AA4">
                              <w:rPr>
                                <w:rFonts w:ascii="Arial" w:hAnsi="Arial" w:cs="Arial"/>
                                <w:b/>
                                <w:bCs/>
                                <w:color w:val="FFFFFF"/>
                                <w:sz w:val="28"/>
                                <w:szCs w:val="28"/>
                              </w:rPr>
                              <w:t>TAI</w:t>
                            </w:r>
                          </w:p>
                          <w:p w14:paraId="0208ABB4" w14:textId="77777777" w:rsidR="00C05DD7" w:rsidRPr="00C05DD7" w:rsidRDefault="00C05DD7" w:rsidP="00C05DD7">
                            <w:pPr>
                              <w:jc w:val="center"/>
                              <w:rPr>
                                <w:rFonts w:ascii="Arial" w:hAnsi="Arial" w:cs="Arial"/>
                                <w:b/>
                                <w:bCs/>
                                <w:color w:val="FFFFFF"/>
                                <w:sz w:val="28"/>
                                <w:szCs w:val="28"/>
                              </w:rPr>
                            </w:pPr>
                          </w:p>
                        </w:txbxContent>
                      </v:textbox>
                      <w10:wrap anchory="page"/>
                    </v:shape>
                  </w:pict>
                </mc:Fallback>
              </mc:AlternateContent>
            </w:r>
            <w:r>
              <w:rPr>
                <w:noProof/>
                <w:lang w:val="en-US" w:eastAsia="ko-KR"/>
              </w:rPr>
              <w:drawing>
                <wp:inline distT="0" distB="0" distL="0" distR="0" wp14:anchorId="6F3103F4" wp14:editId="04DD49E1">
                  <wp:extent cx="2084070" cy="3561715"/>
                  <wp:effectExtent l="19050" t="19050" r="0" b="635"/>
                  <wp:docPr id="16" name="그림 1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그림, 스케치, 만화 영화, 클립아트이(가) 표시된 사진&#10;&#10;자동 생성된 설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4070" cy="3561715"/>
                          </a:xfrm>
                          <a:prstGeom prst="rect">
                            <a:avLst/>
                          </a:prstGeom>
                          <a:noFill/>
                          <a:ln w="9525" cmpd="sng">
                            <a:solidFill>
                              <a:srgbClr val="000000"/>
                            </a:solidFill>
                            <a:miter lim="800000"/>
                            <a:headEnd/>
                            <a:tailEnd/>
                          </a:ln>
                          <a:effectLst/>
                        </pic:spPr>
                      </pic:pic>
                    </a:graphicData>
                  </a:graphic>
                </wp:inline>
              </w:drawing>
            </w:r>
          </w:p>
          <w:p w14:paraId="4EB64C32" w14:textId="09A5E33D" w:rsidR="00C05DD7" w:rsidRDefault="0086716C">
            <w:pPr>
              <w:suppressAutoHyphens/>
              <w:jc w:val="right"/>
              <w:rPr>
                <w:b/>
                <w:bCs/>
                <w:noProof/>
              </w:rPr>
            </w:pPr>
            <w:r>
              <w:rPr>
                <w:b/>
                <w:bCs/>
                <w:noProof/>
                <w:lang w:val="en-US" w:eastAsia="ko-KR"/>
              </w:rPr>
              <mc:AlternateContent>
                <mc:Choice Requires="wps">
                  <w:drawing>
                    <wp:anchor distT="45720" distB="45720" distL="114300" distR="114300" simplePos="0" relativeHeight="251658251" behindDoc="0" locked="0" layoutInCell="1" allowOverlap="1" wp14:anchorId="4F237D11" wp14:editId="5B954C88">
                      <wp:simplePos x="0" y="0"/>
                      <wp:positionH relativeFrom="column">
                        <wp:posOffset>950595</wp:posOffset>
                      </wp:positionH>
                      <wp:positionV relativeFrom="page">
                        <wp:posOffset>381635</wp:posOffset>
                      </wp:positionV>
                      <wp:extent cx="629920" cy="408940"/>
                      <wp:effectExtent l="0" t="0" r="0" b="0"/>
                      <wp:wrapNone/>
                      <wp:docPr id="20510554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6F388050" w14:textId="77777777" w:rsidR="00C05DD7" w:rsidRPr="00EF1826" w:rsidRDefault="00C05DD7" w:rsidP="00C05DD7">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59F7279" w14:textId="77777777" w:rsidR="00C05DD7" w:rsidRPr="00EF1826" w:rsidRDefault="00C05DD7" w:rsidP="00C05DD7">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F237D11" id="Text Box 97" o:spid="_x0000_s1048" type="#_x0000_t202" style="position:absolute;left:0;text-align:left;margin-left:74.85pt;margin-top:30.05pt;width:49.6pt;height:32.2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BRcq&#10;rtkBAACYAwAADgAAAAAAAAAAAAAAAAAuAgAAZHJzL2Uyb0RvYy54bWxQSwECLQAUAAYACAAAACEA&#10;dbxmUN0AAAAKAQAADwAAAAAAAAAAAAAAAAAzBAAAZHJzL2Rvd25yZXYueG1sUEsFBgAAAAAEAAQA&#10;8wAAAD0FAAAAAA==&#10;" filled="f" stroked="f">
                      <v:textbox style="mso-fit-shape-to-text:t" inset="0,0,0,0">
                        <w:txbxContent>
                          <w:p w14:paraId="6F388050" w14:textId="77777777" w:rsidR="00C05DD7" w:rsidRPr="00EF1826" w:rsidRDefault="00C05DD7" w:rsidP="00C05DD7">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59F7279" w14:textId="77777777" w:rsidR="00C05DD7" w:rsidRPr="00EF1826" w:rsidRDefault="00C05DD7" w:rsidP="00C05DD7">
                            <w:pPr>
                              <w:rPr>
                                <w:rFonts w:ascii="Arial" w:hAnsi="Arial" w:cs="Arial"/>
                                <w:b/>
                                <w:bCs/>
                                <w:sz w:val="28"/>
                                <w:szCs w:val="28"/>
                              </w:rPr>
                            </w:pPr>
                          </w:p>
                        </w:txbxContent>
                      </v:textbox>
                      <w10:wrap anchory="page"/>
                    </v:shape>
                  </w:pict>
                </mc:Fallback>
              </mc:AlternateContent>
            </w:r>
            <w:r>
              <w:rPr>
                <w:b/>
                <w:bCs/>
                <w:noProof/>
                <w:lang w:val="en-US" w:eastAsia="ko-KR"/>
              </w:rPr>
              <mc:AlternateContent>
                <mc:Choice Requires="wps">
                  <w:drawing>
                    <wp:anchor distT="45720" distB="45720" distL="114300" distR="114300" simplePos="0" relativeHeight="251658253" behindDoc="0" locked="0" layoutInCell="1" allowOverlap="1" wp14:anchorId="6FBA4F9D" wp14:editId="27A8EBE0">
                      <wp:simplePos x="0" y="0"/>
                      <wp:positionH relativeFrom="column">
                        <wp:posOffset>422275</wp:posOffset>
                      </wp:positionH>
                      <wp:positionV relativeFrom="page">
                        <wp:posOffset>264160</wp:posOffset>
                      </wp:positionV>
                      <wp:extent cx="629920" cy="204470"/>
                      <wp:effectExtent l="0" t="0" r="0" b="0"/>
                      <wp:wrapNone/>
                      <wp:docPr id="75226227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04470"/>
                              </a:xfrm>
                              <a:prstGeom prst="rect">
                                <a:avLst/>
                              </a:prstGeom>
                              <a:noFill/>
                              <a:ln>
                                <a:noFill/>
                              </a:ln>
                            </wps:spPr>
                            <wps:txbx>
                              <w:txbxContent>
                                <w:p w14:paraId="21AC6AE2" w14:textId="77777777" w:rsidR="00C05DD7" w:rsidRPr="00EF1826" w:rsidRDefault="00C05DD7" w:rsidP="00C05DD7">
                                  <w:pPr>
                                    <w:rPr>
                                      <w:rFonts w:ascii="Arial" w:hAnsi="Arial" w:cs="Arial"/>
                                      <w:b/>
                                      <w:bCs/>
                                      <w:sz w:val="28"/>
                                      <w:szCs w:val="28"/>
                                    </w:rPr>
                                  </w:pPr>
                                  <w:r w:rsidRPr="00EF1826">
                                    <w:rPr>
                                      <w:rFonts w:ascii="Arial" w:hAnsi="Arial" w:cs="Arial"/>
                                      <w:b/>
                                      <w:bCs/>
                                      <w:sz w:val="28"/>
                                      <w:szCs w:val="28"/>
                                    </w:rPr>
                                    <w:t>90°</w:t>
                                  </w:r>
                                </w:p>
                                <w:p w14:paraId="6E8D1A9E" w14:textId="77777777" w:rsidR="00C05DD7" w:rsidRPr="00EF1826" w:rsidRDefault="00C05DD7" w:rsidP="00C05DD7">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FBA4F9D" id="Text Box 95" o:spid="_x0000_s1049" type="#_x0000_t202" style="position:absolute;left:0;text-align:left;margin-left:33.25pt;margin-top:20.8pt;width:49.6pt;height:16.1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" filled="f" stroked="f">
                      <v:textbox style="mso-fit-shape-to-text:t" inset="0,0,0,0">
                        <w:txbxContent>
                          <w:p w14:paraId="21AC6AE2" w14:textId="77777777" w:rsidR="00C05DD7" w:rsidRPr="00EF1826" w:rsidRDefault="00C05DD7" w:rsidP="00C05DD7">
                            <w:pPr>
                              <w:rPr>
                                <w:rFonts w:ascii="Arial" w:hAnsi="Arial" w:cs="Arial"/>
                                <w:b/>
                                <w:bCs/>
                                <w:sz w:val="28"/>
                                <w:szCs w:val="28"/>
                              </w:rPr>
                            </w:pPr>
                            <w:r w:rsidRPr="00EF1826">
                              <w:rPr>
                                <w:rFonts w:ascii="Arial" w:hAnsi="Arial" w:cs="Arial"/>
                                <w:b/>
                                <w:bCs/>
                                <w:sz w:val="28"/>
                                <w:szCs w:val="28"/>
                              </w:rPr>
                              <w:t>90°</w:t>
                            </w:r>
                          </w:p>
                          <w:p w14:paraId="6E8D1A9E" w14:textId="77777777" w:rsidR="00C05DD7" w:rsidRPr="00EF1826" w:rsidRDefault="00C05DD7" w:rsidP="00C05DD7">
                            <w:pPr>
                              <w:rPr>
                                <w:rFonts w:ascii="Arial" w:hAnsi="Arial" w:cs="Arial"/>
                                <w:b/>
                                <w:bCs/>
                                <w:sz w:val="28"/>
                                <w:szCs w:val="28"/>
                              </w:rPr>
                            </w:pPr>
                          </w:p>
                        </w:txbxContent>
                      </v:textbox>
                      <w10:wrap anchory="page"/>
                    </v:shape>
                  </w:pict>
                </mc:Fallback>
              </mc:AlternateContent>
            </w:r>
            <w:r>
              <w:rPr>
                <w:b/>
                <w:bCs/>
                <w:noProof/>
                <w:lang w:val="en-US" w:eastAsia="ko-KR"/>
              </w:rPr>
              <mc:AlternateContent>
                <mc:Choice Requires="wps">
                  <w:drawing>
                    <wp:anchor distT="45720" distB="45720" distL="114300" distR="114300" simplePos="0" relativeHeight="251658254" behindDoc="0" locked="0" layoutInCell="1" allowOverlap="1" wp14:anchorId="5C626D87" wp14:editId="24B33DF9">
                      <wp:simplePos x="0" y="0"/>
                      <wp:positionH relativeFrom="column">
                        <wp:posOffset>598170</wp:posOffset>
                      </wp:positionH>
                      <wp:positionV relativeFrom="page">
                        <wp:posOffset>500380</wp:posOffset>
                      </wp:positionV>
                      <wp:extent cx="629920" cy="153035"/>
                      <wp:effectExtent l="0" t="0" r="0" b="0"/>
                      <wp:wrapNone/>
                      <wp:docPr id="47410449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53035"/>
                              </a:xfrm>
                              <a:prstGeom prst="rect">
                                <a:avLst/>
                              </a:prstGeom>
                              <a:noFill/>
                              <a:ln>
                                <a:noFill/>
                              </a:ln>
                            </wps:spPr>
                            <wps:txbx>
                              <w:txbxContent>
                                <w:p w14:paraId="475411CD" w14:textId="77777777" w:rsidR="00C05DD7" w:rsidRPr="00EF1826" w:rsidRDefault="00C05DD7" w:rsidP="00C05DD7">
                                  <w:pPr>
                                    <w:rPr>
                                      <w:rFonts w:ascii="Arial" w:hAnsi="Arial" w:cs="Arial"/>
                                      <w:b/>
                                      <w:bCs/>
                                      <w:sz w:val="21"/>
                                      <w:szCs w:val="21"/>
                                    </w:rPr>
                                  </w:pPr>
                                  <w:r w:rsidRPr="00EF1826">
                                    <w:rPr>
                                      <w:rFonts w:ascii="Arial" w:hAnsi="Arial" w:cs="Arial"/>
                                      <w:b/>
                                      <w:bCs/>
                                      <w:sz w:val="21"/>
                                      <w:szCs w:val="21"/>
                                    </w:rPr>
                                    <w:t>OK</w:t>
                                  </w:r>
                                </w:p>
                                <w:p w14:paraId="7F3BB08C" w14:textId="77777777" w:rsidR="00C05DD7" w:rsidRPr="00EF1826" w:rsidRDefault="00C05DD7" w:rsidP="00C05DD7">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C626D87" id="Text Box 93" o:spid="_x0000_s1050" type="#_x0000_t202" style="position:absolute;left:0;text-align:left;margin-left:47.1pt;margin-top:39.4pt;width:49.6pt;height:12.0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" filled="f" stroked="f">
                      <v:textbox style="mso-fit-shape-to-text:t" inset="0,0,0,0">
                        <w:txbxContent>
                          <w:p w14:paraId="475411CD" w14:textId="77777777" w:rsidR="00C05DD7" w:rsidRPr="00EF1826" w:rsidRDefault="00C05DD7" w:rsidP="00C05DD7">
                            <w:pPr>
                              <w:rPr>
                                <w:rFonts w:ascii="Arial" w:hAnsi="Arial" w:cs="Arial"/>
                                <w:b/>
                                <w:bCs/>
                                <w:sz w:val="21"/>
                                <w:szCs w:val="21"/>
                              </w:rPr>
                            </w:pPr>
                            <w:r w:rsidRPr="00EF1826">
                              <w:rPr>
                                <w:rFonts w:ascii="Arial" w:hAnsi="Arial" w:cs="Arial"/>
                                <w:b/>
                                <w:bCs/>
                                <w:sz w:val="21"/>
                                <w:szCs w:val="21"/>
                              </w:rPr>
                              <w:t>OK</w:t>
                            </w:r>
                          </w:p>
                          <w:p w14:paraId="7F3BB08C" w14:textId="77777777" w:rsidR="00C05DD7" w:rsidRPr="00EF1826" w:rsidRDefault="00C05DD7" w:rsidP="00C05DD7">
                            <w:pPr>
                              <w:rPr>
                                <w:rFonts w:ascii="Arial" w:hAnsi="Arial" w:cs="Arial"/>
                                <w:b/>
                                <w:bCs/>
                                <w:sz w:val="21"/>
                                <w:szCs w:val="21"/>
                              </w:rPr>
                            </w:pPr>
                          </w:p>
                        </w:txbxContent>
                      </v:textbox>
                      <w10:wrap anchory="page"/>
                    </v:shape>
                  </w:pict>
                </mc:Fallback>
              </mc:AlternateContent>
            </w:r>
            <w:r>
              <w:rPr>
                <w:b/>
                <w:bCs/>
                <w:noProof/>
                <w:lang w:val="en-US" w:eastAsia="ko-KR"/>
              </w:rPr>
              <mc:AlternateContent>
                <mc:Choice Requires="wps">
                  <w:drawing>
                    <wp:anchor distT="45720" distB="45720" distL="114300" distR="114300" simplePos="0" relativeHeight="251658255" behindDoc="0" locked="0" layoutInCell="1" allowOverlap="1" wp14:anchorId="781D7B87" wp14:editId="3F9CEC1C">
                      <wp:simplePos x="0" y="0"/>
                      <wp:positionH relativeFrom="column">
                        <wp:posOffset>594360</wp:posOffset>
                      </wp:positionH>
                      <wp:positionV relativeFrom="page">
                        <wp:posOffset>2816225</wp:posOffset>
                      </wp:positionV>
                      <wp:extent cx="629920" cy="204470"/>
                      <wp:effectExtent l="0" t="0" r="0" b="0"/>
                      <wp:wrapNone/>
                      <wp:docPr id="14599104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04470"/>
                              </a:xfrm>
                              <a:prstGeom prst="rect">
                                <a:avLst/>
                              </a:prstGeom>
                              <a:noFill/>
                              <a:ln>
                                <a:noFill/>
                              </a:ln>
                            </wps:spPr>
                            <wps:txbx>
                              <w:txbxContent>
                                <w:p w14:paraId="487C564D" w14:textId="77777777" w:rsidR="00C05DD7" w:rsidRPr="00EF1826" w:rsidRDefault="00C05DD7" w:rsidP="00C05DD7">
                                  <w:pPr>
                                    <w:rPr>
                                      <w:rFonts w:ascii="Arial" w:hAnsi="Arial" w:cs="Arial"/>
                                      <w:b/>
                                      <w:bCs/>
                                      <w:sz w:val="28"/>
                                      <w:szCs w:val="28"/>
                                    </w:rPr>
                                  </w:pPr>
                                  <w:r w:rsidRPr="00EF1826">
                                    <w:rPr>
                                      <w:rFonts w:ascii="Arial" w:hAnsi="Arial" w:cs="Arial"/>
                                      <w:b/>
                                      <w:bCs/>
                                      <w:sz w:val="28"/>
                                      <w:szCs w:val="28"/>
                                    </w:rPr>
                                    <w:t>90°</w:t>
                                  </w:r>
                                </w:p>
                                <w:p w14:paraId="6507A016" w14:textId="77777777" w:rsidR="00C05DD7" w:rsidRPr="00EF1826" w:rsidRDefault="00C05DD7" w:rsidP="00C05DD7">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81D7B87" id="Text Box 91" o:spid="_x0000_s1051" type="#_x0000_t202" style="position:absolute;left:0;text-align:left;margin-left:46.8pt;margin-top:221.75pt;width:49.6pt;height:16.1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" filled="f" stroked="f">
                      <v:textbox style="mso-fit-shape-to-text:t" inset="0,0,0,0">
                        <w:txbxContent>
                          <w:p w14:paraId="487C564D" w14:textId="77777777" w:rsidR="00C05DD7" w:rsidRPr="00EF1826" w:rsidRDefault="00C05DD7" w:rsidP="00C05DD7">
                            <w:pPr>
                              <w:rPr>
                                <w:rFonts w:ascii="Arial" w:hAnsi="Arial" w:cs="Arial"/>
                                <w:b/>
                                <w:bCs/>
                                <w:sz w:val="28"/>
                                <w:szCs w:val="28"/>
                              </w:rPr>
                            </w:pPr>
                            <w:r w:rsidRPr="00EF1826">
                              <w:rPr>
                                <w:rFonts w:ascii="Arial" w:hAnsi="Arial" w:cs="Arial"/>
                                <w:b/>
                                <w:bCs/>
                                <w:sz w:val="28"/>
                                <w:szCs w:val="28"/>
                              </w:rPr>
                              <w:t>90°</w:t>
                            </w:r>
                          </w:p>
                          <w:p w14:paraId="6507A016" w14:textId="77777777" w:rsidR="00C05DD7" w:rsidRPr="00EF1826" w:rsidRDefault="00C05DD7" w:rsidP="00C05DD7">
                            <w:pPr>
                              <w:rPr>
                                <w:rFonts w:ascii="Arial" w:hAnsi="Arial" w:cs="Arial"/>
                                <w:b/>
                                <w:bCs/>
                                <w:sz w:val="28"/>
                                <w:szCs w:val="28"/>
                              </w:rPr>
                            </w:pPr>
                          </w:p>
                        </w:txbxContent>
                      </v:textbox>
                      <w10:wrap anchory="page"/>
                    </v:shape>
                  </w:pict>
                </mc:Fallback>
              </mc:AlternateContent>
            </w:r>
            <w:r>
              <w:rPr>
                <w:b/>
                <w:bCs/>
                <w:noProof/>
                <w:lang w:val="en-US" w:eastAsia="ko-KR"/>
              </w:rPr>
              <mc:AlternateContent>
                <mc:Choice Requires="wps">
                  <w:drawing>
                    <wp:anchor distT="45720" distB="45720" distL="114300" distR="114300" simplePos="0" relativeHeight="251658256" behindDoc="0" locked="0" layoutInCell="1" allowOverlap="1" wp14:anchorId="76A754E1" wp14:editId="19D9D3D6">
                      <wp:simplePos x="0" y="0"/>
                      <wp:positionH relativeFrom="column">
                        <wp:posOffset>12700</wp:posOffset>
                      </wp:positionH>
                      <wp:positionV relativeFrom="page">
                        <wp:posOffset>2966720</wp:posOffset>
                      </wp:positionV>
                      <wp:extent cx="629920" cy="204470"/>
                      <wp:effectExtent l="0" t="0" r="0" b="0"/>
                      <wp:wrapNone/>
                      <wp:docPr id="21388798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04470"/>
                              </a:xfrm>
                              <a:prstGeom prst="rect">
                                <a:avLst/>
                              </a:prstGeom>
                              <a:noFill/>
                              <a:ln>
                                <a:noFill/>
                              </a:ln>
                            </wps:spPr>
                            <wps:txbx>
                              <w:txbxContent>
                                <w:p w14:paraId="2D25A5B4" w14:textId="77777777" w:rsidR="00C05DD7" w:rsidRPr="00EF1826" w:rsidRDefault="00C05DD7" w:rsidP="00C05DD7">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852B027" w14:textId="77777777" w:rsidR="00C05DD7" w:rsidRPr="00EF1826" w:rsidRDefault="00C05DD7" w:rsidP="00C05DD7">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A754E1" id="Text Box 89" o:spid="_x0000_s1052" type="#_x0000_t202" style="position:absolute;left:0;text-align:left;margin-left:1pt;margin-top:233.6pt;width:49.6pt;height:16.1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" filled="f" stroked="f">
                      <v:textbox style="mso-fit-shape-to-text:t" inset="0,0,0,0">
                        <w:txbxContent>
                          <w:p w14:paraId="2D25A5B4" w14:textId="77777777" w:rsidR="00C05DD7" w:rsidRPr="00EF1826" w:rsidRDefault="00C05DD7" w:rsidP="00C05DD7">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852B027" w14:textId="77777777" w:rsidR="00C05DD7" w:rsidRPr="00EF1826" w:rsidRDefault="00C05DD7" w:rsidP="00C05DD7">
                            <w:pPr>
                              <w:rPr>
                                <w:rFonts w:ascii="Arial" w:hAnsi="Arial" w:cs="Arial"/>
                                <w:b/>
                                <w:bCs/>
                                <w:sz w:val="28"/>
                                <w:szCs w:val="28"/>
                              </w:rPr>
                            </w:pPr>
                          </w:p>
                        </w:txbxContent>
                      </v:textbox>
                      <w10:wrap anchory="page"/>
                    </v:shape>
                  </w:pict>
                </mc:Fallback>
              </mc:AlternateContent>
            </w:r>
            <w:r>
              <w:rPr>
                <w:b/>
                <w:bCs/>
                <w:noProof/>
                <w:lang w:val="en-US" w:eastAsia="ko-KR"/>
              </w:rPr>
              <mc:AlternateContent>
                <mc:Choice Requires="wps">
                  <w:drawing>
                    <wp:anchor distT="45720" distB="45720" distL="114300" distR="114300" simplePos="0" relativeHeight="251658257" behindDoc="0" locked="0" layoutInCell="1" allowOverlap="1" wp14:anchorId="6B0CBBA3" wp14:editId="08936D53">
                      <wp:simplePos x="0" y="0"/>
                      <wp:positionH relativeFrom="column">
                        <wp:posOffset>421005</wp:posOffset>
                      </wp:positionH>
                      <wp:positionV relativeFrom="page">
                        <wp:posOffset>3077210</wp:posOffset>
                      </wp:positionV>
                      <wp:extent cx="629920" cy="153035"/>
                      <wp:effectExtent l="0" t="0" r="0" b="0"/>
                      <wp:wrapNone/>
                      <wp:docPr id="3402309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53035"/>
                              </a:xfrm>
                              <a:prstGeom prst="rect">
                                <a:avLst/>
                              </a:prstGeom>
                              <a:noFill/>
                              <a:ln>
                                <a:noFill/>
                              </a:ln>
                            </wps:spPr>
                            <wps:txbx>
                              <w:txbxContent>
                                <w:p w14:paraId="26FE5381" w14:textId="77777777" w:rsidR="00C05DD7" w:rsidRPr="00EF1826" w:rsidRDefault="00C05DD7" w:rsidP="00C05DD7">
                                  <w:pPr>
                                    <w:rPr>
                                      <w:rFonts w:ascii="Arial" w:hAnsi="Arial" w:cs="Arial"/>
                                      <w:b/>
                                      <w:bCs/>
                                      <w:sz w:val="21"/>
                                      <w:szCs w:val="21"/>
                                    </w:rPr>
                                  </w:pPr>
                                  <w:r w:rsidRPr="00EF1826">
                                    <w:rPr>
                                      <w:rFonts w:ascii="Arial" w:hAnsi="Arial" w:cs="Arial"/>
                                      <w:b/>
                                      <w:bCs/>
                                      <w:sz w:val="21"/>
                                      <w:szCs w:val="21"/>
                                    </w:rPr>
                                    <w:t>OK</w:t>
                                  </w:r>
                                </w:p>
                                <w:p w14:paraId="05D6326A" w14:textId="77777777" w:rsidR="00C05DD7" w:rsidRPr="00EF1826" w:rsidRDefault="00C05DD7" w:rsidP="00C05DD7">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B0CBBA3" id="Text Box 87" o:spid="_x0000_s1053" type="#_x0000_t202" style="position:absolute;left:0;text-align:left;margin-left:33.15pt;margin-top:242.3pt;width:49.6pt;height:12.0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" filled="f" stroked="f">
                      <v:textbox style="mso-fit-shape-to-text:t" inset="0,0,0,0">
                        <w:txbxContent>
                          <w:p w14:paraId="26FE5381" w14:textId="77777777" w:rsidR="00C05DD7" w:rsidRPr="00EF1826" w:rsidRDefault="00C05DD7" w:rsidP="00C05DD7">
                            <w:pPr>
                              <w:rPr>
                                <w:rFonts w:ascii="Arial" w:hAnsi="Arial" w:cs="Arial"/>
                                <w:b/>
                                <w:bCs/>
                                <w:sz w:val="21"/>
                                <w:szCs w:val="21"/>
                              </w:rPr>
                            </w:pPr>
                            <w:r w:rsidRPr="00EF1826">
                              <w:rPr>
                                <w:rFonts w:ascii="Arial" w:hAnsi="Arial" w:cs="Arial"/>
                                <w:b/>
                                <w:bCs/>
                                <w:sz w:val="21"/>
                                <w:szCs w:val="21"/>
                              </w:rPr>
                              <w:t>OK</w:t>
                            </w:r>
                          </w:p>
                          <w:p w14:paraId="05D6326A" w14:textId="77777777" w:rsidR="00C05DD7" w:rsidRPr="00EF1826" w:rsidRDefault="00C05DD7" w:rsidP="00C05DD7">
                            <w:pPr>
                              <w:rPr>
                                <w:rFonts w:ascii="Arial" w:hAnsi="Arial" w:cs="Arial"/>
                                <w:b/>
                                <w:bCs/>
                                <w:sz w:val="21"/>
                                <w:szCs w:val="21"/>
                              </w:rPr>
                            </w:pPr>
                          </w:p>
                        </w:txbxContent>
                      </v:textbox>
                      <w10:wrap anchory="page"/>
                    </v:shape>
                  </w:pict>
                </mc:Fallback>
              </mc:AlternateContent>
            </w:r>
            <w:r w:rsidR="002F557F">
              <w:rPr>
                <w:b/>
                <w:bCs/>
                <w:noProof/>
              </w:rPr>
              <w:t>Kuva</w:t>
            </w:r>
            <w:r w:rsidR="00C05DD7">
              <w:rPr>
                <w:b/>
                <w:bCs/>
                <w:noProof/>
              </w:rPr>
              <w:t xml:space="preserve"> K</w:t>
            </w:r>
          </w:p>
        </w:tc>
        <w:tc>
          <w:tcPr>
            <w:tcW w:w="5517" w:type="dxa"/>
          </w:tcPr>
          <w:p w14:paraId="429607C9" w14:textId="32294958" w:rsidR="00C05DD7" w:rsidRDefault="008E2252">
            <w:pPr>
              <w:pStyle w:val="a4"/>
              <w:widowControl w:val="0"/>
              <w:numPr>
                <w:ilvl w:val="0"/>
                <w:numId w:val="39"/>
              </w:numPr>
              <w:suppressAutoHyphens/>
              <w:ind w:left="567" w:hanging="567"/>
              <w:rPr>
                <w:b/>
              </w:rPr>
            </w:pPr>
            <w:r>
              <w:rPr>
                <w:b/>
                <w:bCs/>
              </w:rPr>
              <w:t>Vie esitäytetty ruisku pistoskohtaan</w:t>
            </w:r>
            <w:r w:rsidR="00C05DD7">
              <w:rPr>
                <w:b/>
              </w:rPr>
              <w:t>.</w:t>
            </w:r>
          </w:p>
          <w:p w14:paraId="10B579E5" w14:textId="77777777" w:rsidR="00C05DD7" w:rsidRDefault="00C05DD7">
            <w:pPr>
              <w:pStyle w:val="Default"/>
              <w:ind w:left="567" w:hanging="567"/>
              <w:rPr>
                <w:rFonts w:ascii="Times New Roman" w:hAnsi="Times New Roman" w:cs="Times New Roman"/>
                <w:sz w:val="22"/>
                <w:szCs w:val="22"/>
              </w:rPr>
            </w:pPr>
          </w:p>
          <w:p w14:paraId="1D1211CC" w14:textId="487F5326" w:rsidR="00C05DD7" w:rsidRDefault="008E2252">
            <w:pPr>
              <w:pStyle w:val="a4"/>
              <w:widowControl w:val="0"/>
              <w:numPr>
                <w:ilvl w:val="0"/>
                <w:numId w:val="50"/>
              </w:numPr>
              <w:ind w:left="567" w:hanging="567"/>
              <w:rPr>
                <w:color w:val="231F20"/>
              </w:rPr>
            </w:pPr>
            <w:r w:rsidRPr="0028514E">
              <w:t xml:space="preserve">Purista </w:t>
            </w:r>
            <w:r>
              <w:t>pistoskohdan</w:t>
            </w:r>
            <w:r w:rsidRPr="0028514E">
              <w:t xml:space="preserve"> iho</w:t>
            </w:r>
            <w:r>
              <w:t>alue</w:t>
            </w:r>
            <w:r w:rsidRPr="0028514E">
              <w:t xml:space="preserve"> toisella kädellä varovasti poimulle</w:t>
            </w:r>
            <w:r w:rsidR="00C05DD7">
              <w:rPr>
                <w:color w:val="231F20"/>
              </w:rPr>
              <w:t>.</w:t>
            </w:r>
          </w:p>
          <w:p w14:paraId="59417D26" w14:textId="77777777" w:rsidR="00C05DD7" w:rsidRDefault="00C05DD7">
            <w:pPr>
              <w:pStyle w:val="a4"/>
              <w:ind w:left="567" w:hanging="567"/>
              <w:rPr>
                <w:color w:val="231F20"/>
              </w:rPr>
            </w:pPr>
          </w:p>
          <w:p w14:paraId="406B03EE" w14:textId="619A64F2" w:rsidR="00C05DD7" w:rsidRDefault="008E2252">
            <w:pPr>
              <w:pStyle w:val="a4"/>
              <w:ind w:left="567"/>
              <w:rPr>
                <w:color w:val="231F20"/>
              </w:rPr>
            </w:pPr>
            <w:r>
              <w:rPr>
                <w:bCs/>
                <w:i/>
                <w:iCs/>
                <w:noProof/>
                <w:lang w:eastAsia="ko-KR"/>
              </w:rPr>
              <w:t>Huomautus</w:t>
            </w:r>
            <w:r w:rsidR="00C05DD7">
              <w:rPr>
                <w:bCs/>
                <w:noProof/>
                <w:lang w:eastAsia="ko-KR"/>
              </w:rPr>
              <w:t xml:space="preserve">: </w:t>
            </w:r>
            <w:r w:rsidRPr="0028514E">
              <w:t>Ihon puristaminen poimulle on tärkeää sen varmistamiseksi, että pistät pistoksen ihon alle (rasvakudokseen), mutta et yhtään sen syvemmälle (lihakseen).</w:t>
            </w:r>
          </w:p>
          <w:p w14:paraId="6482953B" w14:textId="77777777" w:rsidR="00C05DD7" w:rsidRDefault="00C05DD7">
            <w:pPr>
              <w:pStyle w:val="a4"/>
              <w:numPr>
                <w:ilvl w:val="12"/>
                <w:numId w:val="0"/>
              </w:numPr>
              <w:ind w:left="567" w:hanging="567"/>
              <w:rPr>
                <w:bCs/>
                <w:noProof/>
                <w:lang w:eastAsia="ko-KR"/>
              </w:rPr>
            </w:pPr>
          </w:p>
          <w:p w14:paraId="00A3D520" w14:textId="207F99A0" w:rsidR="00C05DD7" w:rsidRPr="00793A19" w:rsidRDefault="008E2252" w:rsidP="00CA43F5">
            <w:pPr>
              <w:pStyle w:val="a4"/>
              <w:widowControl w:val="0"/>
              <w:numPr>
                <w:ilvl w:val="0"/>
                <w:numId w:val="38"/>
              </w:numPr>
              <w:suppressAutoHyphens/>
              <w:ind w:left="1134" w:hanging="567"/>
            </w:pPr>
            <w:r>
              <w:rPr>
                <w:b/>
                <w:bCs/>
              </w:rPr>
              <w:t xml:space="preserve">Älä </w:t>
            </w:r>
            <w:r>
              <w:t>vedä mäntää taaksepäin missään vaiheessa</w:t>
            </w:r>
            <w:r w:rsidR="00C05DD7" w:rsidRPr="00793A19">
              <w:t>.</w:t>
            </w:r>
          </w:p>
          <w:p w14:paraId="2833D430" w14:textId="77777777" w:rsidR="00C05DD7" w:rsidRDefault="00C05DD7">
            <w:pPr>
              <w:pStyle w:val="a4"/>
              <w:ind w:left="567" w:hanging="567"/>
              <w:rPr>
                <w:color w:val="231F20"/>
              </w:rPr>
            </w:pPr>
          </w:p>
          <w:p w14:paraId="67600BAE" w14:textId="44BD5397" w:rsidR="00C05DD7" w:rsidRDefault="008E2252">
            <w:pPr>
              <w:pStyle w:val="a4"/>
              <w:widowControl w:val="0"/>
              <w:numPr>
                <w:ilvl w:val="0"/>
                <w:numId w:val="50"/>
              </w:numPr>
              <w:ind w:left="567" w:hanging="567"/>
              <w:rPr>
                <w:color w:val="231F20"/>
              </w:rPr>
            </w:pPr>
            <w:r w:rsidRPr="0028514E">
              <w:t>Työnnä koko neula ihopoimuun 4</w:t>
            </w:r>
            <w:r>
              <w:t>5–</w:t>
            </w:r>
            <w:r w:rsidRPr="0028514E">
              <w:t>90</w:t>
            </w:r>
            <w:r>
              <w:t> asteen</w:t>
            </w:r>
            <w:r w:rsidRPr="0028514E">
              <w:t xml:space="preserve"> kulmassa nopealla, napakalla liikkeellä </w:t>
            </w:r>
            <w:r w:rsidR="00C05DD7">
              <w:rPr>
                <w:color w:val="231F20"/>
              </w:rPr>
              <w:t>(</w:t>
            </w:r>
            <w:r>
              <w:rPr>
                <w:color w:val="231F20"/>
              </w:rPr>
              <w:t>ks.</w:t>
            </w:r>
            <w:r w:rsidR="00C05DD7">
              <w:rPr>
                <w:color w:val="231F20"/>
              </w:rPr>
              <w:t xml:space="preserve"> </w:t>
            </w:r>
            <w:r>
              <w:rPr>
                <w:b/>
                <w:bCs/>
                <w:color w:val="231F20"/>
              </w:rPr>
              <w:t>kuva</w:t>
            </w:r>
            <w:r w:rsidR="00C05DD7">
              <w:rPr>
                <w:b/>
                <w:bCs/>
                <w:color w:val="231F20"/>
              </w:rPr>
              <w:t> K</w:t>
            </w:r>
            <w:r w:rsidR="00C05DD7">
              <w:rPr>
                <w:color w:val="231F20"/>
              </w:rPr>
              <w:t>).</w:t>
            </w:r>
          </w:p>
          <w:p w14:paraId="6AACFA2C" w14:textId="77777777" w:rsidR="00C05DD7" w:rsidRDefault="00C05DD7">
            <w:pPr>
              <w:pStyle w:val="a4"/>
              <w:ind w:left="567" w:hanging="567"/>
              <w:rPr>
                <w:bCs/>
                <w:i/>
                <w:iCs/>
                <w:noProof/>
                <w:lang w:eastAsia="ko-KR"/>
              </w:rPr>
            </w:pPr>
          </w:p>
          <w:p w14:paraId="090657FC" w14:textId="6365B3C9" w:rsidR="00C05DD7" w:rsidRDefault="008E2252">
            <w:pPr>
              <w:pStyle w:val="a4"/>
              <w:ind w:left="567"/>
              <w:rPr>
                <w:bCs/>
                <w:noProof/>
                <w:lang w:eastAsia="ko-KR"/>
              </w:rPr>
            </w:pPr>
            <w:r>
              <w:rPr>
                <w:bCs/>
                <w:i/>
                <w:iCs/>
                <w:noProof/>
                <w:lang w:eastAsia="ko-KR"/>
              </w:rPr>
              <w:t>Huomautus</w:t>
            </w:r>
            <w:r w:rsidR="00C05DD7">
              <w:rPr>
                <w:bCs/>
                <w:noProof/>
                <w:lang w:eastAsia="ko-KR"/>
              </w:rPr>
              <w:t xml:space="preserve">: </w:t>
            </w:r>
            <w:r w:rsidRPr="0028514E">
              <w:t>Ruiskun asettaminen oikeaan kulmaan on tärkeää sen varmistamiseksi, että lääke pistetään ihon alle (rasvakudokseen). Muutoin pistos saattaa tuntua kivuliaalta eikä lääke välttämättä tehoa.</w:t>
            </w:r>
          </w:p>
          <w:p w14:paraId="536A0489" w14:textId="77777777" w:rsidR="00C05DD7" w:rsidRDefault="00C05DD7">
            <w:pPr>
              <w:pStyle w:val="a4"/>
              <w:ind w:left="567" w:hanging="567"/>
              <w:rPr>
                <w:color w:val="231F20"/>
              </w:rPr>
            </w:pPr>
          </w:p>
          <w:p w14:paraId="253CD922" w14:textId="1384AEF0" w:rsidR="00C05DD7" w:rsidRPr="00793A19" w:rsidRDefault="008E2252" w:rsidP="00CA43F5">
            <w:pPr>
              <w:pStyle w:val="a4"/>
              <w:widowControl w:val="0"/>
              <w:numPr>
                <w:ilvl w:val="0"/>
                <w:numId w:val="38"/>
              </w:numPr>
              <w:suppressAutoHyphens/>
              <w:ind w:left="1134" w:hanging="567"/>
            </w:pPr>
            <w:r>
              <w:rPr>
                <w:b/>
                <w:bCs/>
              </w:rPr>
              <w:t>Älä</w:t>
            </w:r>
            <w:r>
              <w:t xml:space="preserve"> koske</w:t>
            </w:r>
            <w:r w:rsidRPr="0028514E">
              <w:t xml:space="preserve"> mäntää</w:t>
            </w:r>
            <w:r>
              <w:t>n</w:t>
            </w:r>
            <w:r w:rsidRPr="0028514E">
              <w:t>, kun työnnät neulan ihoon</w:t>
            </w:r>
            <w:r w:rsidR="00C05DD7" w:rsidRPr="00793A19">
              <w:t>.</w:t>
            </w:r>
          </w:p>
          <w:p w14:paraId="2A62AD44" w14:textId="77777777" w:rsidR="00C05DD7" w:rsidRPr="00CA43F5" w:rsidRDefault="00C05DD7" w:rsidP="00940778">
            <w:pPr>
              <w:rPr>
                <w:lang w:val="fi-FI"/>
              </w:rPr>
            </w:pPr>
          </w:p>
        </w:tc>
      </w:tr>
      <w:tr w:rsidR="009C440C" w:rsidRPr="000821BB" w14:paraId="27F0AA35" w14:textId="77777777" w:rsidTr="006E6BB4">
        <w:trPr>
          <w:cantSplit/>
        </w:trPr>
        <w:tc>
          <w:tcPr>
            <w:tcW w:w="3539" w:type="dxa"/>
          </w:tcPr>
          <w:p w14:paraId="11D6012E" w14:textId="64CA616E" w:rsidR="00C05DD7" w:rsidRPr="00DA57CC" w:rsidRDefault="0086716C">
            <w:pPr>
              <w:suppressAutoHyphens/>
              <w:jc w:val="right"/>
              <w:rPr>
                <w:noProof/>
              </w:rPr>
            </w:pPr>
            <w:r>
              <w:rPr>
                <w:noProof/>
                <w:lang w:val="en-US" w:eastAsia="ko-KR"/>
              </w:rPr>
              <w:lastRenderedPageBreak/>
              <w:drawing>
                <wp:inline distT="0" distB="0" distL="0" distR="0" wp14:anchorId="3ABD0DDE" wp14:editId="7E8664FD">
                  <wp:extent cx="2137410" cy="2604770"/>
                  <wp:effectExtent l="19050" t="19050" r="0" b="5080"/>
                  <wp:docPr id="17" name="그림 18"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그림, 클립아트, 스케치, 만화 영화이(가) 표시된 사진&#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7410" cy="2604770"/>
                          </a:xfrm>
                          <a:prstGeom prst="rect">
                            <a:avLst/>
                          </a:prstGeom>
                          <a:noFill/>
                          <a:ln w="9525" cmpd="sng">
                            <a:solidFill>
                              <a:srgbClr val="000000"/>
                            </a:solidFill>
                            <a:miter lim="800000"/>
                            <a:headEnd/>
                            <a:tailEnd/>
                          </a:ln>
                          <a:effectLst/>
                        </pic:spPr>
                      </pic:pic>
                    </a:graphicData>
                  </a:graphic>
                </wp:inline>
              </w:drawing>
            </w:r>
          </w:p>
          <w:p w14:paraId="59F80166" w14:textId="24253D64" w:rsidR="00C05DD7" w:rsidRDefault="00DA57CC">
            <w:pPr>
              <w:suppressAutoHyphens/>
              <w:jc w:val="right"/>
              <w:rPr>
                <w:b/>
                <w:bCs/>
                <w:noProof/>
              </w:rPr>
            </w:pPr>
            <w:r>
              <w:rPr>
                <w:b/>
                <w:bCs/>
                <w:noProof/>
              </w:rPr>
              <w:t>Kuva</w:t>
            </w:r>
            <w:r w:rsidR="00C05DD7">
              <w:rPr>
                <w:b/>
                <w:bCs/>
                <w:noProof/>
              </w:rPr>
              <w:t xml:space="preserve"> L</w:t>
            </w:r>
          </w:p>
        </w:tc>
        <w:tc>
          <w:tcPr>
            <w:tcW w:w="5517" w:type="dxa"/>
          </w:tcPr>
          <w:p w14:paraId="1A5A8F08" w14:textId="4342B6C7" w:rsidR="00C05DD7" w:rsidRDefault="005216FA">
            <w:pPr>
              <w:pStyle w:val="a4"/>
              <w:widowControl w:val="0"/>
              <w:numPr>
                <w:ilvl w:val="0"/>
                <w:numId w:val="39"/>
              </w:numPr>
              <w:suppressAutoHyphens/>
              <w:ind w:left="567" w:hanging="567"/>
              <w:rPr>
                <w:b/>
              </w:rPr>
            </w:pPr>
            <w:r>
              <w:rPr>
                <w:b/>
              </w:rPr>
              <w:t>Pistäminen</w:t>
            </w:r>
            <w:r w:rsidR="00C05DD7">
              <w:rPr>
                <w:b/>
              </w:rPr>
              <w:t>.</w:t>
            </w:r>
          </w:p>
          <w:p w14:paraId="1F2DEBBE" w14:textId="77777777" w:rsidR="00C05DD7" w:rsidRDefault="00C05DD7">
            <w:pPr>
              <w:pStyle w:val="Default"/>
              <w:ind w:left="567" w:hanging="567"/>
              <w:rPr>
                <w:rFonts w:ascii="Times New Roman" w:hAnsi="Times New Roman" w:cs="Times New Roman"/>
                <w:sz w:val="22"/>
                <w:szCs w:val="22"/>
              </w:rPr>
            </w:pPr>
          </w:p>
          <w:p w14:paraId="3FB99697" w14:textId="1A90C554" w:rsidR="00C05DD7" w:rsidRDefault="00DA57CC">
            <w:pPr>
              <w:pStyle w:val="a4"/>
              <w:widowControl w:val="0"/>
              <w:numPr>
                <w:ilvl w:val="0"/>
                <w:numId w:val="51"/>
              </w:numPr>
              <w:ind w:left="567" w:hanging="567"/>
              <w:rPr>
                <w:bCs/>
              </w:rPr>
            </w:pPr>
            <w:r w:rsidRPr="00DA57CC">
              <w:t>Kun neula on työnnetty ihoon, vapauta ihopoimu</w:t>
            </w:r>
            <w:r w:rsidR="00C05DD7">
              <w:rPr>
                <w:bCs/>
              </w:rPr>
              <w:t>.</w:t>
            </w:r>
          </w:p>
          <w:p w14:paraId="4DD2EC08" w14:textId="2A440E4B" w:rsidR="00C05DD7" w:rsidRDefault="00DA57CC">
            <w:pPr>
              <w:pStyle w:val="a4"/>
              <w:widowControl w:val="0"/>
              <w:numPr>
                <w:ilvl w:val="0"/>
                <w:numId w:val="51"/>
              </w:numPr>
              <w:ind w:left="567" w:hanging="567"/>
              <w:rPr>
                <w:bCs/>
              </w:rPr>
            </w:pPr>
            <w:r w:rsidRPr="00DA57CC">
              <w:t xml:space="preserve">Paina mäntä hitaasti </w:t>
            </w:r>
            <w:r>
              <w:t>pohjaan</w:t>
            </w:r>
            <w:r w:rsidRPr="00DA57CC">
              <w:t>,</w:t>
            </w:r>
            <w:r>
              <w:rPr>
                <w:b/>
                <w:bCs/>
              </w:rPr>
              <w:t xml:space="preserve"> </w:t>
            </w:r>
            <w:r w:rsidRPr="00DA57CC">
              <w:t xml:space="preserve">kunnes koko lääkeannos on pistetty ja ruisku on tyhjä </w:t>
            </w:r>
            <w:r w:rsidR="00C05DD7">
              <w:rPr>
                <w:bCs/>
              </w:rPr>
              <w:t>(</w:t>
            </w:r>
            <w:r>
              <w:rPr>
                <w:bCs/>
              </w:rPr>
              <w:t>ks.</w:t>
            </w:r>
            <w:r w:rsidR="00C05DD7">
              <w:rPr>
                <w:bCs/>
              </w:rPr>
              <w:t xml:space="preserve"> </w:t>
            </w:r>
            <w:r>
              <w:rPr>
                <w:b/>
              </w:rPr>
              <w:t>kuva</w:t>
            </w:r>
            <w:r w:rsidR="00C05DD7">
              <w:rPr>
                <w:b/>
              </w:rPr>
              <w:t> L</w:t>
            </w:r>
            <w:r w:rsidR="00C05DD7">
              <w:rPr>
                <w:bCs/>
              </w:rPr>
              <w:t>).</w:t>
            </w:r>
          </w:p>
          <w:p w14:paraId="2FB5CC31" w14:textId="77777777" w:rsidR="00C05DD7" w:rsidRDefault="00C05DD7">
            <w:pPr>
              <w:pStyle w:val="a4"/>
              <w:numPr>
                <w:ilvl w:val="12"/>
                <w:numId w:val="0"/>
              </w:numPr>
              <w:ind w:left="567" w:hanging="567"/>
              <w:rPr>
                <w:bCs/>
                <w:noProof/>
                <w:lang w:eastAsia="ko-KR"/>
              </w:rPr>
            </w:pPr>
          </w:p>
          <w:p w14:paraId="6C67531B" w14:textId="1C057160" w:rsidR="00C05DD7" w:rsidRDefault="00DA57CC" w:rsidP="00CA43F5">
            <w:pPr>
              <w:pStyle w:val="a4"/>
              <w:widowControl w:val="0"/>
              <w:numPr>
                <w:ilvl w:val="0"/>
                <w:numId w:val="38"/>
              </w:numPr>
              <w:suppressAutoHyphens/>
              <w:ind w:left="1134" w:hanging="567"/>
            </w:pPr>
            <w:r w:rsidRPr="00DA57CC">
              <w:t>Jos männän painaminen ei onnistu, hävitä esitäytetty ruisku ja käytä uutta esitäytettyä ruiskua</w:t>
            </w:r>
            <w:r w:rsidR="00C05DD7">
              <w:t>.</w:t>
            </w:r>
          </w:p>
          <w:p w14:paraId="52EC34CF" w14:textId="659C6AAC" w:rsidR="00C05DD7" w:rsidRPr="00DA57CC" w:rsidRDefault="00DA57CC" w:rsidP="00CA43F5">
            <w:pPr>
              <w:pStyle w:val="a4"/>
              <w:widowControl w:val="0"/>
              <w:numPr>
                <w:ilvl w:val="0"/>
                <w:numId w:val="38"/>
              </w:numPr>
              <w:suppressAutoHyphens/>
              <w:ind w:left="1134" w:hanging="567"/>
            </w:pPr>
            <w:r>
              <w:rPr>
                <w:b/>
                <w:bCs/>
              </w:rPr>
              <w:t xml:space="preserve">Älä </w:t>
            </w:r>
            <w:r w:rsidRPr="00DA57CC">
              <w:t>muuta esitäytetyn ruiskun asentoa, kun pistoksen antaminen on aloitettu</w:t>
            </w:r>
            <w:r w:rsidR="00C05DD7" w:rsidRPr="00DA57CC">
              <w:t>.</w:t>
            </w:r>
          </w:p>
          <w:p w14:paraId="4AB2C8BC" w14:textId="5F204D0F" w:rsidR="00C05DD7" w:rsidRPr="00DA57CC" w:rsidRDefault="00DA57CC" w:rsidP="00CA43F5">
            <w:pPr>
              <w:pStyle w:val="a4"/>
              <w:widowControl w:val="0"/>
              <w:numPr>
                <w:ilvl w:val="0"/>
                <w:numId w:val="38"/>
              </w:numPr>
              <w:suppressAutoHyphens/>
              <w:ind w:left="1134" w:hanging="567"/>
            </w:pPr>
            <w:r w:rsidRPr="00DA57CC">
              <w:t>Jos mäntää ei paineta kokonaan pohjaan, neulansuojus ei asetu neulan suojaksi, kun neula poistetaan ihosta</w:t>
            </w:r>
            <w:r w:rsidR="00C05DD7" w:rsidRPr="00DA57CC">
              <w:rPr>
                <w:lang w:eastAsia="ko-KR"/>
              </w:rPr>
              <w:t>.</w:t>
            </w:r>
          </w:p>
          <w:p w14:paraId="47CB9E7A" w14:textId="36BB899E" w:rsidR="00C05DD7" w:rsidRPr="00DA57CC" w:rsidRDefault="00DA57CC" w:rsidP="00CA43F5">
            <w:pPr>
              <w:pStyle w:val="a4"/>
              <w:widowControl w:val="0"/>
              <w:numPr>
                <w:ilvl w:val="0"/>
                <w:numId w:val="38"/>
              </w:numPr>
              <w:suppressAutoHyphens/>
              <w:ind w:left="1134" w:hanging="567"/>
            </w:pPr>
            <w:r w:rsidRPr="00DA57CC">
              <w:t>Jos neulansuojus ei asetu paikoilleen, ole varovainen ja hävitä ruisku</w:t>
            </w:r>
            <w:r w:rsidRPr="00DA57CC">
              <w:rPr>
                <w:lang w:eastAsia="ko-KR"/>
              </w:rPr>
              <w:t xml:space="preserve"> </w:t>
            </w:r>
            <w:r w:rsidR="00C05DD7" w:rsidRPr="00DA57CC">
              <w:rPr>
                <w:lang w:eastAsia="ko-KR"/>
              </w:rPr>
              <w:t>(</w:t>
            </w:r>
            <w:r w:rsidRPr="00DA57CC">
              <w:rPr>
                <w:lang w:eastAsia="ko-KR"/>
              </w:rPr>
              <w:t>ks. vaihe</w:t>
            </w:r>
            <w:r w:rsidR="00C05DD7" w:rsidRPr="00DA57CC">
              <w:rPr>
                <w:lang w:eastAsia="ko-KR"/>
              </w:rPr>
              <w:t> </w:t>
            </w:r>
            <w:r w:rsidR="00C05DD7">
              <w:rPr>
                <w:b/>
                <w:bCs/>
                <w:lang w:eastAsia="ko-KR"/>
              </w:rPr>
              <w:t xml:space="preserve">14. </w:t>
            </w:r>
            <w:r>
              <w:rPr>
                <w:b/>
                <w:bCs/>
                <w:lang w:eastAsia="ko-KR"/>
              </w:rPr>
              <w:t>Esitäytetyn ruiskun hävittäminen</w:t>
            </w:r>
            <w:r w:rsidR="00C05DD7" w:rsidRPr="00DA57CC">
              <w:rPr>
                <w:lang w:eastAsia="ko-KR"/>
              </w:rPr>
              <w:t>).</w:t>
            </w:r>
          </w:p>
          <w:p w14:paraId="698B816A" w14:textId="77777777" w:rsidR="00C05DD7" w:rsidRPr="00DA57CC" w:rsidRDefault="00C05DD7" w:rsidP="00940778"/>
        </w:tc>
      </w:tr>
      <w:tr w:rsidR="009C440C" w:rsidRPr="00BB5A61" w14:paraId="46738621" w14:textId="77777777" w:rsidTr="006E6BB4">
        <w:trPr>
          <w:cantSplit/>
        </w:trPr>
        <w:tc>
          <w:tcPr>
            <w:tcW w:w="3539" w:type="dxa"/>
          </w:tcPr>
          <w:p w14:paraId="56BE7FE8" w14:textId="388920C7" w:rsidR="00C05DD7" w:rsidRPr="00DA57CC" w:rsidRDefault="0086716C">
            <w:pPr>
              <w:suppressAutoHyphens/>
              <w:jc w:val="right"/>
              <w:rPr>
                <w:noProof/>
              </w:rPr>
            </w:pPr>
            <w:r>
              <w:rPr>
                <w:noProof/>
                <w:lang w:val="en-US" w:eastAsia="ko-KR"/>
              </w:rPr>
              <w:drawing>
                <wp:inline distT="0" distB="0" distL="0" distR="0" wp14:anchorId="354F3EB8" wp14:editId="6DA39B49">
                  <wp:extent cx="2062480" cy="2573020"/>
                  <wp:effectExtent l="19050" t="19050" r="0" b="0"/>
                  <wp:docPr id="18" name="그림 18"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스케치, 그림, 만화 영화, 클립아트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2480" cy="2573020"/>
                          </a:xfrm>
                          <a:prstGeom prst="rect">
                            <a:avLst/>
                          </a:prstGeom>
                          <a:noFill/>
                          <a:ln w="9525" cmpd="sng">
                            <a:solidFill>
                              <a:srgbClr val="000000"/>
                            </a:solidFill>
                            <a:miter lim="800000"/>
                            <a:headEnd/>
                            <a:tailEnd/>
                          </a:ln>
                          <a:effectLst/>
                        </pic:spPr>
                      </pic:pic>
                    </a:graphicData>
                  </a:graphic>
                </wp:inline>
              </w:drawing>
            </w:r>
          </w:p>
          <w:p w14:paraId="653DBA26" w14:textId="4C00E047" w:rsidR="00C05DD7" w:rsidRDefault="00DA57CC">
            <w:pPr>
              <w:suppressAutoHyphens/>
              <w:jc w:val="right"/>
              <w:rPr>
                <w:b/>
                <w:bCs/>
                <w:noProof/>
              </w:rPr>
            </w:pPr>
            <w:r>
              <w:rPr>
                <w:b/>
                <w:bCs/>
                <w:noProof/>
              </w:rPr>
              <w:t>Kuva</w:t>
            </w:r>
            <w:r w:rsidR="00C05DD7">
              <w:rPr>
                <w:b/>
                <w:bCs/>
                <w:noProof/>
              </w:rPr>
              <w:t xml:space="preserve"> M</w:t>
            </w:r>
          </w:p>
        </w:tc>
        <w:tc>
          <w:tcPr>
            <w:tcW w:w="5517" w:type="dxa"/>
          </w:tcPr>
          <w:p w14:paraId="0C1B3FF7" w14:textId="648F79F0" w:rsidR="00C05DD7" w:rsidRDefault="00DA57CC">
            <w:pPr>
              <w:pStyle w:val="a4"/>
              <w:widowControl w:val="0"/>
              <w:numPr>
                <w:ilvl w:val="0"/>
                <w:numId w:val="39"/>
              </w:numPr>
              <w:suppressAutoHyphens/>
              <w:ind w:left="567" w:hanging="567"/>
              <w:rPr>
                <w:b/>
              </w:rPr>
            </w:pPr>
            <w:r>
              <w:rPr>
                <w:b/>
                <w:bCs/>
              </w:rPr>
              <w:t>Poista esitäytetty ruisku pistoskohdasta</w:t>
            </w:r>
            <w:r w:rsidR="00C05DD7">
              <w:rPr>
                <w:b/>
              </w:rPr>
              <w:t>.</w:t>
            </w:r>
          </w:p>
          <w:p w14:paraId="0C719963" w14:textId="77777777" w:rsidR="00C05DD7" w:rsidRDefault="00C05DD7">
            <w:pPr>
              <w:pStyle w:val="Default"/>
              <w:ind w:left="567" w:hanging="567"/>
              <w:rPr>
                <w:rFonts w:ascii="Times New Roman" w:hAnsi="Times New Roman" w:cs="Times New Roman"/>
                <w:sz w:val="22"/>
                <w:szCs w:val="22"/>
              </w:rPr>
            </w:pPr>
          </w:p>
          <w:p w14:paraId="7D161658" w14:textId="42E3D09C" w:rsidR="00C05DD7" w:rsidRDefault="00DA57CC">
            <w:pPr>
              <w:pStyle w:val="a4"/>
              <w:widowControl w:val="0"/>
              <w:numPr>
                <w:ilvl w:val="0"/>
                <w:numId w:val="52"/>
              </w:numPr>
              <w:ind w:left="567" w:hanging="567"/>
              <w:rPr>
                <w:bCs/>
              </w:rPr>
            </w:pPr>
            <w:r w:rsidRPr="00DA57CC">
              <w:t xml:space="preserve">Kun esitäytetty ruisku on tyhjä, poista neula pistoskohdasta ja vapauta mäntä, jolloin neulansuojus siirtyy neulan päälle ja peittää sen kokonaan </w:t>
            </w:r>
            <w:r w:rsidR="00C05DD7">
              <w:rPr>
                <w:bCs/>
              </w:rPr>
              <w:t>(</w:t>
            </w:r>
            <w:r>
              <w:rPr>
                <w:bCs/>
              </w:rPr>
              <w:t>ks.</w:t>
            </w:r>
            <w:r w:rsidR="00C05DD7">
              <w:rPr>
                <w:bCs/>
              </w:rPr>
              <w:t xml:space="preserve"> </w:t>
            </w:r>
            <w:r>
              <w:rPr>
                <w:b/>
              </w:rPr>
              <w:t>kuva</w:t>
            </w:r>
            <w:r w:rsidR="00C05DD7">
              <w:rPr>
                <w:b/>
              </w:rPr>
              <w:t> M</w:t>
            </w:r>
            <w:r w:rsidR="00C05DD7">
              <w:rPr>
                <w:bCs/>
              </w:rPr>
              <w:t>).</w:t>
            </w:r>
          </w:p>
          <w:p w14:paraId="536434B0" w14:textId="15E46B4B" w:rsidR="00C05DD7" w:rsidRPr="00DA57CC" w:rsidRDefault="00DA57CC" w:rsidP="00CA43F5">
            <w:pPr>
              <w:pStyle w:val="a4"/>
              <w:widowControl w:val="0"/>
              <w:numPr>
                <w:ilvl w:val="0"/>
                <w:numId w:val="38"/>
              </w:numPr>
              <w:suppressAutoHyphens/>
              <w:ind w:left="1134" w:hanging="567"/>
            </w:pPr>
            <w:r>
              <w:rPr>
                <w:bCs/>
              </w:rPr>
              <w:t>Pistoskohdasta voi vuotaa hiukan verta</w:t>
            </w:r>
            <w:r w:rsidR="00C05DD7">
              <w:rPr>
                <w:bCs/>
              </w:rPr>
              <w:t xml:space="preserve"> (</w:t>
            </w:r>
            <w:r>
              <w:rPr>
                <w:bCs/>
              </w:rPr>
              <w:t>ks. vaihe</w:t>
            </w:r>
            <w:r w:rsidR="00C05DD7" w:rsidRPr="00DA57CC">
              <w:rPr>
                <w:lang w:eastAsia="ko-KR"/>
              </w:rPr>
              <w:t> </w:t>
            </w:r>
            <w:r w:rsidR="00C05DD7">
              <w:rPr>
                <w:b/>
                <w:bCs/>
                <w:lang w:eastAsia="ko-KR"/>
              </w:rPr>
              <w:t xml:space="preserve">13. </w:t>
            </w:r>
            <w:r>
              <w:rPr>
                <w:b/>
                <w:bCs/>
                <w:lang w:eastAsia="ko-KR"/>
              </w:rPr>
              <w:t>Pistoskohdan hoito</w:t>
            </w:r>
            <w:r w:rsidR="00C05DD7">
              <w:rPr>
                <w:bCs/>
              </w:rPr>
              <w:t>)</w:t>
            </w:r>
            <w:r w:rsidR="00C05DD7" w:rsidRPr="00DA57CC">
              <w:t>.</w:t>
            </w:r>
          </w:p>
          <w:p w14:paraId="4646348E" w14:textId="16C28E90" w:rsidR="00C05DD7" w:rsidRPr="00DA57CC" w:rsidRDefault="00DA57CC" w:rsidP="00CA43F5">
            <w:pPr>
              <w:pStyle w:val="a4"/>
              <w:widowControl w:val="0"/>
              <w:numPr>
                <w:ilvl w:val="0"/>
                <w:numId w:val="38"/>
              </w:numPr>
              <w:suppressAutoHyphens/>
              <w:ind w:left="1134" w:hanging="567"/>
            </w:pPr>
            <w:r w:rsidRPr="00DA57CC">
              <w:t>Jos lääkettä pääsee iholle, pese lääkkeen kanssa kosketuksiin joutunut ihoalue vedellä</w:t>
            </w:r>
            <w:r w:rsidR="00C05DD7" w:rsidRPr="00DA57CC">
              <w:t>.</w:t>
            </w:r>
          </w:p>
          <w:p w14:paraId="0E5B05A7" w14:textId="38F93344" w:rsidR="00C05DD7" w:rsidRPr="00DA57CC" w:rsidRDefault="00DA57CC" w:rsidP="00CA43F5">
            <w:pPr>
              <w:pStyle w:val="a4"/>
              <w:widowControl w:val="0"/>
              <w:numPr>
                <w:ilvl w:val="0"/>
                <w:numId w:val="38"/>
              </w:numPr>
              <w:suppressAutoHyphens/>
              <w:ind w:left="1134" w:hanging="567"/>
            </w:pPr>
            <w:r>
              <w:rPr>
                <w:b/>
              </w:rPr>
              <w:t>Älä</w:t>
            </w:r>
            <w:r>
              <w:rPr>
                <w:bCs/>
              </w:rPr>
              <w:t xml:space="preserve"> käytä esitäytettyä ruiskua uudelleen</w:t>
            </w:r>
            <w:r w:rsidR="00C05DD7" w:rsidRPr="00DA57CC">
              <w:t>.</w:t>
            </w:r>
          </w:p>
          <w:p w14:paraId="54F497E1" w14:textId="77777777" w:rsidR="00C05DD7" w:rsidRPr="00CA43F5" w:rsidRDefault="00C05DD7" w:rsidP="00940778">
            <w:pPr>
              <w:rPr>
                <w:lang w:val="fi-FI"/>
              </w:rPr>
            </w:pPr>
          </w:p>
        </w:tc>
      </w:tr>
    </w:tbl>
    <w:p w14:paraId="58ED6F56" w14:textId="77777777" w:rsidR="00C05DD7" w:rsidRPr="00CA43F5" w:rsidRDefault="00C05DD7" w:rsidP="00C05DD7">
      <w:pPr>
        <w:rPr>
          <w:lang w:val="fi-FI"/>
        </w:rPr>
      </w:pPr>
    </w:p>
    <w:p w14:paraId="27D51DCB" w14:textId="24691F79" w:rsidR="00C05DD7" w:rsidRPr="00BD6707" w:rsidRDefault="00DA57CC" w:rsidP="00C05DD7">
      <w:pPr>
        <w:keepNext/>
        <w:rPr>
          <w:b/>
          <w:bCs/>
        </w:rPr>
      </w:pPr>
      <w:proofErr w:type="spellStart"/>
      <w:r>
        <w:rPr>
          <w:b/>
          <w:bCs/>
        </w:rPr>
        <w:t>Pistoksen</w:t>
      </w:r>
      <w:proofErr w:type="spellEnd"/>
      <w:r>
        <w:rPr>
          <w:b/>
          <w:bCs/>
        </w:rPr>
        <w:t xml:space="preserve"> </w:t>
      </w:r>
      <w:proofErr w:type="spellStart"/>
      <w:r>
        <w:rPr>
          <w:b/>
          <w:bCs/>
        </w:rPr>
        <w:t>jälkeen</w:t>
      </w:r>
      <w:proofErr w:type="spellEnd"/>
    </w:p>
    <w:p w14:paraId="35E4CFA3" w14:textId="77777777" w:rsidR="00C05DD7" w:rsidRDefault="00C05DD7" w:rsidP="00C05DD7">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9C440C" w:rsidRPr="00BD6707" w14:paraId="6E15970E" w14:textId="77777777" w:rsidTr="006E6BB4">
        <w:trPr>
          <w:cantSplit/>
        </w:trPr>
        <w:tc>
          <w:tcPr>
            <w:tcW w:w="9056" w:type="dxa"/>
            <w:gridSpan w:val="2"/>
          </w:tcPr>
          <w:p w14:paraId="25FE605B" w14:textId="5F91C092" w:rsidR="00C05DD7" w:rsidRDefault="00DA57CC" w:rsidP="00070CF8">
            <w:pPr>
              <w:pStyle w:val="a4"/>
              <w:widowControl w:val="0"/>
              <w:numPr>
                <w:ilvl w:val="0"/>
                <w:numId w:val="39"/>
              </w:numPr>
              <w:suppressAutoHyphens/>
              <w:ind w:left="567" w:hanging="567"/>
              <w:rPr>
                <w:b/>
              </w:rPr>
            </w:pPr>
            <w:r>
              <w:rPr>
                <w:b/>
              </w:rPr>
              <w:t>Pistoskohdan hoito</w:t>
            </w:r>
            <w:r w:rsidR="00C05DD7">
              <w:rPr>
                <w:b/>
              </w:rPr>
              <w:t>.</w:t>
            </w:r>
          </w:p>
          <w:p w14:paraId="2AC3491E" w14:textId="77777777" w:rsidR="00C05DD7" w:rsidRDefault="00C05DD7">
            <w:pPr>
              <w:pStyle w:val="Default"/>
              <w:ind w:left="567" w:hanging="567"/>
              <w:rPr>
                <w:rFonts w:ascii="Times New Roman" w:hAnsi="Times New Roman" w:cs="Times New Roman"/>
                <w:sz w:val="22"/>
                <w:szCs w:val="22"/>
              </w:rPr>
            </w:pPr>
          </w:p>
          <w:p w14:paraId="20D8D75F" w14:textId="27CD9DE0" w:rsidR="00C05DD7" w:rsidRDefault="00DA57CC" w:rsidP="00070CF8">
            <w:pPr>
              <w:pStyle w:val="a4"/>
              <w:widowControl w:val="0"/>
              <w:numPr>
                <w:ilvl w:val="0"/>
                <w:numId w:val="53"/>
              </w:numPr>
              <w:ind w:left="567" w:hanging="567"/>
              <w:rPr>
                <w:bCs/>
              </w:rPr>
            </w:pPr>
            <w:r>
              <w:t>Jos pistoskohdasta vuotaa hiukan verta, paina (älä hankaa) sitä kevyesti pumpulitupolla tai harsotaitoksella ja peitä se tarvittaessa laastarilla</w:t>
            </w:r>
            <w:r w:rsidR="00C05DD7">
              <w:rPr>
                <w:bCs/>
              </w:rPr>
              <w:t>.</w:t>
            </w:r>
          </w:p>
          <w:p w14:paraId="39CB1853" w14:textId="1FBE1D3C" w:rsidR="00C05DD7" w:rsidRDefault="00DA57CC" w:rsidP="00CA43F5">
            <w:pPr>
              <w:pStyle w:val="a4"/>
              <w:widowControl w:val="0"/>
              <w:numPr>
                <w:ilvl w:val="0"/>
                <w:numId w:val="38"/>
              </w:numPr>
              <w:suppressAutoHyphens/>
              <w:ind w:left="1134" w:hanging="567"/>
              <w:rPr>
                <w:bCs/>
              </w:rPr>
            </w:pPr>
            <w:r>
              <w:rPr>
                <w:b/>
              </w:rPr>
              <w:t xml:space="preserve">Älä </w:t>
            </w:r>
            <w:r>
              <w:rPr>
                <w:bCs/>
              </w:rPr>
              <w:t>hankaa pistoskohtaa</w:t>
            </w:r>
            <w:r w:rsidR="00C05DD7">
              <w:rPr>
                <w:bCs/>
              </w:rPr>
              <w:t>.</w:t>
            </w:r>
          </w:p>
          <w:p w14:paraId="3F710690" w14:textId="77777777" w:rsidR="00C05DD7" w:rsidRPr="00BD6707" w:rsidRDefault="00C05DD7" w:rsidP="00940778"/>
        </w:tc>
      </w:tr>
      <w:tr w:rsidR="009C440C" w:rsidRPr="00BD6707" w14:paraId="36EC1DB9" w14:textId="77777777" w:rsidTr="006E6BB4">
        <w:trPr>
          <w:cantSplit/>
        </w:trPr>
        <w:tc>
          <w:tcPr>
            <w:tcW w:w="3539" w:type="dxa"/>
          </w:tcPr>
          <w:p w14:paraId="4D50DEA2" w14:textId="3DBAF5BF" w:rsidR="00C05DD7" w:rsidRDefault="0086716C">
            <w:pPr>
              <w:suppressAutoHyphens/>
              <w:jc w:val="right"/>
              <w:rPr>
                <w:noProof/>
              </w:rPr>
            </w:pPr>
            <w:r>
              <w:rPr>
                <w:noProof/>
                <w:lang w:val="en-US" w:eastAsia="ko-KR"/>
              </w:rPr>
              <w:lastRenderedPageBreak/>
              <w:drawing>
                <wp:inline distT="0" distB="0" distL="0" distR="0" wp14:anchorId="527FF53C" wp14:editId="60B292EA">
                  <wp:extent cx="1945640" cy="2573020"/>
                  <wp:effectExtent l="19050" t="19050" r="0" b="0"/>
                  <wp:docPr id="19" name="그림 17"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스케치, 그림, 아동 미술, 예술이(가) 표시된 사진&#10;&#10;자동 생성된 설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5640" cy="2573020"/>
                          </a:xfrm>
                          <a:prstGeom prst="rect">
                            <a:avLst/>
                          </a:prstGeom>
                          <a:noFill/>
                          <a:ln w="9525" cmpd="sng">
                            <a:solidFill>
                              <a:srgbClr val="000000"/>
                            </a:solidFill>
                            <a:miter lim="800000"/>
                            <a:headEnd/>
                            <a:tailEnd/>
                          </a:ln>
                          <a:effectLst/>
                        </pic:spPr>
                      </pic:pic>
                    </a:graphicData>
                  </a:graphic>
                </wp:inline>
              </w:drawing>
            </w:r>
          </w:p>
          <w:p w14:paraId="3279D215" w14:textId="23CFE90F" w:rsidR="00C05DD7" w:rsidRDefault="007363A2">
            <w:pPr>
              <w:suppressAutoHyphens/>
              <w:jc w:val="right"/>
              <w:rPr>
                <w:b/>
                <w:bCs/>
                <w:noProof/>
              </w:rPr>
            </w:pPr>
            <w:r>
              <w:rPr>
                <w:b/>
                <w:bCs/>
                <w:noProof/>
              </w:rPr>
              <w:t>Kuva</w:t>
            </w:r>
            <w:r w:rsidR="00C05DD7">
              <w:rPr>
                <w:b/>
                <w:bCs/>
                <w:noProof/>
              </w:rPr>
              <w:t xml:space="preserve"> N</w:t>
            </w:r>
          </w:p>
        </w:tc>
        <w:tc>
          <w:tcPr>
            <w:tcW w:w="5517" w:type="dxa"/>
          </w:tcPr>
          <w:p w14:paraId="067D3252" w14:textId="1DBF539B" w:rsidR="00C05DD7" w:rsidRDefault="00912D90">
            <w:pPr>
              <w:pStyle w:val="a4"/>
              <w:widowControl w:val="0"/>
              <w:numPr>
                <w:ilvl w:val="0"/>
                <w:numId w:val="39"/>
              </w:numPr>
              <w:suppressAutoHyphens/>
              <w:ind w:left="567" w:hanging="567"/>
              <w:rPr>
                <w:b/>
              </w:rPr>
            </w:pPr>
            <w:r>
              <w:rPr>
                <w:b/>
              </w:rPr>
              <w:t>Esitäytetyn ruiskun hävittäminen</w:t>
            </w:r>
            <w:r w:rsidR="00C05DD7">
              <w:rPr>
                <w:b/>
              </w:rPr>
              <w:t>.</w:t>
            </w:r>
          </w:p>
          <w:p w14:paraId="0C001A3B" w14:textId="77777777" w:rsidR="00C05DD7" w:rsidRDefault="00C05DD7">
            <w:pPr>
              <w:pStyle w:val="Default"/>
              <w:ind w:left="567" w:hanging="567"/>
              <w:rPr>
                <w:rFonts w:ascii="Times New Roman" w:hAnsi="Times New Roman" w:cs="Times New Roman"/>
                <w:sz w:val="22"/>
                <w:szCs w:val="22"/>
              </w:rPr>
            </w:pPr>
          </w:p>
          <w:p w14:paraId="7AFB03E0" w14:textId="2AF48F2B" w:rsidR="00C05DD7" w:rsidRDefault="00912D90">
            <w:pPr>
              <w:pStyle w:val="a4"/>
              <w:widowControl w:val="0"/>
              <w:numPr>
                <w:ilvl w:val="0"/>
                <w:numId w:val="54"/>
              </w:numPr>
              <w:ind w:left="567" w:hanging="567"/>
              <w:rPr>
                <w:bCs/>
              </w:rPr>
            </w:pPr>
            <w:r w:rsidRPr="0028514E">
              <w:t>Laita käytet</w:t>
            </w:r>
            <w:r>
              <w:t>ty esitäytetty</w:t>
            </w:r>
            <w:r w:rsidRPr="0028514E">
              <w:t xml:space="preserve"> ruisku</w:t>
            </w:r>
            <w:r>
              <w:t xml:space="preserve"> </w:t>
            </w:r>
            <w:r>
              <w:rPr>
                <w:color w:val="231F20"/>
              </w:rPr>
              <w:t xml:space="preserve">pistävälle ja viiltävälle jätteelle tarkoitettuun astiaan heti käytön jälkeen </w:t>
            </w:r>
            <w:r w:rsidR="00C05DD7">
              <w:rPr>
                <w:color w:val="231F20"/>
              </w:rPr>
              <w:t>(</w:t>
            </w:r>
            <w:r>
              <w:rPr>
                <w:color w:val="231F20"/>
              </w:rPr>
              <w:t>ks.</w:t>
            </w:r>
            <w:r w:rsidR="00C05DD7">
              <w:rPr>
                <w:color w:val="231F20"/>
              </w:rPr>
              <w:t xml:space="preserve"> </w:t>
            </w:r>
            <w:r>
              <w:rPr>
                <w:b/>
                <w:color w:val="231F20"/>
              </w:rPr>
              <w:t>kuva</w:t>
            </w:r>
            <w:r w:rsidR="00C05DD7">
              <w:rPr>
                <w:b/>
                <w:color w:val="231F20"/>
              </w:rPr>
              <w:t> N</w:t>
            </w:r>
            <w:r w:rsidR="00C05DD7" w:rsidRPr="00CA43F5">
              <w:rPr>
                <w:bCs/>
                <w:color w:val="231F20"/>
              </w:rPr>
              <w:t>)</w:t>
            </w:r>
            <w:r w:rsidR="00C05DD7">
              <w:rPr>
                <w:bCs/>
              </w:rPr>
              <w:t>.</w:t>
            </w:r>
          </w:p>
          <w:p w14:paraId="0AD09C4B" w14:textId="77777777" w:rsidR="00C05DD7" w:rsidRDefault="00C05DD7">
            <w:pPr>
              <w:pStyle w:val="a4"/>
              <w:ind w:left="567" w:hanging="567"/>
              <w:rPr>
                <w:bCs/>
              </w:rPr>
            </w:pPr>
          </w:p>
          <w:p w14:paraId="00089CBA" w14:textId="44227C27" w:rsidR="00C05DD7" w:rsidRDefault="00912D90" w:rsidP="00070CF8">
            <w:pPr>
              <w:pStyle w:val="a4"/>
              <w:ind w:left="567"/>
              <w:rPr>
                <w:bCs/>
                <w:noProof/>
                <w:lang w:eastAsia="ko-KR"/>
              </w:rPr>
            </w:pPr>
            <w:r>
              <w:rPr>
                <w:bCs/>
                <w:i/>
                <w:iCs/>
                <w:noProof/>
                <w:lang w:eastAsia="ko-KR"/>
              </w:rPr>
              <w:t>Huomautus</w:t>
            </w:r>
            <w:r w:rsidR="00C05DD7">
              <w:rPr>
                <w:bCs/>
                <w:noProof/>
                <w:lang w:eastAsia="ko-KR"/>
              </w:rPr>
              <w:t xml:space="preserve">: </w:t>
            </w:r>
            <w:r w:rsidR="007363A2">
              <w:rPr>
                <w:rFonts w:eastAsia="SimSun"/>
              </w:rPr>
              <w:t>Jos toinen henkilö antaa pistoksen sinulle, myös hänen on oltava varovainen esitäytettyä ruiskua ihosta poistaessaan ja sen hävittämisessä, jotta voidaan välttää neulanpistotapaturma ja infektion tarttuminen</w:t>
            </w:r>
            <w:r w:rsidR="00C05DD7">
              <w:rPr>
                <w:color w:val="231F20"/>
              </w:rPr>
              <w:t>.</w:t>
            </w:r>
          </w:p>
          <w:p w14:paraId="657136E0" w14:textId="77777777" w:rsidR="00C05DD7" w:rsidRDefault="00C05DD7">
            <w:pPr>
              <w:pStyle w:val="a4"/>
              <w:ind w:left="567" w:hanging="567"/>
              <w:rPr>
                <w:bCs/>
              </w:rPr>
            </w:pPr>
          </w:p>
          <w:p w14:paraId="43532F21" w14:textId="41BA572C" w:rsidR="00C05DD7" w:rsidRPr="007363A2" w:rsidRDefault="007363A2" w:rsidP="00CA43F5">
            <w:pPr>
              <w:pStyle w:val="a4"/>
              <w:widowControl w:val="0"/>
              <w:numPr>
                <w:ilvl w:val="0"/>
                <w:numId w:val="38"/>
              </w:numPr>
              <w:suppressAutoHyphens/>
              <w:ind w:left="1134" w:hanging="567"/>
            </w:pPr>
            <w:r>
              <w:rPr>
                <w:b/>
              </w:rPr>
              <w:t xml:space="preserve">Älä </w:t>
            </w:r>
            <w:r>
              <w:rPr>
                <w:bCs/>
              </w:rPr>
              <w:t>käytä esitäytettyä ruiskua uudelleen</w:t>
            </w:r>
            <w:r w:rsidR="00C05DD7" w:rsidRPr="007363A2">
              <w:t>.</w:t>
            </w:r>
          </w:p>
          <w:p w14:paraId="6943E0D9" w14:textId="3BD9C8A5" w:rsidR="00C05DD7" w:rsidRPr="007363A2" w:rsidRDefault="007363A2" w:rsidP="00CA43F5">
            <w:pPr>
              <w:pStyle w:val="a4"/>
              <w:widowControl w:val="0"/>
              <w:numPr>
                <w:ilvl w:val="0"/>
                <w:numId w:val="38"/>
              </w:numPr>
              <w:suppressAutoHyphens/>
              <w:ind w:left="1134" w:hanging="567"/>
            </w:pPr>
            <w:r>
              <w:rPr>
                <w:b/>
              </w:rPr>
              <w:t xml:space="preserve">Älä </w:t>
            </w:r>
            <w:r w:rsidRPr="007363A2">
              <w:t>kiinnitä suojakorkkia takaisin esitäytettyyn ruiskuun</w:t>
            </w:r>
            <w:r w:rsidR="00C05DD7" w:rsidRPr="007363A2">
              <w:t>.</w:t>
            </w:r>
          </w:p>
          <w:p w14:paraId="6C15D931" w14:textId="433BA40F" w:rsidR="00C05DD7" w:rsidRDefault="007363A2" w:rsidP="00CA43F5">
            <w:pPr>
              <w:pStyle w:val="a4"/>
              <w:widowControl w:val="0"/>
              <w:numPr>
                <w:ilvl w:val="0"/>
                <w:numId w:val="38"/>
              </w:numPr>
              <w:suppressAutoHyphens/>
              <w:ind w:left="1134" w:hanging="567"/>
            </w:pPr>
            <w:r>
              <w:rPr>
                <w:b/>
                <w:bCs/>
                <w:color w:val="231F20"/>
              </w:rPr>
              <w:t>Älä</w:t>
            </w:r>
            <w:r>
              <w:rPr>
                <w:color w:val="231F20"/>
              </w:rPr>
              <w:t xml:space="preserve"> hävitä pistävälle ja viiltävälle jätteelle tarkoitettua astiaa talousjätteiden mukana</w:t>
            </w:r>
            <w:r w:rsidR="00C05DD7">
              <w:t>.</w:t>
            </w:r>
          </w:p>
          <w:p w14:paraId="1D3A3061" w14:textId="0C5DF985" w:rsidR="00C05DD7" w:rsidRDefault="007363A2" w:rsidP="00CA43F5">
            <w:pPr>
              <w:pStyle w:val="a4"/>
              <w:widowControl w:val="0"/>
              <w:numPr>
                <w:ilvl w:val="0"/>
                <w:numId w:val="38"/>
              </w:numPr>
              <w:suppressAutoHyphens/>
              <w:ind w:left="1134" w:hanging="567"/>
            </w:pPr>
            <w:r>
              <w:rPr>
                <w:b/>
                <w:bCs/>
              </w:rPr>
              <w:t xml:space="preserve">Älä </w:t>
            </w:r>
            <w:r>
              <w:t>kierrätä pistävälle ja viiltävälle jätteelle tarkoitettua astiaa</w:t>
            </w:r>
            <w:r w:rsidR="00C05DD7">
              <w:t>.</w:t>
            </w:r>
          </w:p>
          <w:p w14:paraId="5C5EAB37" w14:textId="43E290A8" w:rsidR="00C05DD7" w:rsidRDefault="007363A2" w:rsidP="00CA43F5">
            <w:pPr>
              <w:pStyle w:val="a4"/>
              <w:widowControl w:val="0"/>
              <w:numPr>
                <w:ilvl w:val="0"/>
                <w:numId w:val="38"/>
              </w:numPr>
              <w:suppressAutoHyphens/>
              <w:ind w:left="1134" w:hanging="567"/>
              <w:rPr>
                <w:bCs/>
              </w:rPr>
            </w:pPr>
            <w:r w:rsidRPr="007363A2">
              <w:t>Pidä esitäytetty Avtozma-ruisku ja jäteastia poissa lasten ulottuvilta</w:t>
            </w:r>
            <w:r w:rsidR="00C05DD7">
              <w:rPr>
                <w:bCs/>
              </w:rPr>
              <w:t>.</w:t>
            </w:r>
          </w:p>
          <w:p w14:paraId="36DB3CBD" w14:textId="77777777" w:rsidR="00C05DD7" w:rsidRDefault="00C05DD7">
            <w:pPr>
              <w:pStyle w:val="a4"/>
              <w:ind w:left="567" w:hanging="567"/>
              <w:rPr>
                <w:bCs/>
              </w:rPr>
            </w:pPr>
          </w:p>
          <w:p w14:paraId="13B5FDBF" w14:textId="150FAE72" w:rsidR="00C05DD7" w:rsidRPr="00AE0BB5" w:rsidRDefault="00DD20FB" w:rsidP="00940778">
            <w:r w:rsidRPr="00CA43F5">
              <w:rPr>
                <w:lang w:val="fi-FI"/>
              </w:rPr>
              <w:t>Hävitä täysi jäteastia terveydenhuollon ammattilaisen tai apteekkihenkilökunnan antamien ohjeiden mukaisesti</w:t>
            </w:r>
            <w:r w:rsidR="008C3A10">
              <w:rPr>
                <w:lang w:val="fi-FI"/>
              </w:rPr>
              <w:t>.</w:t>
            </w:r>
            <w:r w:rsidRPr="00CA43F5">
              <w:rPr>
                <w:lang w:val="fi-FI"/>
              </w:rPr>
              <w:t xml:space="preserve"> Jos sinulla ei ole </w:t>
            </w:r>
            <w:r w:rsidRPr="00CA43F5">
              <w:rPr>
                <w:color w:val="231F20"/>
                <w:lang w:val="fi-FI"/>
              </w:rPr>
              <w:t>pistävälle ja viiltävälle jätteelle tarkoitettua astiaa</w:t>
            </w:r>
            <w:r w:rsidRPr="00CA43F5">
              <w:rPr>
                <w:lang w:val="fi-FI"/>
              </w:rPr>
              <w:t>, voit käyttää jotakin muuta suljettavaa ja pistonkestävää astiaa</w:t>
            </w:r>
            <w:r w:rsidR="00C05DD7" w:rsidRPr="00CA43F5">
              <w:rPr>
                <w:lang w:val="fi-FI"/>
              </w:rPr>
              <w:t>.</w:t>
            </w:r>
            <w:r w:rsidRPr="00CA43F5">
              <w:rPr>
                <w:lang w:val="fi-FI"/>
              </w:rPr>
              <w:t xml:space="preserve"> </w:t>
            </w:r>
            <w:proofErr w:type="spellStart"/>
            <w:r>
              <w:t>Käyttämätön</w:t>
            </w:r>
            <w:proofErr w:type="spellEnd"/>
            <w:r>
              <w:t xml:space="preserve"> </w:t>
            </w:r>
            <w:proofErr w:type="spellStart"/>
            <w:r>
              <w:t>lääkevalmiste</w:t>
            </w:r>
            <w:proofErr w:type="spellEnd"/>
            <w:r>
              <w:t xml:space="preserve"> tai </w:t>
            </w:r>
            <w:proofErr w:type="spellStart"/>
            <w:r>
              <w:t>jäte</w:t>
            </w:r>
            <w:proofErr w:type="spellEnd"/>
            <w:r>
              <w:t xml:space="preserve"> on </w:t>
            </w:r>
            <w:proofErr w:type="spellStart"/>
            <w:r>
              <w:t>hävitettävä</w:t>
            </w:r>
            <w:proofErr w:type="spellEnd"/>
            <w:r>
              <w:t xml:space="preserve"> </w:t>
            </w:r>
            <w:proofErr w:type="spellStart"/>
            <w:r>
              <w:t>paikallisten</w:t>
            </w:r>
            <w:proofErr w:type="spellEnd"/>
            <w:r>
              <w:t xml:space="preserve"> </w:t>
            </w:r>
            <w:proofErr w:type="spellStart"/>
            <w:r>
              <w:t>vaatimusten</w:t>
            </w:r>
            <w:proofErr w:type="spellEnd"/>
            <w:r>
              <w:t xml:space="preserve"> </w:t>
            </w:r>
            <w:proofErr w:type="spellStart"/>
            <w:r>
              <w:t>mukaisesti</w:t>
            </w:r>
            <w:proofErr w:type="spellEnd"/>
            <w:r>
              <w:t>.</w:t>
            </w:r>
          </w:p>
          <w:p w14:paraId="47D44F1E" w14:textId="77777777" w:rsidR="00C05DD7" w:rsidRPr="00D4523B" w:rsidRDefault="00C05DD7" w:rsidP="00940778"/>
        </w:tc>
      </w:tr>
      <w:tr w:rsidR="009C440C" w:rsidRPr="00ED6BAC" w14:paraId="65D65899" w14:textId="77777777" w:rsidTr="006E6BB4">
        <w:trPr>
          <w:cantSplit/>
        </w:trPr>
        <w:tc>
          <w:tcPr>
            <w:tcW w:w="9056" w:type="dxa"/>
            <w:gridSpan w:val="2"/>
          </w:tcPr>
          <w:p w14:paraId="1B3D044C" w14:textId="4D81790B" w:rsidR="00C05DD7" w:rsidRDefault="00DD20FB">
            <w:pPr>
              <w:pStyle w:val="a4"/>
              <w:widowControl w:val="0"/>
              <w:numPr>
                <w:ilvl w:val="0"/>
                <w:numId w:val="39"/>
              </w:numPr>
              <w:ind w:left="567" w:hanging="567"/>
              <w:rPr>
                <w:b/>
              </w:rPr>
            </w:pPr>
            <w:r>
              <w:rPr>
                <w:b/>
              </w:rPr>
              <w:t>Pistoksen kirjaaminen</w:t>
            </w:r>
            <w:r w:rsidR="00C05DD7">
              <w:rPr>
                <w:b/>
              </w:rPr>
              <w:t>.</w:t>
            </w:r>
          </w:p>
          <w:p w14:paraId="0EDA9308" w14:textId="77777777" w:rsidR="00C05DD7" w:rsidRDefault="00C05DD7">
            <w:pPr>
              <w:pStyle w:val="Default"/>
              <w:ind w:left="567" w:hanging="567"/>
              <w:rPr>
                <w:rFonts w:ascii="Times New Roman" w:hAnsi="Times New Roman" w:cs="Times New Roman"/>
                <w:sz w:val="22"/>
                <w:szCs w:val="22"/>
              </w:rPr>
            </w:pPr>
          </w:p>
          <w:p w14:paraId="72474EF4" w14:textId="6689AD47" w:rsidR="00C05DD7" w:rsidRDefault="00DD20FB">
            <w:pPr>
              <w:pStyle w:val="a4"/>
              <w:widowControl w:val="0"/>
              <w:numPr>
                <w:ilvl w:val="0"/>
                <w:numId w:val="56"/>
              </w:numPr>
              <w:ind w:left="567" w:hanging="567"/>
            </w:pPr>
            <w:r w:rsidRPr="00DD20FB">
              <w:t>Kirjoita muistiin pistoksen päivämäärä, kellonaika ja pistoskohta</w:t>
            </w:r>
            <w:r w:rsidR="00C05DD7">
              <w:rPr>
                <w:bCs/>
              </w:rPr>
              <w:t>.</w:t>
            </w:r>
          </w:p>
          <w:p w14:paraId="34ACD78F" w14:textId="77777777" w:rsidR="00C05DD7" w:rsidRPr="00CA43F5" w:rsidRDefault="00C05DD7" w:rsidP="00940778">
            <w:pPr>
              <w:rPr>
                <w:highlight w:val="green"/>
                <w:lang w:val="fi-FI"/>
              </w:rPr>
            </w:pPr>
          </w:p>
        </w:tc>
      </w:tr>
    </w:tbl>
    <w:p w14:paraId="27E83FBD" w14:textId="2BBF846B" w:rsidR="004440FA" w:rsidRPr="00CA43F5" w:rsidRDefault="004440FA" w:rsidP="006679A7">
      <w:pPr>
        <w:widowControl w:val="0"/>
        <w:autoSpaceDE w:val="0"/>
        <w:autoSpaceDN w:val="0"/>
        <w:rPr>
          <w:b/>
          <w:color w:val="231F20"/>
          <w:lang w:val="fi-FI"/>
        </w:rPr>
      </w:pPr>
    </w:p>
    <w:p w14:paraId="1D1D77BB" w14:textId="4583EF2E" w:rsidR="003B7027" w:rsidRPr="00CA43F5" w:rsidRDefault="004440FA" w:rsidP="000374AA">
      <w:pPr>
        <w:widowControl w:val="0"/>
        <w:autoSpaceDE w:val="0"/>
        <w:autoSpaceDN w:val="0"/>
        <w:jc w:val="center"/>
        <w:rPr>
          <w:b/>
          <w:bCs/>
          <w:lang w:val="fi-FI"/>
        </w:rPr>
      </w:pPr>
      <w:r w:rsidRPr="00CA43F5">
        <w:rPr>
          <w:b/>
          <w:color w:val="231F20"/>
          <w:lang w:val="fi-FI"/>
        </w:rPr>
        <w:br w:type="page"/>
      </w:r>
      <w:r w:rsidR="00296A74" w:rsidRPr="00CA43F5">
        <w:rPr>
          <w:b/>
          <w:bCs/>
          <w:lang w:val="fi-FI"/>
        </w:rPr>
        <w:lastRenderedPageBreak/>
        <w:t>Pakkausseloste: Tietoa käyttäjälle</w:t>
      </w:r>
    </w:p>
    <w:p w14:paraId="0E86F5C3" w14:textId="77777777" w:rsidR="003B7027" w:rsidRPr="0028514E" w:rsidRDefault="003B7027" w:rsidP="006E5F9A">
      <w:pPr>
        <w:pStyle w:val="a4"/>
        <w:ind w:left="0"/>
        <w:jc w:val="center"/>
        <w:rPr>
          <w:b/>
        </w:rPr>
      </w:pPr>
    </w:p>
    <w:p w14:paraId="6A8EEF7C" w14:textId="64B218BA" w:rsidR="003B7027" w:rsidRPr="00CA43F5" w:rsidRDefault="005856A8" w:rsidP="006E5F9A">
      <w:pPr>
        <w:widowControl w:val="0"/>
        <w:autoSpaceDE w:val="0"/>
        <w:autoSpaceDN w:val="0"/>
        <w:jc w:val="center"/>
        <w:rPr>
          <w:b/>
          <w:lang w:val="fi-FI"/>
        </w:rPr>
      </w:pPr>
      <w:r w:rsidRPr="00CA43F5">
        <w:rPr>
          <w:b/>
          <w:lang w:val="fi-FI"/>
        </w:rPr>
        <w:t>Avtozma</w:t>
      </w:r>
      <w:r w:rsidR="00296A74" w:rsidRPr="00CA43F5">
        <w:rPr>
          <w:b/>
          <w:lang w:val="fi-FI"/>
        </w:rPr>
        <w:t xml:space="preserve"> 162 mg injektioneste, liuos esitäytet</w:t>
      </w:r>
      <w:r w:rsidR="008F50FA">
        <w:rPr>
          <w:b/>
          <w:lang w:val="fi-FI"/>
        </w:rPr>
        <w:t>ty</w:t>
      </w:r>
      <w:r w:rsidR="00296A74" w:rsidRPr="00CA43F5">
        <w:rPr>
          <w:b/>
          <w:lang w:val="fi-FI"/>
        </w:rPr>
        <w:t xml:space="preserve"> kynä</w:t>
      </w:r>
    </w:p>
    <w:p w14:paraId="08866A5A" w14:textId="77777777" w:rsidR="003B7027" w:rsidRPr="00917132" w:rsidRDefault="00296A74" w:rsidP="006E5F9A">
      <w:pPr>
        <w:pStyle w:val="a4"/>
        <w:ind w:left="0"/>
        <w:jc w:val="center"/>
      </w:pPr>
      <w:r w:rsidRPr="00917132">
        <w:t>tosilitsumabi</w:t>
      </w:r>
    </w:p>
    <w:p w14:paraId="27AAAD4D" w14:textId="77777777" w:rsidR="003B7027" w:rsidRDefault="003B7027" w:rsidP="006E5F9A">
      <w:pPr>
        <w:pStyle w:val="a4"/>
        <w:ind w:left="0"/>
      </w:pPr>
    </w:p>
    <w:p w14:paraId="10A8F9F1" w14:textId="28293C45" w:rsidR="005856A8" w:rsidRPr="00AF361E" w:rsidRDefault="0086716C" w:rsidP="005856A8">
      <w:pPr>
        <w:rPr>
          <w:rFonts w:eastAsia="Times New Roman"/>
          <w:b/>
          <w:bCs/>
          <w:lang w:val="fi-FI"/>
        </w:rPr>
      </w:pPr>
      <w:r>
        <w:rPr>
          <w:noProof/>
          <w:lang w:val="en-US" w:eastAsia="ko-KR"/>
        </w:rPr>
        <w:drawing>
          <wp:inline distT="0" distB="0" distL="0" distR="0" wp14:anchorId="14D6D4A8" wp14:editId="4296A448">
            <wp:extent cx="201930" cy="148590"/>
            <wp:effectExtent l="0" t="0" r="0" b="0"/>
            <wp:docPr id="20"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005856A8" w:rsidRPr="002C4630">
        <w:rPr>
          <w:lang w:val="fi-FI"/>
        </w:rPr>
        <w:t>Tähän lääkevalmisteeseen kohdistuu lisäseuranta. Tällä tavalla voidaan havaita nopeasti turvallisuutta koskevaa uutta tietoa. Voit auttaa ilmoittamalla kaikista mahdollisesti saamistasi haittavaikutuksista. Ks. kohdan</w:t>
      </w:r>
      <w:r w:rsidR="005856A8" w:rsidRPr="00AF361E">
        <w:rPr>
          <w:lang w:val="fi-FI"/>
        </w:rPr>
        <w:t> </w:t>
      </w:r>
      <w:r w:rsidR="005856A8" w:rsidRPr="002C4630">
        <w:rPr>
          <w:lang w:val="fi-FI"/>
        </w:rPr>
        <w:t>4 lopusta, miten haittavaikutuksista ilmoitetaan.</w:t>
      </w:r>
    </w:p>
    <w:p w14:paraId="5C163D11" w14:textId="77777777" w:rsidR="005856A8" w:rsidRPr="00917132" w:rsidRDefault="005856A8" w:rsidP="006E5F9A">
      <w:pPr>
        <w:pStyle w:val="a4"/>
        <w:ind w:left="0"/>
      </w:pPr>
    </w:p>
    <w:p w14:paraId="59C73C10" w14:textId="77777777" w:rsidR="003B7027" w:rsidRPr="009A3CB5" w:rsidRDefault="00296A74" w:rsidP="009A3CB5">
      <w:pPr>
        <w:rPr>
          <w:b/>
          <w:bCs/>
          <w:lang w:val="fi-FI"/>
        </w:rPr>
      </w:pPr>
      <w:r w:rsidRPr="009A3CB5">
        <w:rPr>
          <w:b/>
          <w:bCs/>
          <w:lang w:val="fi-FI"/>
        </w:rPr>
        <w:t>Lue tämä pakkausseloste huolellisesti ennen kuin aloitat tämän lääkkeen käyttämisen, sillä se sisältää sinulle tärkeitä tietoja.</w:t>
      </w:r>
    </w:p>
    <w:p w14:paraId="4B580A87" w14:textId="77777777" w:rsidR="0017020C" w:rsidRPr="009A3CB5" w:rsidRDefault="0017020C" w:rsidP="00DD705A">
      <w:pPr>
        <w:rPr>
          <w:lang w:val="fi-FI"/>
        </w:rPr>
      </w:pPr>
    </w:p>
    <w:p w14:paraId="0B98B949" w14:textId="77777777" w:rsidR="003B7027" w:rsidRPr="0028514E" w:rsidRDefault="00296A74" w:rsidP="009E7ABA">
      <w:pPr>
        <w:pStyle w:val="a"/>
      </w:pPr>
      <w:r w:rsidRPr="0028514E">
        <w:t>Säilytä tämä pakkausseloste. Voit tarvita sitä myöhemmin.</w:t>
      </w:r>
    </w:p>
    <w:p w14:paraId="7D08C9A2" w14:textId="77777777" w:rsidR="003B7027" w:rsidRPr="0028514E" w:rsidRDefault="00296A74" w:rsidP="009E7ABA">
      <w:pPr>
        <w:pStyle w:val="a"/>
      </w:pPr>
      <w:r w:rsidRPr="0028514E">
        <w:t>Jos sinulla on kysyttävää, käänny lääkärin, apteekkihenkilökunnan tai sairaanhoitajan puoleen.</w:t>
      </w:r>
    </w:p>
    <w:p w14:paraId="552C3AD2" w14:textId="77777777" w:rsidR="003B7027" w:rsidRPr="0028514E" w:rsidRDefault="00296A74" w:rsidP="009E7ABA">
      <w:pPr>
        <w:pStyle w:val="a"/>
      </w:pPr>
      <w:r w:rsidRPr="0028514E">
        <w:t>Tämä lääke on määrätty vain sinulle eikä sitä pidä antaa muiden käyttöön. Se voi aiheuttaa haittaa muille, vaikka heillä olisikin samanlaiset oireet kuin sinulla.</w:t>
      </w:r>
    </w:p>
    <w:p w14:paraId="1CD96495" w14:textId="77777777" w:rsidR="003B7027" w:rsidRPr="0028514E" w:rsidRDefault="00296A74" w:rsidP="009E7ABA">
      <w:pPr>
        <w:pStyle w:val="a"/>
      </w:pPr>
      <w:r w:rsidRPr="0028514E">
        <w:t>Jos havaitset haittavaikutuksia, kerro niistä lääkärille, apteekkihenkilökunnalle tai sairaanhoitajalle. Tämä koskee myös sellaisia mahdollisia haittavaikutuksia, joita ei ole mainittu tässä pakkausselosteessa. Ks. kohta 4.</w:t>
      </w:r>
    </w:p>
    <w:p w14:paraId="5AF456E2" w14:textId="77777777" w:rsidR="0017020C" w:rsidRPr="0028514E" w:rsidRDefault="0017020C" w:rsidP="00917132">
      <w:pPr>
        <w:tabs>
          <w:tab w:val="left" w:pos="1605"/>
        </w:tabs>
        <w:ind w:left="567" w:hanging="567"/>
      </w:pPr>
    </w:p>
    <w:p w14:paraId="6AB60320" w14:textId="79DC3DF3" w:rsidR="003B7027" w:rsidRPr="0028514E" w:rsidRDefault="00296A74" w:rsidP="006E5F9A">
      <w:pPr>
        <w:pStyle w:val="a4"/>
        <w:ind w:left="0"/>
      </w:pPr>
      <w:r w:rsidRPr="0028514E">
        <w:t xml:space="preserve">Tämän pakkausselosteen lisäksi saat </w:t>
      </w:r>
      <w:r w:rsidRPr="0028514E">
        <w:rPr>
          <w:b/>
        </w:rPr>
        <w:t>potilaskortin</w:t>
      </w:r>
      <w:r w:rsidRPr="0028514E">
        <w:t xml:space="preserve">. Se sisältää tärkeää tietoa turvallisuudesta, mikä sinun on hyvä tietää, ennen </w:t>
      </w:r>
      <w:r w:rsidR="005856A8">
        <w:t>Avtozma-</w:t>
      </w:r>
      <w:r w:rsidRPr="0028514E">
        <w:t>hoitoa ja sen aikana.</w:t>
      </w:r>
    </w:p>
    <w:p w14:paraId="63A2D976" w14:textId="77777777" w:rsidR="003B7027" w:rsidRPr="0028514E" w:rsidRDefault="003B7027" w:rsidP="006E5F9A">
      <w:pPr>
        <w:pStyle w:val="a4"/>
        <w:ind w:left="0"/>
      </w:pPr>
    </w:p>
    <w:p w14:paraId="797D60DA" w14:textId="77777777" w:rsidR="003B7027" w:rsidRPr="009A3CB5" w:rsidRDefault="00296A74" w:rsidP="009A3CB5">
      <w:pPr>
        <w:rPr>
          <w:b/>
          <w:bCs/>
          <w:lang w:val="fi-FI"/>
        </w:rPr>
      </w:pPr>
      <w:r w:rsidRPr="009A3CB5">
        <w:rPr>
          <w:b/>
          <w:bCs/>
          <w:lang w:val="fi-FI"/>
        </w:rPr>
        <w:t>Tässä pakkausselosteessa kerrotaan:</w:t>
      </w:r>
    </w:p>
    <w:p w14:paraId="59F974FE" w14:textId="114182B3" w:rsidR="003B7027" w:rsidRPr="00CA43F5" w:rsidRDefault="00296A74" w:rsidP="00917132">
      <w:pPr>
        <w:tabs>
          <w:tab w:val="left" w:pos="1605"/>
        </w:tabs>
        <w:ind w:left="567" w:hanging="567"/>
        <w:rPr>
          <w:lang w:val="fi-FI"/>
        </w:rPr>
      </w:pPr>
      <w:r w:rsidRPr="0028514E">
        <w:rPr>
          <w:rFonts w:eastAsia="Times New Roman"/>
          <w:lang w:val="fi-FI" w:eastAsia="en-US"/>
        </w:rPr>
        <w:t>1.</w:t>
      </w:r>
      <w:r w:rsidRPr="0028514E">
        <w:rPr>
          <w:rFonts w:eastAsia="Times New Roman"/>
          <w:lang w:val="fi-FI" w:eastAsia="en-US"/>
        </w:rPr>
        <w:tab/>
      </w:r>
      <w:r w:rsidRPr="00CA43F5">
        <w:rPr>
          <w:lang w:val="fi-FI"/>
        </w:rPr>
        <w:t xml:space="preserve">Mitä </w:t>
      </w:r>
      <w:r w:rsidR="005856A8" w:rsidRPr="00CA43F5">
        <w:rPr>
          <w:lang w:val="fi-FI"/>
        </w:rPr>
        <w:t>Avtozma</w:t>
      </w:r>
      <w:r w:rsidRPr="00CA43F5">
        <w:rPr>
          <w:lang w:val="fi-FI"/>
        </w:rPr>
        <w:t xml:space="preserve"> on ja mihin sitä käytetään</w:t>
      </w:r>
    </w:p>
    <w:p w14:paraId="520A2065" w14:textId="193FC467" w:rsidR="003B7027" w:rsidRPr="00CA43F5" w:rsidRDefault="00296A74" w:rsidP="00917132">
      <w:pPr>
        <w:tabs>
          <w:tab w:val="left" w:pos="1605"/>
        </w:tabs>
        <w:ind w:left="567" w:hanging="567"/>
        <w:rPr>
          <w:lang w:val="fi-FI"/>
        </w:rPr>
      </w:pPr>
      <w:r w:rsidRPr="0028514E">
        <w:rPr>
          <w:rFonts w:eastAsia="Times New Roman"/>
          <w:lang w:val="fi-FI" w:eastAsia="en-US"/>
        </w:rPr>
        <w:t>2.</w:t>
      </w:r>
      <w:r w:rsidRPr="0028514E">
        <w:rPr>
          <w:rFonts w:eastAsia="Times New Roman"/>
          <w:lang w:val="fi-FI" w:eastAsia="en-US"/>
        </w:rPr>
        <w:tab/>
      </w:r>
      <w:r w:rsidRPr="00CA43F5">
        <w:rPr>
          <w:lang w:val="fi-FI"/>
        </w:rPr>
        <w:t xml:space="preserve">Mitä sinun on tiedettävä, ennen kuin käytät </w:t>
      </w:r>
      <w:r w:rsidR="005856A8" w:rsidRPr="00CA43F5">
        <w:rPr>
          <w:lang w:val="fi-FI"/>
        </w:rPr>
        <w:t>Avtozma</w:t>
      </w:r>
      <w:r w:rsidRPr="00CA43F5">
        <w:rPr>
          <w:lang w:val="fi-FI"/>
        </w:rPr>
        <w:t>a</w:t>
      </w:r>
    </w:p>
    <w:p w14:paraId="6989A0A6" w14:textId="3E5E5FD0" w:rsidR="003B7027" w:rsidRPr="00CA43F5" w:rsidRDefault="00296A74" w:rsidP="00917132">
      <w:pPr>
        <w:tabs>
          <w:tab w:val="left" w:pos="1605"/>
        </w:tabs>
        <w:ind w:left="567" w:hanging="567"/>
        <w:rPr>
          <w:lang w:val="fi-FI"/>
        </w:rPr>
      </w:pPr>
      <w:r w:rsidRPr="0028514E">
        <w:rPr>
          <w:rFonts w:eastAsia="Times New Roman"/>
          <w:lang w:val="fi-FI" w:eastAsia="en-US"/>
        </w:rPr>
        <w:t>3.</w:t>
      </w:r>
      <w:r w:rsidRPr="0028514E">
        <w:rPr>
          <w:rFonts w:eastAsia="Times New Roman"/>
          <w:lang w:val="fi-FI" w:eastAsia="en-US"/>
        </w:rPr>
        <w:tab/>
      </w:r>
      <w:r w:rsidRPr="00CA43F5">
        <w:rPr>
          <w:lang w:val="fi-FI"/>
        </w:rPr>
        <w:t xml:space="preserve">Miten </w:t>
      </w:r>
      <w:r w:rsidR="005856A8" w:rsidRPr="00CA43F5">
        <w:rPr>
          <w:lang w:val="fi-FI"/>
        </w:rPr>
        <w:t>Avtozma</w:t>
      </w:r>
      <w:r w:rsidRPr="00CA43F5">
        <w:rPr>
          <w:lang w:val="fi-FI"/>
        </w:rPr>
        <w:t>a käytetään</w:t>
      </w:r>
    </w:p>
    <w:p w14:paraId="5FE4F7F7" w14:textId="77777777" w:rsidR="003B7027" w:rsidRPr="00CA43F5" w:rsidRDefault="00296A74" w:rsidP="00917132">
      <w:pPr>
        <w:tabs>
          <w:tab w:val="left" w:pos="1605"/>
        </w:tabs>
        <w:ind w:left="567" w:hanging="567"/>
        <w:rPr>
          <w:lang w:val="fi-FI"/>
        </w:rPr>
      </w:pPr>
      <w:r w:rsidRPr="0028514E">
        <w:rPr>
          <w:rFonts w:eastAsia="Times New Roman"/>
          <w:lang w:val="fi-FI" w:eastAsia="en-US"/>
        </w:rPr>
        <w:t>4.</w:t>
      </w:r>
      <w:r w:rsidRPr="0028514E">
        <w:rPr>
          <w:rFonts w:eastAsia="Times New Roman"/>
          <w:lang w:val="fi-FI" w:eastAsia="en-US"/>
        </w:rPr>
        <w:tab/>
      </w:r>
      <w:r w:rsidRPr="00CA43F5">
        <w:rPr>
          <w:lang w:val="fi-FI"/>
        </w:rPr>
        <w:t>Mahdolliset haittavaikutukset</w:t>
      </w:r>
    </w:p>
    <w:p w14:paraId="6E099BA4" w14:textId="458E7179" w:rsidR="003B7027" w:rsidRPr="00A34EAB" w:rsidRDefault="00296A74" w:rsidP="00917132">
      <w:pPr>
        <w:tabs>
          <w:tab w:val="left" w:pos="1605"/>
        </w:tabs>
        <w:ind w:left="567" w:hanging="567"/>
        <w:rPr>
          <w:lang w:val="fi-FI"/>
        </w:rPr>
      </w:pPr>
      <w:r w:rsidRPr="0028514E">
        <w:rPr>
          <w:rFonts w:eastAsia="Times New Roman"/>
          <w:lang w:val="fi-FI" w:eastAsia="en-US"/>
        </w:rPr>
        <w:t>5.</w:t>
      </w:r>
      <w:r w:rsidRPr="0028514E">
        <w:rPr>
          <w:rFonts w:eastAsia="Times New Roman"/>
          <w:lang w:val="fi-FI" w:eastAsia="en-US"/>
        </w:rPr>
        <w:tab/>
      </w:r>
      <w:r w:rsidR="005856A8" w:rsidRPr="00A34EAB">
        <w:rPr>
          <w:lang w:val="fi-FI"/>
        </w:rPr>
        <w:t>Avtozma</w:t>
      </w:r>
      <w:r w:rsidRPr="00A34EAB">
        <w:rPr>
          <w:lang w:val="fi-FI"/>
        </w:rPr>
        <w:t>n säilyttäminen</w:t>
      </w:r>
    </w:p>
    <w:p w14:paraId="01A4C56A" w14:textId="77777777" w:rsidR="003B7027" w:rsidRDefault="00296A74" w:rsidP="00917132">
      <w:pPr>
        <w:tabs>
          <w:tab w:val="left" w:pos="1605"/>
        </w:tabs>
        <w:ind w:left="567" w:hanging="567"/>
        <w:rPr>
          <w:lang w:val="fi-FI"/>
        </w:rPr>
      </w:pPr>
      <w:r w:rsidRPr="0028514E">
        <w:rPr>
          <w:rFonts w:eastAsia="Times New Roman"/>
          <w:lang w:val="fi-FI" w:eastAsia="en-US"/>
        </w:rPr>
        <w:t>6.</w:t>
      </w:r>
      <w:r w:rsidRPr="0028514E">
        <w:rPr>
          <w:rFonts w:eastAsia="Times New Roman"/>
          <w:lang w:val="fi-FI" w:eastAsia="en-US"/>
        </w:rPr>
        <w:tab/>
      </w:r>
      <w:r w:rsidRPr="00CA43F5">
        <w:rPr>
          <w:lang w:val="fi-FI"/>
        </w:rPr>
        <w:t>Pakkauksen sisältö ja muuta tietoa</w:t>
      </w:r>
    </w:p>
    <w:p w14:paraId="683D4B2E" w14:textId="315C7064" w:rsidR="00301C6B" w:rsidRPr="00CA43F5" w:rsidRDefault="00301C6B" w:rsidP="00917132">
      <w:pPr>
        <w:tabs>
          <w:tab w:val="left" w:pos="1605"/>
        </w:tabs>
        <w:ind w:left="567" w:hanging="567"/>
        <w:rPr>
          <w:lang w:val="fi-FI"/>
        </w:rPr>
      </w:pPr>
      <w:r>
        <w:rPr>
          <w:lang w:val="fi-FI"/>
        </w:rPr>
        <w:t>7.</w:t>
      </w:r>
      <w:r>
        <w:rPr>
          <w:lang w:val="fi-FI"/>
        </w:rPr>
        <w:tab/>
        <w:t>Käyttöohjeet</w:t>
      </w:r>
    </w:p>
    <w:p w14:paraId="2936171A" w14:textId="77777777" w:rsidR="003B7027" w:rsidRPr="0028514E" w:rsidRDefault="003B7027" w:rsidP="006E5F9A">
      <w:pPr>
        <w:pStyle w:val="a4"/>
        <w:ind w:left="0"/>
      </w:pPr>
    </w:p>
    <w:p w14:paraId="1B20FEA4" w14:textId="77777777" w:rsidR="003B7027" w:rsidRPr="0028514E" w:rsidRDefault="003B7027" w:rsidP="006E5F9A">
      <w:pPr>
        <w:pStyle w:val="a4"/>
        <w:ind w:left="0"/>
      </w:pPr>
    </w:p>
    <w:p w14:paraId="5BD58F6A" w14:textId="04A410AB" w:rsidR="003B7027" w:rsidRPr="0028514E" w:rsidRDefault="00296A74" w:rsidP="00917132">
      <w:pPr>
        <w:pStyle w:val="2"/>
        <w:tabs>
          <w:tab w:val="clear" w:pos="603"/>
        </w:tabs>
      </w:pPr>
      <w:r w:rsidRPr="0028514E">
        <w:t>1.</w:t>
      </w:r>
      <w:r w:rsidRPr="0028514E">
        <w:tab/>
        <w:t xml:space="preserve">Mitä </w:t>
      </w:r>
      <w:r w:rsidR="005856A8">
        <w:t>Avtozma</w:t>
      </w:r>
      <w:r w:rsidRPr="0028514E">
        <w:t xml:space="preserve"> on ja mihin sitä käytetään</w:t>
      </w:r>
    </w:p>
    <w:p w14:paraId="2AEBAFB0" w14:textId="77777777" w:rsidR="00917132" w:rsidRDefault="00917132" w:rsidP="006E5F9A">
      <w:pPr>
        <w:pStyle w:val="a4"/>
        <w:ind w:left="0"/>
      </w:pPr>
    </w:p>
    <w:p w14:paraId="2EBFAA63" w14:textId="5C337F90" w:rsidR="003B7027" w:rsidRPr="0028514E" w:rsidRDefault="005856A8" w:rsidP="006E5F9A">
      <w:pPr>
        <w:pStyle w:val="a4"/>
        <w:ind w:left="0"/>
      </w:pPr>
      <w:r>
        <w:t>Avtozma</w:t>
      </w:r>
      <w:r w:rsidR="00296A74" w:rsidRPr="0028514E">
        <w:t xml:space="preserve">n vaikuttavana aineena on tosilitsumabi. Se on proteiini (monoklonaalinen vasta-aine), joka on valmistettu elävissä soluissa ja estää tietyn, elimistön tulehdusprosesseihin osallistuvan proteiinin, interleukiini-6 sytokiinin, toimintaa. Tämän proteiinin toimintaa estämällä voidaan vähentää elimistön tulehdusreaktioita. </w:t>
      </w:r>
      <w:r>
        <w:t>Avtozma</w:t>
      </w:r>
      <w:r w:rsidR="00296A74" w:rsidRPr="0028514E">
        <w:t>a käytetään:</w:t>
      </w:r>
    </w:p>
    <w:p w14:paraId="09F85B54" w14:textId="77777777" w:rsidR="003B7027" w:rsidRPr="0028514E" w:rsidRDefault="003B7027" w:rsidP="006E5F9A">
      <w:pPr>
        <w:pStyle w:val="a4"/>
        <w:ind w:left="0"/>
      </w:pPr>
    </w:p>
    <w:p w14:paraId="17D4644F" w14:textId="77777777" w:rsidR="003B7027" w:rsidRPr="0028514E" w:rsidRDefault="00296A74" w:rsidP="009E7ABA">
      <w:pPr>
        <w:pStyle w:val="a"/>
      </w:pPr>
      <w:r w:rsidRPr="0028514E">
        <w:rPr>
          <w:b/>
        </w:rPr>
        <w:t>kohtalaisen tai vaikean aktiivisen nivelreuman hoidossa aikuispotilaille</w:t>
      </w:r>
      <w:r w:rsidRPr="0028514E">
        <w:t>, jotka eivät ole saaneet riittävää apua aikaisemmasta hoidosta. Nivelreuma on autoimmuunisairaus.</w:t>
      </w:r>
    </w:p>
    <w:p w14:paraId="4A18E66B" w14:textId="77777777" w:rsidR="0017020C" w:rsidRPr="0028514E" w:rsidRDefault="0017020C" w:rsidP="00917132">
      <w:pPr>
        <w:tabs>
          <w:tab w:val="left" w:pos="1605"/>
        </w:tabs>
        <w:ind w:left="567" w:hanging="567"/>
        <w:rPr>
          <w:rFonts w:ascii="Symbol" w:hAnsi="Symbol" w:hint="eastAsia"/>
        </w:rPr>
      </w:pPr>
    </w:p>
    <w:p w14:paraId="384C67CB" w14:textId="77777777" w:rsidR="003B7027" w:rsidRPr="0028514E" w:rsidRDefault="00296A74" w:rsidP="009E7ABA">
      <w:pPr>
        <w:pStyle w:val="a"/>
      </w:pPr>
      <w:r w:rsidRPr="0028514E">
        <w:t>vaikean aktiivisen ja etenevän nivelreuman hoitoon aikuispotilaille, jotka eivät ole aiemmin käyttäneet metotreksaattia.</w:t>
      </w:r>
    </w:p>
    <w:p w14:paraId="6636B72D" w14:textId="77777777" w:rsidR="0017020C" w:rsidRPr="00CA43F5" w:rsidRDefault="0017020C" w:rsidP="00917132">
      <w:pPr>
        <w:tabs>
          <w:tab w:val="left" w:pos="1605"/>
        </w:tabs>
        <w:ind w:left="567" w:hanging="567"/>
        <w:rPr>
          <w:rFonts w:ascii="Symbol" w:hAnsi="Symbol" w:hint="eastAsia"/>
          <w:lang w:val="fi-FI"/>
        </w:rPr>
      </w:pPr>
    </w:p>
    <w:p w14:paraId="5C1E30C8" w14:textId="37E299DC" w:rsidR="003B7027" w:rsidRPr="0028514E" w:rsidRDefault="005856A8" w:rsidP="00917132">
      <w:pPr>
        <w:pStyle w:val="a4"/>
        <w:ind w:left="567"/>
      </w:pPr>
      <w:r>
        <w:t>Avtozma</w:t>
      </w:r>
      <w:r w:rsidR="00296A74" w:rsidRPr="0028514E">
        <w:t xml:space="preserve"> lievittää </w:t>
      </w:r>
      <w:r w:rsidR="00F8348B">
        <w:t xml:space="preserve">nivelreuman </w:t>
      </w:r>
      <w:r w:rsidR="00296A74" w:rsidRPr="0028514E">
        <w:t xml:space="preserve">oireita, kuten nivelkipua ja -turvotusta ja voi siten parantaa toimintakykyäsi päivittäisissä toiminnoissa. </w:t>
      </w:r>
      <w:r>
        <w:t>Avtozma</w:t>
      </w:r>
      <w:r w:rsidR="00296A74" w:rsidRPr="0028514E">
        <w:t>n on osoitettu hidastavan taudin aiheuttamia nivel- ja rustovaurioita ja lisäävän kykyäsi selviytyä päivittäisistä askareista.</w:t>
      </w:r>
    </w:p>
    <w:p w14:paraId="0D425707" w14:textId="77777777" w:rsidR="003B7027" w:rsidRPr="0028514E" w:rsidRDefault="003B7027" w:rsidP="00917132">
      <w:pPr>
        <w:pStyle w:val="a4"/>
        <w:ind w:left="567"/>
      </w:pPr>
    </w:p>
    <w:p w14:paraId="45117060" w14:textId="047C7464" w:rsidR="003B7027" w:rsidRPr="0028514E" w:rsidRDefault="005856A8" w:rsidP="00917132">
      <w:pPr>
        <w:pStyle w:val="a4"/>
        <w:ind w:left="567"/>
      </w:pPr>
      <w:r>
        <w:t>Avtozma</w:t>
      </w:r>
      <w:r w:rsidR="00296A74" w:rsidRPr="0028514E">
        <w:t xml:space="preserve">-hoitoa annetaan yleensä yhdessä metotreksaatiksi kutsutun toisen nivelreumalääkkeen kanssa. </w:t>
      </w:r>
      <w:r>
        <w:t>Avtozma</w:t>
      </w:r>
      <w:r w:rsidR="00296A74" w:rsidRPr="0028514E">
        <w:t>a voidaan antaa myös yksin, jos lääkäri toteaa, että metotreksaatti ei sovi sinulle.</w:t>
      </w:r>
    </w:p>
    <w:p w14:paraId="4910DBA1" w14:textId="77777777" w:rsidR="0017020C" w:rsidRPr="0028514E" w:rsidRDefault="0017020C" w:rsidP="006E5F9A">
      <w:pPr>
        <w:pStyle w:val="a4"/>
        <w:ind w:left="0"/>
      </w:pPr>
    </w:p>
    <w:p w14:paraId="26C697A4" w14:textId="77777777" w:rsidR="003B7027" w:rsidRPr="0028514E" w:rsidRDefault="00296A74" w:rsidP="009E7ABA">
      <w:pPr>
        <w:pStyle w:val="a"/>
      </w:pPr>
      <w:r w:rsidRPr="0028514E">
        <w:rPr>
          <w:b/>
        </w:rPr>
        <w:t>jättisoluarteriitiksi kutsutun valtimosairauden hoitoon aikuispotilaille</w:t>
      </w:r>
      <w:r w:rsidRPr="0028514E">
        <w:t xml:space="preserve">. Jättisoluarteriitti johtuu kehon suurimpien valtimoiden, etenkin verta päähän ja kaulaan kuljettavien valtimoiden, </w:t>
      </w:r>
      <w:r w:rsidRPr="0028514E">
        <w:lastRenderedPageBreak/>
        <w:t>tulehduksesta. Oireita voivat olla päänsärky, väsymys ja leukakipu. Seurauksia voivat olla aivohalvaus ja sokeutuminen.</w:t>
      </w:r>
    </w:p>
    <w:p w14:paraId="2BB4347D" w14:textId="77777777" w:rsidR="0017020C" w:rsidRPr="00CA43F5" w:rsidRDefault="0017020C" w:rsidP="006E5F9A">
      <w:pPr>
        <w:tabs>
          <w:tab w:val="left" w:pos="1605"/>
        </w:tabs>
        <w:rPr>
          <w:rFonts w:ascii="Symbol" w:hAnsi="Symbol" w:hint="eastAsia"/>
          <w:lang w:val="fi-FI"/>
        </w:rPr>
      </w:pPr>
    </w:p>
    <w:p w14:paraId="3B4E64F2" w14:textId="3589C711" w:rsidR="003B7027" w:rsidRPr="0028514E" w:rsidRDefault="005856A8" w:rsidP="00917132">
      <w:pPr>
        <w:pStyle w:val="a4"/>
        <w:ind w:left="567"/>
      </w:pPr>
      <w:r>
        <w:t>Avtozma</w:t>
      </w:r>
      <w:r w:rsidR="00296A74" w:rsidRPr="0028514E">
        <w:t xml:space="preserve"> voi lievittää pään, kaulan ja käsivarsien valtimoiden ja laskimoiden kipua ja turvotusta.</w:t>
      </w:r>
    </w:p>
    <w:p w14:paraId="498360F8" w14:textId="01A6AD7F" w:rsidR="003B7027" w:rsidRPr="0028514E" w:rsidRDefault="00296A74" w:rsidP="00BF6076">
      <w:pPr>
        <w:pStyle w:val="a4"/>
        <w:ind w:left="567"/>
      </w:pPr>
      <w:r w:rsidRPr="0028514E">
        <w:t xml:space="preserve">Jättisoluarteriittia hoidetaan usein steroideiksi kutsutuilla lääkkeillä. Ne tavallisesti tehoavat, mutta suurina annoksina käytettyinä niillä voi olla haittavaikutuksia. Steroidiannoksen pienentäminen voi myös johtaa jättisoluarteriitin voimakkaaseen pahenemiseen. </w:t>
      </w:r>
      <w:r w:rsidR="005856A8">
        <w:t>Avtozma</w:t>
      </w:r>
      <w:r w:rsidRPr="0028514E">
        <w:t>n lisääminen hoitoon tarkoittaa, että steroideja voidaan käyttää lyhyemmän aikaa, ja jättisoluarteriitti pysyy silti hallinnassa.</w:t>
      </w:r>
    </w:p>
    <w:p w14:paraId="502BE7C1" w14:textId="77777777" w:rsidR="003B7027" w:rsidRPr="0028514E" w:rsidRDefault="003B7027" w:rsidP="006E5F9A">
      <w:pPr>
        <w:pStyle w:val="a4"/>
        <w:ind w:left="0"/>
      </w:pPr>
    </w:p>
    <w:p w14:paraId="3F66B2E7" w14:textId="77777777" w:rsidR="003B7027" w:rsidRPr="0028514E" w:rsidRDefault="00296A74" w:rsidP="009E7ABA">
      <w:pPr>
        <w:pStyle w:val="a"/>
        <w:rPr>
          <w:rFonts w:ascii="Symbol" w:hAnsi="Symbol"/>
        </w:rPr>
      </w:pPr>
      <w:r w:rsidRPr="0028514E">
        <w:rPr>
          <w:b/>
        </w:rPr>
        <w:t xml:space="preserve">12-vuotiaille ja sitä vanhemmille lapsille ja nuorille aktiivisen </w:t>
      </w:r>
      <w:r w:rsidRPr="0028514E">
        <w:rPr>
          <w:b/>
          <w:i/>
        </w:rPr>
        <w:t xml:space="preserve">yleisoireisen lastenreuman </w:t>
      </w:r>
      <w:r w:rsidRPr="0028514E">
        <w:rPr>
          <w:b/>
        </w:rPr>
        <w:t xml:space="preserve">hoitoon. </w:t>
      </w:r>
      <w:r w:rsidRPr="0028514E">
        <w:t>Yleisoireinen lastenreuma on tulehdussairaus, joka aiheuttaa kipua ja turvotusta yhdessä tai useammassa nivelessä sekä kuumetta ja ihottumaa.</w:t>
      </w:r>
    </w:p>
    <w:p w14:paraId="61EA0EF3" w14:textId="77777777" w:rsidR="003B7027" w:rsidRPr="0028514E" w:rsidRDefault="003B7027" w:rsidP="006E5F9A">
      <w:pPr>
        <w:pStyle w:val="a4"/>
        <w:ind w:left="0"/>
      </w:pPr>
    </w:p>
    <w:p w14:paraId="6B4C619B" w14:textId="725A9E33" w:rsidR="003B7027" w:rsidRPr="0028514E" w:rsidRDefault="005856A8" w:rsidP="00917132">
      <w:pPr>
        <w:pStyle w:val="a4"/>
        <w:ind w:left="567"/>
      </w:pPr>
      <w:r>
        <w:t>Avtozma</w:t>
      </w:r>
      <w:r w:rsidR="00296A74" w:rsidRPr="0028514E">
        <w:t>a annetaan yleisoireisen lastenreuman oireiden lievittämiseksi ja sitä voidaan antaa yksin tai yhdessä metotreksaatin kanssa.</w:t>
      </w:r>
    </w:p>
    <w:p w14:paraId="6C4975A3" w14:textId="77777777" w:rsidR="003B7027" w:rsidRPr="0028514E" w:rsidRDefault="003B7027" w:rsidP="006E5F9A">
      <w:pPr>
        <w:pStyle w:val="a4"/>
        <w:ind w:left="0"/>
      </w:pPr>
    </w:p>
    <w:p w14:paraId="5932D1A5" w14:textId="77777777" w:rsidR="003B7027" w:rsidRPr="0028514E" w:rsidRDefault="00296A74" w:rsidP="009E7ABA">
      <w:pPr>
        <w:pStyle w:val="a"/>
        <w:rPr>
          <w:rFonts w:ascii="Symbol" w:hAnsi="Symbol"/>
        </w:rPr>
      </w:pPr>
      <w:r w:rsidRPr="0028514E">
        <w:rPr>
          <w:b/>
        </w:rPr>
        <w:t xml:space="preserve">12-vuotiaille ja sitä vanhemmille lapsille ja nuorille aktiivisen </w:t>
      </w:r>
      <w:r w:rsidRPr="0028514E">
        <w:rPr>
          <w:b/>
          <w:i/>
        </w:rPr>
        <w:t xml:space="preserve">polyartriitin </w:t>
      </w:r>
      <w:r w:rsidRPr="0028514E">
        <w:rPr>
          <w:b/>
        </w:rPr>
        <w:t xml:space="preserve">hoitoon. </w:t>
      </w:r>
      <w:r w:rsidRPr="0028514E">
        <w:t>Polyartriitti on tulehdussairaus, joka aiheuttaa kipua ja turvotusta yhdessä tai useammassa nivelessä.</w:t>
      </w:r>
    </w:p>
    <w:p w14:paraId="0DA18248" w14:textId="77777777" w:rsidR="003B7027" w:rsidRPr="0028514E" w:rsidRDefault="003B7027" w:rsidP="006E5F9A">
      <w:pPr>
        <w:pStyle w:val="a4"/>
        <w:ind w:left="0"/>
      </w:pPr>
    </w:p>
    <w:p w14:paraId="080FC7BF" w14:textId="19740C28" w:rsidR="003B7027" w:rsidRPr="0028514E" w:rsidRDefault="005856A8" w:rsidP="00FD7485">
      <w:pPr>
        <w:pStyle w:val="a4"/>
        <w:ind w:left="567"/>
      </w:pPr>
      <w:r>
        <w:t>Avtozma</w:t>
      </w:r>
      <w:r w:rsidR="00296A74" w:rsidRPr="0028514E">
        <w:t>a annetaan polyartriitin oireiden lievittämiseksi ja sitä voidaan antaa yksin tai yhdessä metotreksaatin kanssa.</w:t>
      </w:r>
    </w:p>
    <w:p w14:paraId="606E97B7" w14:textId="77777777" w:rsidR="003B7027" w:rsidRPr="0028514E" w:rsidRDefault="003B7027" w:rsidP="006E5F9A">
      <w:pPr>
        <w:pStyle w:val="a4"/>
        <w:ind w:left="0"/>
      </w:pPr>
    </w:p>
    <w:p w14:paraId="0DBF4391" w14:textId="77777777" w:rsidR="0017020C" w:rsidRPr="0028514E" w:rsidRDefault="0017020C" w:rsidP="006E5F9A">
      <w:pPr>
        <w:pStyle w:val="a4"/>
        <w:ind w:left="0"/>
      </w:pPr>
    </w:p>
    <w:p w14:paraId="7D8FBD5B" w14:textId="140322B1" w:rsidR="00B051F7" w:rsidRPr="0028514E" w:rsidRDefault="00296A74" w:rsidP="006E5F9A">
      <w:pPr>
        <w:pStyle w:val="2"/>
      </w:pPr>
      <w:r w:rsidRPr="0028514E">
        <w:t>2.</w:t>
      </w:r>
      <w:r w:rsidRPr="0028514E">
        <w:tab/>
        <w:t xml:space="preserve">Mitä sinun on tiedettävä, ennen kuin käytät </w:t>
      </w:r>
      <w:r w:rsidR="005856A8">
        <w:t>Avtozma</w:t>
      </w:r>
      <w:r w:rsidRPr="0028514E">
        <w:t>a</w:t>
      </w:r>
    </w:p>
    <w:p w14:paraId="0E60484B" w14:textId="77777777" w:rsidR="00B051F7" w:rsidRPr="009A3CB5" w:rsidRDefault="00B051F7" w:rsidP="00DD705A">
      <w:pPr>
        <w:rPr>
          <w:b/>
          <w:bCs/>
          <w:lang w:val="fi-FI"/>
        </w:rPr>
      </w:pPr>
    </w:p>
    <w:p w14:paraId="1EC21F05" w14:textId="575690B4" w:rsidR="003B7027" w:rsidRPr="009A3CB5" w:rsidRDefault="00296A74" w:rsidP="009A3CB5">
      <w:pPr>
        <w:rPr>
          <w:b/>
          <w:bCs/>
          <w:lang w:val="fi-FI"/>
        </w:rPr>
      </w:pPr>
      <w:r w:rsidRPr="009A3CB5">
        <w:rPr>
          <w:b/>
          <w:bCs/>
          <w:lang w:val="fi-FI"/>
        </w:rPr>
        <w:t xml:space="preserve">Älä käytä </w:t>
      </w:r>
      <w:r w:rsidR="005856A8" w:rsidRPr="009A3CB5">
        <w:rPr>
          <w:b/>
          <w:bCs/>
          <w:lang w:val="fi-FI"/>
        </w:rPr>
        <w:t>Avtozma</w:t>
      </w:r>
      <w:r w:rsidRPr="009A3CB5">
        <w:rPr>
          <w:b/>
          <w:bCs/>
          <w:lang w:val="fi-FI"/>
        </w:rPr>
        <w:t>a</w:t>
      </w:r>
    </w:p>
    <w:p w14:paraId="182CB805" w14:textId="2700CA0A" w:rsidR="003B7027" w:rsidRPr="0028514E" w:rsidRDefault="00296A74" w:rsidP="009E7ABA">
      <w:pPr>
        <w:pStyle w:val="a"/>
        <w:rPr>
          <w:rFonts w:ascii="Symbol" w:hAnsi="Symbol"/>
        </w:rPr>
      </w:pPr>
      <w:r w:rsidRPr="0028514E">
        <w:t>jos olet tai hoitamasi lapsipotilas on allerginen tosilitsumabille tai tämän lääkkeen jollekin muulle aineelle (lueteltu kohdassa 6)</w:t>
      </w:r>
      <w:r w:rsidR="005856A8">
        <w:t>. (Ks. erityisvaroitukset tämän kohdan lopussa otsikon ”Avtozma sisältää polysorbaattia” alla)</w:t>
      </w:r>
    </w:p>
    <w:p w14:paraId="069C49F3" w14:textId="77777777" w:rsidR="003B7027" w:rsidRDefault="00296A74" w:rsidP="009E7ABA">
      <w:pPr>
        <w:pStyle w:val="a"/>
      </w:pPr>
      <w:r w:rsidRPr="0028514E">
        <w:t>jos sinulla tai huollettavanasi olevalla lapsella on aktiivinen vaikea infektio.</w:t>
      </w:r>
    </w:p>
    <w:p w14:paraId="34CD903F" w14:textId="77777777" w:rsidR="00FD7485" w:rsidRPr="00CA43F5" w:rsidRDefault="00FD7485" w:rsidP="00FD7485">
      <w:pPr>
        <w:tabs>
          <w:tab w:val="left" w:pos="1605"/>
        </w:tabs>
        <w:ind w:left="567" w:hanging="567"/>
        <w:rPr>
          <w:rFonts w:ascii="Symbol" w:hAnsi="Symbol" w:hint="eastAsia"/>
          <w:lang w:val="fi-FI"/>
        </w:rPr>
      </w:pPr>
    </w:p>
    <w:p w14:paraId="07C9CF4A" w14:textId="481DBE2C" w:rsidR="003B7027" w:rsidRPr="0028514E" w:rsidRDefault="00296A74" w:rsidP="00CA43F5">
      <w:pPr>
        <w:pStyle w:val="a4"/>
        <w:ind w:left="0"/>
      </w:pPr>
      <w:r w:rsidRPr="0028514E">
        <w:t>Kerro lääkärille, jos jokin näistä koskee sinua.</w:t>
      </w:r>
      <w:r w:rsidR="005856A8">
        <w:t xml:space="preserve"> </w:t>
      </w:r>
      <w:r w:rsidRPr="0028514E">
        <w:t xml:space="preserve">Älä käytä </w:t>
      </w:r>
      <w:r w:rsidR="005856A8">
        <w:t>Avtozma</w:t>
      </w:r>
      <w:r w:rsidRPr="0028514E">
        <w:t>a.</w:t>
      </w:r>
    </w:p>
    <w:p w14:paraId="6422091F" w14:textId="77777777" w:rsidR="003B7027" w:rsidRPr="0028514E" w:rsidRDefault="003B7027" w:rsidP="00FD7485">
      <w:pPr>
        <w:pStyle w:val="a4"/>
        <w:ind w:left="567" w:hanging="567"/>
      </w:pPr>
    </w:p>
    <w:p w14:paraId="08C4CFCB" w14:textId="77777777" w:rsidR="003B7027" w:rsidRPr="009A3CB5" w:rsidRDefault="00296A74" w:rsidP="009A3CB5">
      <w:pPr>
        <w:rPr>
          <w:b/>
          <w:bCs/>
          <w:lang w:val="fi-FI"/>
        </w:rPr>
      </w:pPr>
      <w:r w:rsidRPr="009A3CB5">
        <w:rPr>
          <w:b/>
          <w:bCs/>
          <w:lang w:val="fi-FI"/>
        </w:rPr>
        <w:t>Varoitukset ja varotoimet</w:t>
      </w:r>
    </w:p>
    <w:p w14:paraId="016456F2" w14:textId="77777777" w:rsidR="00B051F7" w:rsidRPr="009A3CB5" w:rsidRDefault="00B051F7" w:rsidP="00DD705A">
      <w:pPr>
        <w:rPr>
          <w:lang w:val="fi-FI"/>
        </w:rPr>
      </w:pPr>
    </w:p>
    <w:p w14:paraId="01683E3C" w14:textId="38158709" w:rsidR="003B7027" w:rsidRPr="0028514E" w:rsidRDefault="00296A74" w:rsidP="006E5F9A">
      <w:pPr>
        <w:pStyle w:val="a4"/>
        <w:ind w:left="0"/>
      </w:pPr>
      <w:r w:rsidRPr="0028514E">
        <w:t xml:space="preserve">Keskustele lääkärin, apteekkihenkilökunnan tai sairaanhoitajan kanssa ennen kuin käytät </w:t>
      </w:r>
      <w:r w:rsidR="005856A8">
        <w:t>Avtozma</w:t>
      </w:r>
      <w:r w:rsidRPr="0028514E">
        <w:t>a.</w:t>
      </w:r>
    </w:p>
    <w:p w14:paraId="17283FBE" w14:textId="77777777" w:rsidR="003B7027" w:rsidRPr="0028514E" w:rsidRDefault="003B7027" w:rsidP="006E5F9A">
      <w:pPr>
        <w:pStyle w:val="a4"/>
        <w:ind w:left="0"/>
      </w:pPr>
    </w:p>
    <w:p w14:paraId="7E2226FC" w14:textId="77777777" w:rsidR="003B7027" w:rsidRPr="0028514E" w:rsidRDefault="00296A74" w:rsidP="009E7ABA">
      <w:pPr>
        <w:pStyle w:val="a"/>
        <w:rPr>
          <w:rFonts w:ascii="Symbol" w:hAnsi="Symbol"/>
        </w:rPr>
      </w:pPr>
      <w:r w:rsidRPr="0028514E">
        <w:rPr>
          <w:b/>
        </w:rPr>
        <w:t>Kerro heti lääkärille</w:t>
      </w:r>
      <w:r w:rsidRPr="0028514E">
        <w:t xml:space="preserve">, jos havaitset </w:t>
      </w:r>
      <w:r w:rsidRPr="0028514E">
        <w:rPr>
          <w:b/>
        </w:rPr>
        <w:t>allergisia reaktioita</w:t>
      </w:r>
      <w:r w:rsidRPr="0028514E">
        <w:t>, kuten puristavaa tunnetta rintakehässä, hengityksen vinkumista, voimakasta huimausta tai pyörrytystä, huulien, kielen tai kasvojen turvotusta tai ihon kutinaa, nokkosihottumaa tai ihottumaa lääkkeen pistämisen (injektion) aikana tai sen jälkeen.</w:t>
      </w:r>
    </w:p>
    <w:p w14:paraId="7F3E839F" w14:textId="77777777" w:rsidR="003B7027" w:rsidRPr="0028514E" w:rsidRDefault="003B7027" w:rsidP="00FD7485">
      <w:pPr>
        <w:pStyle w:val="a4"/>
        <w:ind w:left="567" w:hanging="567"/>
      </w:pPr>
    </w:p>
    <w:p w14:paraId="1C4C6CEA" w14:textId="2CEA3113" w:rsidR="003B7027" w:rsidRPr="0028514E" w:rsidRDefault="00296A74" w:rsidP="009E7ABA">
      <w:pPr>
        <w:pStyle w:val="a"/>
      </w:pPr>
      <w:r w:rsidRPr="0028514E">
        <w:t xml:space="preserve">Jos sinulla on esiintynyt allergisen reaktion oireita </w:t>
      </w:r>
      <w:r w:rsidR="005856A8">
        <w:t>Avtozma</w:t>
      </w:r>
      <w:r w:rsidRPr="0028514E">
        <w:t>n pistämisen jälkeen, älä pistä seuraavaa annosta ennen kuin olet kertonut asiasta lääkärille JA lääkäri on kehottanut sinua ottamaan seuraavan annoksen.</w:t>
      </w:r>
    </w:p>
    <w:p w14:paraId="3AFB141E" w14:textId="77777777" w:rsidR="00B051F7" w:rsidRPr="00CA43F5" w:rsidRDefault="00B051F7" w:rsidP="00FD7485">
      <w:pPr>
        <w:tabs>
          <w:tab w:val="left" w:pos="1605"/>
        </w:tabs>
        <w:ind w:left="567" w:hanging="567"/>
        <w:rPr>
          <w:rFonts w:ascii="Symbol" w:hAnsi="Symbol" w:hint="eastAsia"/>
          <w:lang w:val="fi-FI"/>
        </w:rPr>
      </w:pPr>
    </w:p>
    <w:p w14:paraId="4D3F84D6" w14:textId="2F696059" w:rsidR="003B7027" w:rsidRPr="0028514E" w:rsidRDefault="00296A74" w:rsidP="009E7ABA">
      <w:pPr>
        <w:pStyle w:val="a"/>
      </w:pPr>
      <w:r w:rsidRPr="0028514E">
        <w:t xml:space="preserve">Jos sinulla on mikä tahansa </w:t>
      </w:r>
      <w:r w:rsidRPr="0028514E">
        <w:rPr>
          <w:b/>
        </w:rPr>
        <w:t>infektio</w:t>
      </w:r>
      <w:r w:rsidRPr="0028514E">
        <w:t xml:space="preserve">, lyhyt- tai pitkäaikainen, tai jos sairastat usein infektiotauteja. </w:t>
      </w:r>
      <w:r w:rsidRPr="0028514E">
        <w:rPr>
          <w:b/>
        </w:rPr>
        <w:t>Kerro välittömästi lääkärille</w:t>
      </w:r>
      <w:r w:rsidRPr="0028514E">
        <w:t xml:space="preserve">, jos tunnet itsesi sairaaksi. </w:t>
      </w:r>
      <w:r w:rsidR="005856A8">
        <w:t>Avtozma</w:t>
      </w:r>
      <w:r w:rsidRPr="0028514E">
        <w:t xml:space="preserve"> voi heikentää elimistön kykyä puolustautua infektioita vastaan ja se voi pahentaa jo olemassa olevia infektioita tai lisätä uusien infektioiden riskiä.</w:t>
      </w:r>
    </w:p>
    <w:p w14:paraId="18D7D997" w14:textId="77777777" w:rsidR="00B051F7" w:rsidRPr="00CA43F5" w:rsidRDefault="00B051F7" w:rsidP="00FD7485">
      <w:pPr>
        <w:tabs>
          <w:tab w:val="left" w:pos="1605"/>
        </w:tabs>
        <w:ind w:left="567" w:hanging="567"/>
        <w:rPr>
          <w:rFonts w:ascii="Symbol" w:hAnsi="Symbol" w:hint="eastAsia"/>
          <w:lang w:val="fi-FI"/>
        </w:rPr>
      </w:pPr>
    </w:p>
    <w:p w14:paraId="2BC33326" w14:textId="7A7BCEDD" w:rsidR="003B7027" w:rsidRPr="0028514E" w:rsidRDefault="00296A74" w:rsidP="009E7ABA">
      <w:pPr>
        <w:pStyle w:val="a"/>
      </w:pPr>
      <w:r w:rsidRPr="0028514E">
        <w:t xml:space="preserve">Kerro lääkärille, jos sinulla on ollut </w:t>
      </w:r>
      <w:r w:rsidRPr="0028514E">
        <w:rPr>
          <w:b/>
        </w:rPr>
        <w:t>tuberkuloosi</w:t>
      </w:r>
      <w:r w:rsidRPr="0028514E">
        <w:t xml:space="preserve">. Ennen </w:t>
      </w:r>
      <w:r w:rsidR="005856A8">
        <w:t>Avtozma</w:t>
      </w:r>
      <w:r w:rsidRPr="0028514E">
        <w:t xml:space="preserve">-hoidon aloittamista lääkäri tutkii, onko sinulla tuberkuloosiin viittaavia merkkejä tai oireita. Kerro välittömästi lääkärille, </w:t>
      </w:r>
      <w:r w:rsidRPr="0028514E">
        <w:lastRenderedPageBreak/>
        <w:t xml:space="preserve">jos havaitset tuberkuloosiin viittaavia oireita (esim. itsepintainen yskä, painon lasku, voimattomuus, lievä lämmönnousu) tai saat minkä tahansa infektion </w:t>
      </w:r>
      <w:r w:rsidR="005856A8">
        <w:t>Avtozma</w:t>
      </w:r>
      <w:r w:rsidRPr="0028514E">
        <w:t>-hoidon aikana tai sen jälkeen.</w:t>
      </w:r>
    </w:p>
    <w:p w14:paraId="7A8E029B" w14:textId="77777777" w:rsidR="00B051F7" w:rsidRPr="00CA43F5" w:rsidRDefault="00B051F7" w:rsidP="00FD7485">
      <w:pPr>
        <w:tabs>
          <w:tab w:val="left" w:pos="1605"/>
        </w:tabs>
        <w:ind w:left="567" w:hanging="567"/>
        <w:rPr>
          <w:rFonts w:ascii="Symbol" w:hAnsi="Symbol" w:hint="eastAsia"/>
          <w:lang w:val="fi-FI"/>
        </w:rPr>
      </w:pPr>
    </w:p>
    <w:p w14:paraId="3506F14A" w14:textId="77777777" w:rsidR="003B7027" w:rsidRPr="0028514E" w:rsidRDefault="00296A74" w:rsidP="009E7ABA">
      <w:pPr>
        <w:pStyle w:val="a"/>
        <w:rPr>
          <w:rFonts w:ascii="Symbol" w:hAnsi="Symbol"/>
        </w:rPr>
      </w:pPr>
      <w:r w:rsidRPr="0028514E">
        <w:t xml:space="preserve">Kerro lääkärille, jos sinulla on ollut </w:t>
      </w:r>
      <w:r w:rsidRPr="0028514E">
        <w:rPr>
          <w:b/>
        </w:rPr>
        <w:t xml:space="preserve">suolistohaavaumia </w:t>
      </w:r>
      <w:r w:rsidRPr="0028514E">
        <w:t xml:space="preserve">tai </w:t>
      </w:r>
      <w:r w:rsidRPr="0028514E">
        <w:rPr>
          <w:b/>
        </w:rPr>
        <w:t>divertikuliittia</w:t>
      </w:r>
      <w:r w:rsidRPr="0028514E">
        <w:t>. Oireita voivat olla vatsakipu, selittämättömät muutokset suoliston toiminnassa ja samanaikainen kuume.</w:t>
      </w:r>
    </w:p>
    <w:p w14:paraId="66637CD2" w14:textId="77777777" w:rsidR="003B7027" w:rsidRPr="0028514E" w:rsidRDefault="003B7027" w:rsidP="00FD7485">
      <w:pPr>
        <w:pStyle w:val="a4"/>
        <w:ind w:left="567" w:hanging="567"/>
      </w:pPr>
    </w:p>
    <w:p w14:paraId="11B8756F" w14:textId="7ABBE580" w:rsidR="003B7027" w:rsidRPr="0028514E" w:rsidRDefault="00296A74" w:rsidP="009E7ABA">
      <w:pPr>
        <w:pStyle w:val="a"/>
        <w:rPr>
          <w:rFonts w:ascii="Symbol" w:hAnsi="Symbol"/>
        </w:rPr>
      </w:pPr>
      <w:r w:rsidRPr="0028514E">
        <w:t xml:space="preserve">Kerro lääkärille, jos sinulla on </w:t>
      </w:r>
      <w:r w:rsidRPr="0028514E">
        <w:rPr>
          <w:b/>
        </w:rPr>
        <w:t>maksasairaus</w:t>
      </w:r>
      <w:r w:rsidRPr="0028514E">
        <w:t xml:space="preserve">. Lääkäri voi määrätä sinut verikokeeseen selvittääkseen maksasi toimintaa ennen </w:t>
      </w:r>
      <w:r w:rsidR="005856A8">
        <w:t>Avtozma</w:t>
      </w:r>
      <w:r w:rsidRPr="0028514E">
        <w:t>-hoidon aloittamista.</w:t>
      </w:r>
    </w:p>
    <w:p w14:paraId="6C7DE170" w14:textId="77777777" w:rsidR="003B7027" w:rsidRPr="0028514E" w:rsidRDefault="003B7027" w:rsidP="00FD7485">
      <w:pPr>
        <w:pStyle w:val="a4"/>
        <w:ind w:left="567" w:hanging="567"/>
      </w:pPr>
    </w:p>
    <w:p w14:paraId="343E75C8" w14:textId="2A2AF1D5" w:rsidR="003B7027" w:rsidRPr="0028514E" w:rsidRDefault="00296A74" w:rsidP="009E7ABA">
      <w:pPr>
        <w:pStyle w:val="a"/>
        <w:rPr>
          <w:rFonts w:ascii="Symbol" w:hAnsi="Symbol"/>
        </w:rPr>
      </w:pPr>
      <w:r w:rsidRPr="0028514E">
        <w:t xml:space="preserve">Kerro lääkärille, jos </w:t>
      </w:r>
      <w:r w:rsidRPr="0028514E">
        <w:rPr>
          <w:b/>
        </w:rPr>
        <w:t xml:space="preserve">potilas on hiljattain rokotettu </w:t>
      </w:r>
      <w:r w:rsidRPr="0028514E">
        <w:t xml:space="preserve">tai hänelle suunnitellaan rokotuksen antamista. Kaikille potilaille suositellaan rokotusten antamista voimassa olevien rokotussuositusten mukaisesti ennen </w:t>
      </w:r>
      <w:r w:rsidR="005856A8">
        <w:t>Avtozma</w:t>
      </w:r>
      <w:r w:rsidRPr="0028514E">
        <w:t xml:space="preserve">-hoidon aloittamista. Tietyntyyppisiä rokotteita ei pidä antaa </w:t>
      </w:r>
      <w:r w:rsidR="005856A8">
        <w:t>Avtozma</w:t>
      </w:r>
      <w:r w:rsidRPr="0028514E">
        <w:t>-hoidon aikana.</w:t>
      </w:r>
    </w:p>
    <w:p w14:paraId="5B39494E" w14:textId="77777777" w:rsidR="003B7027" w:rsidRPr="0028514E" w:rsidRDefault="003B7027" w:rsidP="00FD7485">
      <w:pPr>
        <w:pStyle w:val="a4"/>
        <w:ind w:left="567" w:hanging="567"/>
      </w:pPr>
    </w:p>
    <w:p w14:paraId="3FBE1266" w14:textId="4C8C4B40" w:rsidR="003B7027" w:rsidRPr="0028514E" w:rsidRDefault="00296A74" w:rsidP="009E7ABA">
      <w:pPr>
        <w:pStyle w:val="a"/>
      </w:pPr>
      <w:r w:rsidRPr="0028514E">
        <w:t xml:space="preserve">Kerro lääkärille, jos sairastat </w:t>
      </w:r>
      <w:r w:rsidRPr="0028514E">
        <w:rPr>
          <w:b/>
        </w:rPr>
        <w:t>syöpää</w:t>
      </w:r>
      <w:r w:rsidRPr="0028514E">
        <w:t xml:space="preserve">. Lääkäri päättää, sopiiko </w:t>
      </w:r>
      <w:r w:rsidR="005856A8">
        <w:t>Avtozma</w:t>
      </w:r>
      <w:r w:rsidRPr="0028514E">
        <w:t>-hoito sinulle.</w:t>
      </w:r>
    </w:p>
    <w:p w14:paraId="79D49D75" w14:textId="77777777" w:rsidR="00B051F7" w:rsidRPr="00CA43F5" w:rsidRDefault="00B051F7" w:rsidP="00FD7485">
      <w:pPr>
        <w:tabs>
          <w:tab w:val="left" w:pos="1605"/>
        </w:tabs>
        <w:ind w:left="567" w:hanging="567"/>
        <w:rPr>
          <w:rFonts w:ascii="Symbol" w:hAnsi="Symbol" w:hint="eastAsia"/>
          <w:lang w:val="fi-FI"/>
        </w:rPr>
      </w:pPr>
    </w:p>
    <w:p w14:paraId="6CA97981" w14:textId="3D2FAC0B" w:rsidR="003B7027" w:rsidRPr="0028514E" w:rsidRDefault="00296A74" w:rsidP="009E7ABA">
      <w:pPr>
        <w:pStyle w:val="a"/>
        <w:rPr>
          <w:rFonts w:ascii="Symbol" w:hAnsi="Symbol"/>
        </w:rPr>
      </w:pPr>
      <w:r w:rsidRPr="0028514E">
        <w:t xml:space="preserve">Kerro lääkärille, jos sinulla on todettu </w:t>
      </w:r>
      <w:r w:rsidRPr="0028514E">
        <w:rPr>
          <w:b/>
        </w:rPr>
        <w:t>sydän- ja verisuonisairauksien riskitekijöitä</w:t>
      </w:r>
      <w:r w:rsidRPr="0028514E">
        <w:t xml:space="preserve">, kuten kohonnut verenpaine ja kohonneet kolesterolitasot. Näitä riskitekijöitä tulee seurata </w:t>
      </w:r>
      <w:r w:rsidR="005856A8">
        <w:t>Avtozma</w:t>
      </w:r>
      <w:r w:rsidRPr="0028514E">
        <w:t>- hoidon aikana.</w:t>
      </w:r>
    </w:p>
    <w:p w14:paraId="3CA72833" w14:textId="77777777" w:rsidR="003B7027" w:rsidRPr="0028514E" w:rsidRDefault="003B7027" w:rsidP="00FD7485">
      <w:pPr>
        <w:pStyle w:val="a4"/>
        <w:ind w:left="567" w:hanging="567"/>
      </w:pPr>
    </w:p>
    <w:p w14:paraId="73BDFA60" w14:textId="77777777" w:rsidR="003B7027" w:rsidRPr="0028514E" w:rsidRDefault="00296A74" w:rsidP="009E7ABA">
      <w:pPr>
        <w:pStyle w:val="a"/>
      </w:pPr>
      <w:r w:rsidRPr="0028514E">
        <w:t xml:space="preserve">Jos sinulla on todettu kohtalainen tai vaikea </w:t>
      </w:r>
      <w:r w:rsidRPr="0028514E">
        <w:rPr>
          <w:b/>
        </w:rPr>
        <w:t>munuaisten vajaatoiminta</w:t>
      </w:r>
      <w:r w:rsidRPr="0028514E">
        <w:t>, lääkäri seuraa munuaistesi toimintaa.</w:t>
      </w:r>
    </w:p>
    <w:p w14:paraId="5A3B2A83" w14:textId="77777777" w:rsidR="00B051F7" w:rsidRPr="00CA43F5" w:rsidRDefault="00B051F7" w:rsidP="009E7ABA">
      <w:pPr>
        <w:rPr>
          <w:lang w:val="fi-FI"/>
        </w:rPr>
      </w:pPr>
    </w:p>
    <w:p w14:paraId="2ADAC453" w14:textId="77777777" w:rsidR="003B7027" w:rsidRPr="0028514E" w:rsidRDefault="00296A74" w:rsidP="009E7ABA">
      <w:pPr>
        <w:pStyle w:val="a"/>
        <w:rPr>
          <w:rFonts w:ascii="Symbol" w:hAnsi="Symbol"/>
        </w:rPr>
      </w:pPr>
      <w:r w:rsidRPr="0028514E">
        <w:t xml:space="preserve">Kerro lääkärille, jos sinulla on </w:t>
      </w:r>
      <w:r w:rsidRPr="0028514E">
        <w:rPr>
          <w:b/>
        </w:rPr>
        <w:t>jatkuvaa päänsärkyä.</w:t>
      </w:r>
    </w:p>
    <w:p w14:paraId="25AA6ABD" w14:textId="77777777" w:rsidR="003B7027" w:rsidRPr="0028514E" w:rsidRDefault="003B7027" w:rsidP="00FD7485">
      <w:pPr>
        <w:pStyle w:val="a4"/>
        <w:ind w:left="567" w:hanging="567"/>
        <w:rPr>
          <w:b/>
        </w:rPr>
      </w:pPr>
    </w:p>
    <w:p w14:paraId="15CD8C2F" w14:textId="68E7FB02" w:rsidR="003B7027" w:rsidRPr="0028514E" w:rsidRDefault="00296A74" w:rsidP="006E5F9A">
      <w:pPr>
        <w:pStyle w:val="a4"/>
        <w:ind w:left="0"/>
      </w:pPr>
      <w:r w:rsidRPr="0028514E">
        <w:t xml:space="preserve">Lääkäri määrää sinut verikokeeseen ennen </w:t>
      </w:r>
      <w:r w:rsidR="005856A8">
        <w:t>Avtozma</w:t>
      </w:r>
      <w:r w:rsidRPr="0028514E">
        <w:t>-hoidon aloittamista alhaisen valkosolu- tai verihiutalemäärän tai liian korkeiden maksaentsyymiarvojen selvittämiseksi.</w:t>
      </w:r>
    </w:p>
    <w:p w14:paraId="0987B168" w14:textId="77777777" w:rsidR="003B7027" w:rsidRPr="0028514E" w:rsidRDefault="003B7027" w:rsidP="006E5F9A">
      <w:pPr>
        <w:pStyle w:val="a4"/>
        <w:ind w:left="0"/>
      </w:pPr>
    </w:p>
    <w:p w14:paraId="35AD9D73" w14:textId="77777777" w:rsidR="003B7027" w:rsidRPr="009A3CB5" w:rsidRDefault="00296A74" w:rsidP="009A3CB5">
      <w:pPr>
        <w:rPr>
          <w:b/>
          <w:bCs/>
          <w:lang w:val="fi-FI"/>
        </w:rPr>
      </w:pPr>
      <w:r w:rsidRPr="009A3CB5">
        <w:rPr>
          <w:b/>
          <w:bCs/>
          <w:lang w:val="fi-FI"/>
        </w:rPr>
        <w:t>Lapset ja nuoret</w:t>
      </w:r>
    </w:p>
    <w:p w14:paraId="607E273B" w14:textId="3E206227" w:rsidR="003B7027" w:rsidRPr="0028514E" w:rsidRDefault="005856A8" w:rsidP="006E5F9A">
      <w:pPr>
        <w:pStyle w:val="a4"/>
        <w:ind w:left="0"/>
      </w:pPr>
      <w:r>
        <w:t>Avtozma</w:t>
      </w:r>
      <w:r w:rsidR="00296A74" w:rsidRPr="0028514E">
        <w:t xml:space="preserve">-esitäytettyä kynää ei suositella alle 12-vuotiaille lapsille. </w:t>
      </w:r>
      <w:r>
        <w:t>Avtozma</w:t>
      </w:r>
      <w:r w:rsidR="00296A74" w:rsidRPr="0028514E">
        <w:t>-hoitoa ei saa antaa aktiivista yleisoireista lastenreumaa sairastaville lapsipotilaille, joiden paino on alle 10 kg.</w:t>
      </w:r>
    </w:p>
    <w:p w14:paraId="62B3F632" w14:textId="77777777" w:rsidR="00FD7485" w:rsidRDefault="00FD7485" w:rsidP="006E5F9A">
      <w:pPr>
        <w:pStyle w:val="a4"/>
        <w:ind w:left="0"/>
      </w:pPr>
    </w:p>
    <w:p w14:paraId="2CF8CE5B" w14:textId="7B623E71" w:rsidR="003B7027" w:rsidRPr="0028514E" w:rsidRDefault="00296A74" w:rsidP="006E5F9A">
      <w:pPr>
        <w:pStyle w:val="a4"/>
        <w:ind w:left="0"/>
      </w:pPr>
      <w:r w:rsidRPr="0028514E">
        <w:t xml:space="preserve">Kerro lääkärille, jos lapsi on aiemmin sairastanut </w:t>
      </w:r>
      <w:r w:rsidRPr="0028514E">
        <w:rPr>
          <w:b/>
          <w:i/>
        </w:rPr>
        <w:t xml:space="preserve">makrofagiaktivaatio-oireyhtymää </w:t>
      </w:r>
      <w:r w:rsidRPr="0028514E">
        <w:t>(tietynlaisten verisolujen hallitsematonta lisääntymistä)</w:t>
      </w:r>
      <w:r w:rsidRPr="0028514E">
        <w:rPr>
          <w:b/>
          <w:i/>
        </w:rPr>
        <w:t xml:space="preserve">. </w:t>
      </w:r>
      <w:r w:rsidRPr="0028514E">
        <w:t xml:space="preserve">Lääkäri päättää, sopiiko </w:t>
      </w:r>
      <w:r w:rsidR="005856A8">
        <w:t>Avtozma</w:t>
      </w:r>
      <w:r w:rsidRPr="0028514E">
        <w:t>-hoito hänelle.</w:t>
      </w:r>
    </w:p>
    <w:p w14:paraId="60114C01" w14:textId="77777777" w:rsidR="003B7027" w:rsidRPr="0028514E" w:rsidRDefault="003B7027" w:rsidP="006E5F9A">
      <w:pPr>
        <w:pStyle w:val="a4"/>
        <w:ind w:left="0"/>
      </w:pPr>
    </w:p>
    <w:p w14:paraId="129D9F21" w14:textId="030271CF" w:rsidR="003B7027" w:rsidRPr="009A3CB5" w:rsidRDefault="00296A74" w:rsidP="009A3CB5">
      <w:pPr>
        <w:rPr>
          <w:b/>
          <w:bCs/>
          <w:lang w:val="fi-FI"/>
        </w:rPr>
      </w:pPr>
      <w:r w:rsidRPr="009A3CB5">
        <w:rPr>
          <w:b/>
          <w:bCs/>
          <w:lang w:val="fi-FI"/>
        </w:rPr>
        <w:t xml:space="preserve">Muut lääkevalmisteet ja </w:t>
      </w:r>
      <w:r w:rsidR="005856A8" w:rsidRPr="009A3CB5">
        <w:rPr>
          <w:b/>
          <w:bCs/>
          <w:lang w:val="fi-FI"/>
        </w:rPr>
        <w:t>Avtozma</w:t>
      </w:r>
    </w:p>
    <w:p w14:paraId="43EE6385" w14:textId="0FD4D650" w:rsidR="003B7027" w:rsidRPr="0028514E" w:rsidRDefault="00296A74" w:rsidP="006E5F9A">
      <w:pPr>
        <w:pStyle w:val="a4"/>
        <w:ind w:left="0"/>
      </w:pPr>
      <w:r w:rsidRPr="0028514E">
        <w:t xml:space="preserve">Kerro lääkärille, jos parhaillaan käytät tai olet äskettäin käyttänyt muita lääkkeitä. </w:t>
      </w:r>
      <w:r w:rsidR="005856A8">
        <w:t>Avtozma</w:t>
      </w:r>
      <w:r w:rsidRPr="0028514E">
        <w:t xml:space="preserve"> voi vaikuttaa muiden lääkkeiden tehoon, jolloin niiden annosta voi olla tarpeen muuttaa. </w:t>
      </w:r>
      <w:r w:rsidRPr="0028514E">
        <w:rPr>
          <w:b/>
        </w:rPr>
        <w:t>Kerro lääkärille</w:t>
      </w:r>
      <w:r w:rsidRPr="0028514E">
        <w:t>, jos käytät lääkkeitä, jotka sisältävät jonkin seuraavista vaikuttavista aineista:</w:t>
      </w:r>
    </w:p>
    <w:p w14:paraId="2B6CB770" w14:textId="77777777" w:rsidR="003B7027" w:rsidRPr="0028514E" w:rsidRDefault="00296A74" w:rsidP="009E7ABA">
      <w:pPr>
        <w:pStyle w:val="a"/>
        <w:rPr>
          <w:rFonts w:ascii="Symbol" w:hAnsi="Symbol"/>
        </w:rPr>
      </w:pPr>
      <w:r w:rsidRPr="0028514E">
        <w:t>metyyliprednisoloni, deksametasoni (käytetään tulehduksen lievittämiseksi)</w:t>
      </w:r>
    </w:p>
    <w:p w14:paraId="04C62087" w14:textId="77777777" w:rsidR="003B7027" w:rsidRPr="0028514E" w:rsidRDefault="00296A74" w:rsidP="009E7ABA">
      <w:pPr>
        <w:pStyle w:val="a"/>
        <w:rPr>
          <w:rFonts w:ascii="Symbol" w:hAnsi="Symbol"/>
        </w:rPr>
      </w:pPr>
      <w:r w:rsidRPr="0028514E">
        <w:t>simvastatiini tai atorvastatiini (käytetään alentamaan kolesterolitasoja)</w:t>
      </w:r>
    </w:p>
    <w:p w14:paraId="3FDA908B" w14:textId="77777777" w:rsidR="003B7027" w:rsidRPr="0028514E" w:rsidRDefault="00296A74" w:rsidP="009E7ABA">
      <w:pPr>
        <w:pStyle w:val="a"/>
        <w:rPr>
          <w:rFonts w:ascii="Symbol" w:hAnsi="Symbol"/>
        </w:rPr>
      </w:pPr>
      <w:r w:rsidRPr="0028514E">
        <w:t>kalsiuminestäjät, esim. amlodipiini (käytetään korkean verenpaineen hoitoon)</w:t>
      </w:r>
    </w:p>
    <w:p w14:paraId="3EE7F27F" w14:textId="77777777" w:rsidR="003B7027" w:rsidRPr="0028514E" w:rsidRDefault="00296A74" w:rsidP="009E7ABA">
      <w:pPr>
        <w:pStyle w:val="a"/>
        <w:rPr>
          <w:rFonts w:ascii="Symbol" w:hAnsi="Symbol"/>
        </w:rPr>
      </w:pPr>
      <w:r w:rsidRPr="0028514E">
        <w:t>teofylliini (käytetään astman hoitoon)</w:t>
      </w:r>
    </w:p>
    <w:p w14:paraId="634ECF58" w14:textId="77777777" w:rsidR="003B7027" w:rsidRPr="0028514E" w:rsidRDefault="00296A74" w:rsidP="009E7ABA">
      <w:pPr>
        <w:pStyle w:val="a"/>
        <w:rPr>
          <w:rFonts w:ascii="Symbol" w:hAnsi="Symbol"/>
        </w:rPr>
      </w:pPr>
      <w:r w:rsidRPr="0028514E">
        <w:t>varfariini tai fenprokumoni (käytetään verenohennuslääkkeinä)</w:t>
      </w:r>
    </w:p>
    <w:p w14:paraId="617561AC" w14:textId="77777777" w:rsidR="003B7027" w:rsidRPr="0028514E" w:rsidRDefault="00296A74" w:rsidP="009E7ABA">
      <w:pPr>
        <w:pStyle w:val="a"/>
        <w:rPr>
          <w:rFonts w:ascii="Symbol" w:hAnsi="Symbol"/>
        </w:rPr>
      </w:pPr>
      <w:r w:rsidRPr="0028514E">
        <w:t>fenytoiini (käytetään kouristuslääkkeenä)</w:t>
      </w:r>
    </w:p>
    <w:p w14:paraId="6F30E33D" w14:textId="77777777" w:rsidR="003B7027" w:rsidRPr="0028514E" w:rsidRDefault="00296A74" w:rsidP="009E7ABA">
      <w:pPr>
        <w:pStyle w:val="a"/>
        <w:rPr>
          <w:rFonts w:ascii="Symbol" w:hAnsi="Symbol"/>
        </w:rPr>
      </w:pPr>
      <w:r w:rsidRPr="0028514E">
        <w:t>siklosporiini (käytetään elinsiirtojen yhteydessä vaimentamaan immuunijärjestelmää)</w:t>
      </w:r>
    </w:p>
    <w:p w14:paraId="418AA09C" w14:textId="77777777" w:rsidR="003B7027" w:rsidRPr="0028514E" w:rsidRDefault="00296A74" w:rsidP="009E7ABA">
      <w:pPr>
        <w:pStyle w:val="a"/>
      </w:pPr>
      <w:r w:rsidRPr="0028514E">
        <w:t>bentsodiatsepiinit, esim. tematsepaami (käytetään ahdistuksen lievittämiseen).</w:t>
      </w:r>
    </w:p>
    <w:p w14:paraId="7E40477A" w14:textId="77777777" w:rsidR="00B051F7" w:rsidRPr="00CA43F5" w:rsidRDefault="00B051F7" w:rsidP="006E5F9A">
      <w:pPr>
        <w:tabs>
          <w:tab w:val="left" w:pos="576"/>
        </w:tabs>
        <w:rPr>
          <w:rFonts w:ascii="Symbol" w:hAnsi="Symbol" w:hint="eastAsia"/>
          <w:lang w:val="fi-FI"/>
        </w:rPr>
      </w:pPr>
    </w:p>
    <w:p w14:paraId="0303061D" w14:textId="57F7656F" w:rsidR="003B7027" w:rsidRPr="0028514E" w:rsidRDefault="00296A74" w:rsidP="006E5F9A">
      <w:pPr>
        <w:pStyle w:val="a4"/>
        <w:ind w:left="0"/>
      </w:pPr>
      <w:r w:rsidRPr="0028514E">
        <w:t xml:space="preserve">Riittämättömän kliinisen kokemuksen takia </w:t>
      </w:r>
      <w:r w:rsidR="0005547E">
        <w:t>tosilitsumabia</w:t>
      </w:r>
      <w:r w:rsidRPr="0028514E">
        <w:t xml:space="preserve"> ei suositella käytettäväksi yhdessä muiden nivelreuman, yleisoireisen lastenreuman, polyartriitin tai jättisoluarteriitin hoitoon tarkoitettujen biologisten lääkkeiden kanssa.</w:t>
      </w:r>
    </w:p>
    <w:p w14:paraId="260E4481" w14:textId="77777777" w:rsidR="003B7027" w:rsidRPr="0028514E" w:rsidRDefault="003B7027" w:rsidP="006E5F9A">
      <w:pPr>
        <w:pStyle w:val="a4"/>
        <w:ind w:left="0"/>
      </w:pPr>
    </w:p>
    <w:p w14:paraId="0C66C4A9" w14:textId="77777777" w:rsidR="003B7027" w:rsidRPr="009A3CB5" w:rsidRDefault="00296A74" w:rsidP="009A3CB5">
      <w:pPr>
        <w:rPr>
          <w:b/>
          <w:bCs/>
          <w:lang w:val="fi-FI"/>
        </w:rPr>
      </w:pPr>
      <w:r w:rsidRPr="009A3CB5">
        <w:rPr>
          <w:b/>
          <w:bCs/>
          <w:lang w:val="fi-FI"/>
        </w:rPr>
        <w:t>Raskaus, imetys ja hedelmällisyys</w:t>
      </w:r>
    </w:p>
    <w:p w14:paraId="5D934FEC" w14:textId="77777777" w:rsidR="00B051F7" w:rsidRPr="009A3CB5" w:rsidRDefault="00B051F7" w:rsidP="00DD705A">
      <w:pPr>
        <w:rPr>
          <w:lang w:val="fi-FI"/>
        </w:rPr>
      </w:pPr>
    </w:p>
    <w:p w14:paraId="776E0A57" w14:textId="48FB4571" w:rsidR="003B7027" w:rsidRPr="00CA43F5" w:rsidRDefault="005856A8" w:rsidP="006E5F9A">
      <w:pPr>
        <w:rPr>
          <w:lang w:val="fi-FI"/>
        </w:rPr>
      </w:pPr>
      <w:r w:rsidRPr="00CA43F5">
        <w:rPr>
          <w:b/>
          <w:lang w:val="fi-FI"/>
        </w:rPr>
        <w:lastRenderedPageBreak/>
        <w:t>Avtozma</w:t>
      </w:r>
      <w:r w:rsidR="00296A74" w:rsidRPr="00CA43F5">
        <w:rPr>
          <w:b/>
          <w:lang w:val="fi-FI"/>
        </w:rPr>
        <w:t>a ei pidä käyttää raskauden aikana</w:t>
      </w:r>
      <w:r w:rsidR="00296A74" w:rsidRPr="00CA43F5">
        <w:rPr>
          <w:lang w:val="fi-FI"/>
        </w:rPr>
        <w:t>, ellei se ole ehdottoman välttämätöntä. Kerro lääkärille, jos olet tai epäilet olevasi raskaana tai suunnittelet raskautta.</w:t>
      </w:r>
    </w:p>
    <w:p w14:paraId="538FA43D" w14:textId="77777777" w:rsidR="003B7027" w:rsidRPr="0028514E" w:rsidRDefault="003B7027" w:rsidP="006E5F9A">
      <w:pPr>
        <w:pStyle w:val="a4"/>
        <w:ind w:left="0"/>
      </w:pPr>
    </w:p>
    <w:p w14:paraId="489CA315" w14:textId="77777777" w:rsidR="003B7027" w:rsidRPr="00CA43F5" w:rsidRDefault="00296A74" w:rsidP="006E5F9A">
      <w:pPr>
        <w:rPr>
          <w:lang w:val="fi-FI"/>
        </w:rPr>
      </w:pPr>
      <w:r w:rsidRPr="00CA43F5">
        <w:rPr>
          <w:b/>
          <w:lang w:val="fi-FI"/>
        </w:rPr>
        <w:t xml:space="preserve">Hedelmällisessä iässä olevien naisten on </w:t>
      </w:r>
      <w:r w:rsidRPr="00CA43F5">
        <w:rPr>
          <w:lang w:val="fi-FI"/>
        </w:rPr>
        <w:t>käytettävä luotettavaa ehkäisyä hoidon aikana ja vähintään kolmen kuukauden ajan hoidon päättymisen jälkeen.</w:t>
      </w:r>
    </w:p>
    <w:p w14:paraId="3C293E30" w14:textId="28D7096D" w:rsidR="003B7027" w:rsidRPr="00CA43F5" w:rsidRDefault="00296A74" w:rsidP="009E7ABA">
      <w:pPr>
        <w:rPr>
          <w:lang w:val="fi-FI"/>
        </w:rPr>
      </w:pPr>
      <w:r w:rsidRPr="00CA43F5">
        <w:rPr>
          <w:b/>
          <w:lang w:val="fi-FI"/>
        </w:rPr>
        <w:t xml:space="preserve">Lopeta imettäminen, jos sinulle suunnitellaan </w:t>
      </w:r>
      <w:r w:rsidR="005856A8" w:rsidRPr="00CA43F5">
        <w:rPr>
          <w:b/>
          <w:lang w:val="fi-FI"/>
        </w:rPr>
        <w:t>Avtozma</w:t>
      </w:r>
      <w:r w:rsidRPr="00CA43F5">
        <w:rPr>
          <w:b/>
          <w:lang w:val="fi-FI"/>
        </w:rPr>
        <w:t xml:space="preserve">n antamista </w:t>
      </w:r>
      <w:r w:rsidRPr="00CA43F5">
        <w:rPr>
          <w:lang w:val="fi-FI"/>
        </w:rPr>
        <w:t xml:space="preserve">ja keskustele asiasta lääkärin kanssa. Odota viimeisen hoitokerran jälkeen vähintään 3 kuukautta ennen kuin aloitat imettämisen. Ei tiedetä, erittyykö </w:t>
      </w:r>
      <w:r w:rsidR="005856A8" w:rsidRPr="00CA43F5">
        <w:rPr>
          <w:lang w:val="fi-FI"/>
        </w:rPr>
        <w:t>Avtozma</w:t>
      </w:r>
      <w:r w:rsidRPr="00CA43F5">
        <w:rPr>
          <w:lang w:val="fi-FI"/>
        </w:rPr>
        <w:t xml:space="preserve"> äidinmaitoon.</w:t>
      </w:r>
    </w:p>
    <w:p w14:paraId="15437DF3" w14:textId="77777777" w:rsidR="003B7027" w:rsidRPr="0028514E" w:rsidRDefault="003B7027" w:rsidP="009E7ABA">
      <w:pPr>
        <w:pStyle w:val="a4"/>
        <w:ind w:left="0"/>
      </w:pPr>
    </w:p>
    <w:p w14:paraId="594383D4" w14:textId="77777777" w:rsidR="003B7027" w:rsidRPr="009A3CB5" w:rsidRDefault="00296A74" w:rsidP="009A3CB5">
      <w:pPr>
        <w:rPr>
          <w:b/>
          <w:bCs/>
          <w:lang w:val="fi-FI"/>
        </w:rPr>
      </w:pPr>
      <w:r w:rsidRPr="009A3CB5">
        <w:rPr>
          <w:b/>
          <w:bCs/>
          <w:lang w:val="fi-FI"/>
        </w:rPr>
        <w:t>Ajaminen ja koneiden käyttö</w:t>
      </w:r>
    </w:p>
    <w:p w14:paraId="0E2550D5" w14:textId="77777777" w:rsidR="003B7027" w:rsidRPr="0028514E" w:rsidRDefault="00296A74" w:rsidP="009E7ABA">
      <w:pPr>
        <w:pStyle w:val="a4"/>
        <w:ind w:left="0"/>
      </w:pPr>
      <w:r w:rsidRPr="0028514E">
        <w:t>Tämä lääke voi aiheuttaa huimausta. Jos tunnet huimausta, älä aja autoa tai käytä koneita.</w:t>
      </w:r>
    </w:p>
    <w:p w14:paraId="489AB5AC" w14:textId="77777777" w:rsidR="003B7027" w:rsidRDefault="003B7027" w:rsidP="009E7ABA">
      <w:pPr>
        <w:pStyle w:val="a4"/>
        <w:ind w:left="0"/>
      </w:pPr>
    </w:p>
    <w:p w14:paraId="3E109D7F" w14:textId="77777777" w:rsidR="005856A8" w:rsidRPr="009A3CB5" w:rsidRDefault="005856A8" w:rsidP="009A3CB5">
      <w:pPr>
        <w:rPr>
          <w:b/>
          <w:bCs/>
          <w:lang w:val="fi-FI"/>
        </w:rPr>
      </w:pPr>
      <w:r w:rsidRPr="009A3CB5">
        <w:rPr>
          <w:b/>
          <w:bCs/>
          <w:lang w:val="fi-FI"/>
        </w:rPr>
        <w:t>Avtozma sisältää polysorbaattia</w:t>
      </w:r>
    </w:p>
    <w:p w14:paraId="16512C1A" w14:textId="37429158" w:rsidR="005856A8" w:rsidRDefault="005856A8" w:rsidP="005856A8">
      <w:pPr>
        <w:pStyle w:val="a4"/>
        <w:ind w:left="0"/>
      </w:pPr>
      <w:r w:rsidRPr="0028514E">
        <w:t xml:space="preserve">Tämä lääke sisältää </w:t>
      </w:r>
      <w:r>
        <w:t>0,2 mg polysorbaatti 80</w:t>
      </w:r>
      <w:r w:rsidR="00461828">
        <w:t>:tä</w:t>
      </w:r>
      <w:r>
        <w:t xml:space="preserve"> per esitäytetty kynä. Polysorbaatit saattavat aiheuttaa allergisia reaktioita. Jos sinulla on allergioita, kerro asiasta lääkärille.</w:t>
      </w:r>
    </w:p>
    <w:p w14:paraId="659E361B" w14:textId="77777777" w:rsidR="005856A8" w:rsidRPr="0028514E" w:rsidRDefault="005856A8" w:rsidP="005856A8">
      <w:pPr>
        <w:pStyle w:val="a4"/>
        <w:ind w:left="0"/>
      </w:pPr>
    </w:p>
    <w:p w14:paraId="72386D76" w14:textId="77777777" w:rsidR="003B7027" w:rsidRPr="0028514E" w:rsidRDefault="003B7027" w:rsidP="009E7ABA">
      <w:pPr>
        <w:pStyle w:val="a4"/>
        <w:ind w:left="0"/>
      </w:pPr>
    </w:p>
    <w:p w14:paraId="79CC29DF" w14:textId="5C916F1E" w:rsidR="003B7027" w:rsidRPr="0028514E" w:rsidRDefault="00296A74" w:rsidP="009E7ABA">
      <w:pPr>
        <w:pStyle w:val="2"/>
      </w:pPr>
      <w:r w:rsidRPr="0028514E">
        <w:t>3.</w:t>
      </w:r>
      <w:r w:rsidRPr="0028514E">
        <w:tab/>
        <w:t xml:space="preserve">Miten </w:t>
      </w:r>
      <w:r w:rsidR="005856A8">
        <w:t>Avtozma</w:t>
      </w:r>
      <w:r w:rsidRPr="0028514E">
        <w:t>a käytetään</w:t>
      </w:r>
    </w:p>
    <w:p w14:paraId="286F4055" w14:textId="77777777" w:rsidR="00DE79F1" w:rsidRPr="0028514E" w:rsidRDefault="00DE79F1" w:rsidP="009E7ABA">
      <w:pPr>
        <w:pStyle w:val="a4"/>
        <w:ind w:left="0"/>
      </w:pPr>
    </w:p>
    <w:p w14:paraId="4F03BB25" w14:textId="77777777" w:rsidR="003B7027" w:rsidRPr="0028514E" w:rsidRDefault="00296A74" w:rsidP="009E7ABA">
      <w:pPr>
        <w:pStyle w:val="a4"/>
        <w:ind w:left="0"/>
      </w:pPr>
      <w:r w:rsidRPr="0028514E">
        <w:t>Käytä tätä lääkettä juuri siten kuin lääkäri on määrännyt tai apteekkihenkilökunta on neuvonut. Tarkista ohjeet lääkäriltä, apteekista tai sairaanhoitajalta, jos olet epävarma.</w:t>
      </w:r>
    </w:p>
    <w:p w14:paraId="5D2F521B" w14:textId="77777777" w:rsidR="00DE79F1" w:rsidRPr="0028514E" w:rsidRDefault="00DE79F1" w:rsidP="009E7ABA">
      <w:pPr>
        <w:pStyle w:val="a4"/>
        <w:ind w:left="0"/>
      </w:pPr>
    </w:p>
    <w:p w14:paraId="7B6DC393" w14:textId="77777777" w:rsidR="003B7027" w:rsidRPr="0028514E" w:rsidRDefault="00296A74" w:rsidP="009E7ABA">
      <w:pPr>
        <w:pStyle w:val="a4"/>
        <w:ind w:left="0"/>
      </w:pPr>
      <w:r w:rsidRPr="0028514E">
        <w:t>Hoidon määrää ja aloittaa nivelreuman, yleisoireisen lastenreuman, polyartriitin tai jättisoluarteriitin diagnosointiin ja hoitoon perehtynyt lääkäri.</w:t>
      </w:r>
    </w:p>
    <w:p w14:paraId="3CF4E294" w14:textId="77777777" w:rsidR="003B7027" w:rsidRPr="0028514E" w:rsidRDefault="003B7027" w:rsidP="009E7ABA">
      <w:pPr>
        <w:pStyle w:val="a4"/>
        <w:ind w:left="0"/>
      </w:pPr>
    </w:p>
    <w:p w14:paraId="19A50B21" w14:textId="77777777" w:rsidR="003B7027" w:rsidRPr="009A3CB5" w:rsidRDefault="00296A74" w:rsidP="009A3CB5">
      <w:pPr>
        <w:rPr>
          <w:b/>
          <w:bCs/>
          <w:lang w:val="fi-FI"/>
        </w:rPr>
      </w:pPr>
      <w:r w:rsidRPr="009A3CB5">
        <w:rPr>
          <w:b/>
          <w:bCs/>
          <w:lang w:val="fi-FI"/>
        </w:rPr>
        <w:t>Suositeltu annos</w:t>
      </w:r>
    </w:p>
    <w:p w14:paraId="6BA8AFC7" w14:textId="77777777" w:rsidR="003B7027" w:rsidRPr="0028514E" w:rsidRDefault="00296A74" w:rsidP="009E7ABA">
      <w:pPr>
        <w:pStyle w:val="a4"/>
        <w:ind w:left="0"/>
      </w:pPr>
      <w:r w:rsidRPr="0028514E">
        <w:t>Annostus aikuisille nivelreuman tai jättisoluarteriitin hoitoon on 162 mg (yhden esitäytetyn kynän sisältö) kerran viikossa.</w:t>
      </w:r>
    </w:p>
    <w:p w14:paraId="416C4760" w14:textId="77777777" w:rsidR="003B7027" w:rsidRPr="0028514E" w:rsidRDefault="003B7027" w:rsidP="009E7ABA">
      <w:pPr>
        <w:pStyle w:val="a4"/>
        <w:ind w:left="0"/>
      </w:pPr>
    </w:p>
    <w:p w14:paraId="71FAFEDF" w14:textId="5260A78A" w:rsidR="003B7027" w:rsidRPr="009A3CB5" w:rsidRDefault="00296A74" w:rsidP="009A3CB5">
      <w:pPr>
        <w:rPr>
          <w:b/>
          <w:bCs/>
          <w:lang w:val="fi-FI"/>
        </w:rPr>
      </w:pPr>
      <w:r w:rsidRPr="009A3CB5">
        <w:rPr>
          <w:b/>
          <w:bCs/>
          <w:lang w:val="fi-FI"/>
        </w:rPr>
        <w:t xml:space="preserve">Yleisoireista lastenreumaa sairastavat nuoret (12-vuotiaat ja vanhemmat) Tavanomainen </w:t>
      </w:r>
      <w:r w:rsidR="00EF533A" w:rsidRPr="009A3CB5">
        <w:rPr>
          <w:b/>
          <w:bCs/>
          <w:lang w:val="fi-FI"/>
        </w:rPr>
        <w:t>Avtozma</w:t>
      </w:r>
      <w:r w:rsidRPr="009A3CB5">
        <w:rPr>
          <w:b/>
          <w:bCs/>
          <w:lang w:val="fi-FI"/>
        </w:rPr>
        <w:t>-annos riippuu potilaan painosta.</w:t>
      </w:r>
    </w:p>
    <w:p w14:paraId="4510986A" w14:textId="77777777" w:rsidR="003B7027" w:rsidRPr="0028514E" w:rsidRDefault="00296A74" w:rsidP="009E7ABA">
      <w:pPr>
        <w:pStyle w:val="a"/>
        <w:rPr>
          <w:rFonts w:ascii="Symbol" w:hAnsi="Symbol"/>
          <w:b/>
        </w:rPr>
      </w:pPr>
      <w:r w:rsidRPr="0028514E">
        <w:t xml:space="preserve">Jos potilaan paino on </w:t>
      </w:r>
      <w:r w:rsidRPr="0028514E">
        <w:rPr>
          <w:b/>
        </w:rPr>
        <w:t>alle 30 kg</w:t>
      </w:r>
      <w:r w:rsidRPr="0028514E">
        <w:t>: annos on 162 mg (yhden esitäytetyn kynän sisältö) kerran kahdessa viikossa</w:t>
      </w:r>
    </w:p>
    <w:p w14:paraId="28B3E776" w14:textId="77777777" w:rsidR="003B7027" w:rsidRPr="0028514E" w:rsidRDefault="00296A74" w:rsidP="009E7ABA">
      <w:pPr>
        <w:pStyle w:val="a"/>
        <w:rPr>
          <w:b/>
        </w:rPr>
      </w:pPr>
      <w:r w:rsidRPr="0028514E">
        <w:t xml:space="preserve">Jos potilaan paino on </w:t>
      </w:r>
      <w:r w:rsidRPr="0028514E">
        <w:rPr>
          <w:b/>
        </w:rPr>
        <w:t>30 kg tai enemmän</w:t>
      </w:r>
      <w:r w:rsidRPr="0028514E">
        <w:t>: annos on 162 mg (yhden esitäytetyn kynän sisältö) kerran viikossa</w:t>
      </w:r>
      <w:r w:rsidRPr="0028514E">
        <w:rPr>
          <w:b/>
        </w:rPr>
        <w:t>.</w:t>
      </w:r>
    </w:p>
    <w:p w14:paraId="18C36240" w14:textId="77777777" w:rsidR="00DE79F1" w:rsidRPr="00CA43F5" w:rsidRDefault="00DE79F1" w:rsidP="009E7ABA">
      <w:pPr>
        <w:rPr>
          <w:lang w:val="fi-FI"/>
        </w:rPr>
      </w:pPr>
    </w:p>
    <w:p w14:paraId="1A9CF690" w14:textId="77777777" w:rsidR="003B7027" w:rsidRPr="0028514E" w:rsidRDefault="00296A74" w:rsidP="006E5F9A">
      <w:pPr>
        <w:pStyle w:val="a4"/>
        <w:ind w:left="0"/>
      </w:pPr>
      <w:r w:rsidRPr="0028514E">
        <w:t>Esitäytettyä kynää ei saa käyttää alle 12-vuotiaiden lasten hoitoon.</w:t>
      </w:r>
    </w:p>
    <w:p w14:paraId="12ABA677" w14:textId="77777777" w:rsidR="003B7027" w:rsidRPr="0028514E" w:rsidRDefault="003B7027" w:rsidP="006E5F9A">
      <w:pPr>
        <w:pStyle w:val="a4"/>
        <w:ind w:left="0"/>
      </w:pPr>
    </w:p>
    <w:p w14:paraId="5E1DE6E4" w14:textId="61084A93" w:rsidR="003B7027" w:rsidRPr="009A3CB5" w:rsidRDefault="00296A74" w:rsidP="009A3CB5">
      <w:pPr>
        <w:rPr>
          <w:b/>
          <w:bCs/>
          <w:lang w:val="fi-FI"/>
        </w:rPr>
      </w:pPr>
      <w:r w:rsidRPr="009A3CB5">
        <w:rPr>
          <w:b/>
          <w:bCs/>
          <w:lang w:val="fi-FI"/>
        </w:rPr>
        <w:t xml:space="preserve">Polyartriittia sairastavat nuoret (12-vuotiaat ja vanhemmat) Tavanomainen </w:t>
      </w:r>
      <w:r w:rsidR="00EF533A" w:rsidRPr="009A3CB5">
        <w:rPr>
          <w:b/>
          <w:bCs/>
          <w:lang w:val="fi-FI"/>
        </w:rPr>
        <w:t>Avtozma</w:t>
      </w:r>
      <w:r w:rsidRPr="009A3CB5">
        <w:rPr>
          <w:b/>
          <w:bCs/>
          <w:lang w:val="fi-FI"/>
        </w:rPr>
        <w:t>-annos riippuu potilaan painosta.</w:t>
      </w:r>
    </w:p>
    <w:p w14:paraId="3C2F937E" w14:textId="77777777" w:rsidR="003B7027" w:rsidRPr="0028514E" w:rsidRDefault="00296A74" w:rsidP="009E7ABA">
      <w:pPr>
        <w:pStyle w:val="a"/>
        <w:rPr>
          <w:rFonts w:ascii="Symbol" w:hAnsi="Symbol"/>
          <w:b/>
        </w:rPr>
      </w:pPr>
      <w:r w:rsidRPr="0028514E">
        <w:t xml:space="preserve">Jos potilaan paino on </w:t>
      </w:r>
      <w:r w:rsidRPr="0028514E">
        <w:rPr>
          <w:b/>
        </w:rPr>
        <w:t>alle 30 kg</w:t>
      </w:r>
      <w:r w:rsidRPr="0028514E">
        <w:t xml:space="preserve">: annos on 162 mg (yhden esitäytetyn kynän sisältö) </w:t>
      </w:r>
      <w:r w:rsidRPr="0028514E">
        <w:rPr>
          <w:b/>
        </w:rPr>
        <w:t>kerran kolmessa viikossa</w:t>
      </w:r>
    </w:p>
    <w:p w14:paraId="083A1A60" w14:textId="77777777" w:rsidR="003B7027" w:rsidRPr="0028514E" w:rsidRDefault="00296A74" w:rsidP="009E7ABA">
      <w:pPr>
        <w:pStyle w:val="a"/>
      </w:pPr>
      <w:r w:rsidRPr="0028514E">
        <w:t xml:space="preserve">Jos potilaan paino on </w:t>
      </w:r>
      <w:r w:rsidRPr="0028514E">
        <w:rPr>
          <w:b/>
        </w:rPr>
        <w:t>30 kg tai enemmän</w:t>
      </w:r>
      <w:r w:rsidRPr="0028514E">
        <w:t>: annos on 162 mg (yhden esitäytetyn kynän sisältö)</w:t>
      </w:r>
      <w:r w:rsidR="00DE79F1" w:rsidRPr="0028514E">
        <w:t xml:space="preserve"> </w:t>
      </w:r>
      <w:r w:rsidRPr="0028514E">
        <w:t>kerran kahdessa viikossa.</w:t>
      </w:r>
    </w:p>
    <w:p w14:paraId="381280EF" w14:textId="77777777" w:rsidR="00DE79F1" w:rsidRPr="0028514E" w:rsidRDefault="00DE79F1" w:rsidP="00DD705A"/>
    <w:p w14:paraId="38E9232C" w14:textId="77777777" w:rsidR="003B7027" w:rsidRPr="0028514E" w:rsidRDefault="00296A74" w:rsidP="006E5F9A">
      <w:pPr>
        <w:pStyle w:val="a4"/>
        <w:ind w:left="0"/>
      </w:pPr>
      <w:r w:rsidRPr="0028514E">
        <w:t>Esitäytettyä kynää ei saa käyttää alle 12-vuotiaiden lasten hoitoon.</w:t>
      </w:r>
    </w:p>
    <w:p w14:paraId="62F71A5C" w14:textId="77777777" w:rsidR="003B7027" w:rsidRPr="0028514E" w:rsidRDefault="003B7027" w:rsidP="006E5F9A">
      <w:pPr>
        <w:pStyle w:val="a4"/>
        <w:ind w:left="0"/>
      </w:pPr>
    </w:p>
    <w:p w14:paraId="3CBB3149" w14:textId="3B1FD5CD" w:rsidR="003B7027" w:rsidRPr="0028514E" w:rsidRDefault="00EF533A" w:rsidP="006E5F9A">
      <w:pPr>
        <w:pStyle w:val="a4"/>
        <w:ind w:left="0"/>
      </w:pPr>
      <w:r>
        <w:t>Avtozma</w:t>
      </w:r>
      <w:r w:rsidR="00296A74" w:rsidRPr="0028514E">
        <w:t xml:space="preserve"> annetaan pistoksena ihon alle (</w:t>
      </w:r>
      <w:r w:rsidR="00296A74" w:rsidRPr="0028514E">
        <w:rPr>
          <w:i/>
        </w:rPr>
        <w:t>ihonalaisesti</w:t>
      </w:r>
      <w:r w:rsidR="00296A74" w:rsidRPr="0028514E">
        <w:t xml:space="preserve">). Lääkäri tai sairaanhoitaja saattaa antaa </w:t>
      </w:r>
      <w:r>
        <w:t>Avtozma</w:t>
      </w:r>
      <w:r w:rsidR="00296A74" w:rsidRPr="0028514E">
        <w:t xml:space="preserve">-pistoksen sinulle hoidon alussa. Lääkäri voi kuitenkin päättää, että voit itse pistää </w:t>
      </w:r>
      <w:r>
        <w:t>Avtozma</w:t>
      </w:r>
      <w:r w:rsidR="00296A74" w:rsidRPr="0028514E">
        <w:t xml:space="preserve">n. Tällöin sinulle neuvotaan, miten </w:t>
      </w:r>
      <w:r>
        <w:t>Avtozma</w:t>
      </w:r>
      <w:r w:rsidR="00296A74" w:rsidRPr="0028514E">
        <w:t xml:space="preserve"> pistetään. Jos potilas, esim. nuori, ei voi pistää </w:t>
      </w:r>
      <w:r>
        <w:t>Avtozma</w:t>
      </w:r>
      <w:r w:rsidR="00296A74" w:rsidRPr="0028514E">
        <w:t>-pistosta itse, vanhemmat ja potilasta hoitavat henkilöt saavat opastusta lääkkeen pistämiseen.</w:t>
      </w:r>
    </w:p>
    <w:p w14:paraId="745E8CA4" w14:textId="77777777" w:rsidR="00DE79F1" w:rsidRPr="0028514E" w:rsidRDefault="00DE79F1" w:rsidP="006E5F9A">
      <w:pPr>
        <w:pStyle w:val="a4"/>
        <w:ind w:left="0"/>
      </w:pPr>
    </w:p>
    <w:p w14:paraId="6A466896" w14:textId="77777777" w:rsidR="003B7027" w:rsidRPr="0028514E" w:rsidRDefault="00296A74" w:rsidP="006E5F9A">
      <w:pPr>
        <w:pStyle w:val="a4"/>
        <w:ind w:left="0"/>
      </w:pPr>
      <w:r w:rsidRPr="0028514E">
        <w:t>Keskustele lääkärin kanssa, jos sinulla on kysymyksiä lääkkeen pistämisestä itsellesi tai hoidossasi olevalle nuorelle. Yksityiskohtaiset ohjeet lääkkeen pistämiseen löydät tämän pakkausselosteen lopusta.</w:t>
      </w:r>
    </w:p>
    <w:p w14:paraId="2A2729D2" w14:textId="77777777" w:rsidR="003B7027" w:rsidRPr="0028514E" w:rsidRDefault="003B7027" w:rsidP="006E5F9A">
      <w:pPr>
        <w:pStyle w:val="a4"/>
        <w:ind w:left="0"/>
      </w:pPr>
    </w:p>
    <w:p w14:paraId="3B7C2346" w14:textId="4F59F21D" w:rsidR="003B7027" w:rsidRPr="009A3CB5" w:rsidRDefault="00296A74" w:rsidP="009A3CB5">
      <w:pPr>
        <w:rPr>
          <w:b/>
          <w:bCs/>
          <w:lang w:val="fi-FI"/>
        </w:rPr>
      </w:pPr>
      <w:r w:rsidRPr="009A3CB5">
        <w:rPr>
          <w:b/>
          <w:bCs/>
          <w:lang w:val="fi-FI"/>
        </w:rPr>
        <w:t xml:space="preserve">Jos otat enemmän </w:t>
      </w:r>
      <w:r w:rsidR="00EF533A" w:rsidRPr="009A3CB5">
        <w:rPr>
          <w:b/>
          <w:bCs/>
          <w:lang w:val="fi-FI"/>
        </w:rPr>
        <w:t>Avtozma</w:t>
      </w:r>
      <w:r w:rsidRPr="009A3CB5">
        <w:rPr>
          <w:b/>
          <w:bCs/>
          <w:lang w:val="fi-FI"/>
        </w:rPr>
        <w:t>a kuin pitäisi</w:t>
      </w:r>
    </w:p>
    <w:p w14:paraId="246200EF" w14:textId="48AA17CE" w:rsidR="003B7027" w:rsidRPr="0028514E" w:rsidRDefault="00296A74" w:rsidP="006E5F9A">
      <w:pPr>
        <w:pStyle w:val="a4"/>
        <w:ind w:left="0"/>
      </w:pPr>
      <w:r w:rsidRPr="0028514E">
        <w:lastRenderedPageBreak/>
        <w:t xml:space="preserve">On epätodennäköistä, että saisit lääkettä liikaa, koska </w:t>
      </w:r>
      <w:r w:rsidR="00EF533A">
        <w:t>Avtozma</w:t>
      </w:r>
      <w:r w:rsidRPr="0028514E">
        <w:t>a otetaan yhden esitäytetyn kynän sisältämä määrä. Jos kuitenkin olet huolissasi tästä, keskustele asiasta lääkärin, apteekkihenkilökunnan tai sairaanhoitajan kanssa.</w:t>
      </w:r>
    </w:p>
    <w:p w14:paraId="5ECA95C2" w14:textId="77777777" w:rsidR="00DE79F1" w:rsidRPr="0028514E" w:rsidRDefault="00DE79F1" w:rsidP="006E5F9A">
      <w:pPr>
        <w:pStyle w:val="a4"/>
        <w:ind w:left="0"/>
      </w:pPr>
    </w:p>
    <w:p w14:paraId="1CE01184" w14:textId="77777777" w:rsidR="003B7027" w:rsidRPr="009A3CB5" w:rsidRDefault="00296A74" w:rsidP="009A3CB5">
      <w:pPr>
        <w:rPr>
          <w:b/>
          <w:bCs/>
          <w:lang w:val="fi-FI"/>
        </w:rPr>
      </w:pPr>
      <w:r w:rsidRPr="009A3CB5">
        <w:rPr>
          <w:b/>
          <w:bCs/>
          <w:lang w:val="fi-FI"/>
        </w:rPr>
        <w:t>Jos nivelreumaa tai jättisoluarteriittia sairastavan aikuisen tai yleisoireista lastenreumaa sairastavan nuoren annos jää ottamatta tai unohtuu</w:t>
      </w:r>
    </w:p>
    <w:p w14:paraId="5B0CA6DB" w14:textId="40600870" w:rsidR="003B7027" w:rsidRPr="0028514E" w:rsidRDefault="00296A74" w:rsidP="006E5F9A">
      <w:pPr>
        <w:pStyle w:val="a4"/>
        <w:ind w:left="0"/>
      </w:pPr>
      <w:r w:rsidRPr="0028514E">
        <w:t xml:space="preserve">On erittäin tärkeää ottaa </w:t>
      </w:r>
      <w:r w:rsidR="00EF533A">
        <w:t>Avtozma</w:t>
      </w:r>
      <w:r w:rsidRPr="0028514E">
        <w:t>a juuri siten kuin lääkäri on määrännyt. Huolehdi seuraavan annoksen ottamisesta.</w:t>
      </w:r>
    </w:p>
    <w:p w14:paraId="0F69F85A" w14:textId="77777777" w:rsidR="003B7027" w:rsidRPr="0028514E" w:rsidRDefault="00296A74" w:rsidP="009E7ABA">
      <w:pPr>
        <w:pStyle w:val="a"/>
        <w:rPr>
          <w:rFonts w:ascii="Symbol" w:hAnsi="Symbol"/>
        </w:rPr>
      </w:pPr>
      <w:r w:rsidRPr="0028514E">
        <w:t>Jos huomaat 7 päivän kuluessa viikoittaisen annoksesi unohtuneen, ota annos hoito-ohjelman mukaisena seuraavana lääkkeenottoajankohtana.</w:t>
      </w:r>
    </w:p>
    <w:p w14:paraId="6F695189" w14:textId="77777777" w:rsidR="003B7027" w:rsidRPr="0028514E" w:rsidRDefault="00296A74" w:rsidP="009E7ABA">
      <w:pPr>
        <w:pStyle w:val="a"/>
        <w:rPr>
          <w:rFonts w:ascii="Symbol" w:hAnsi="Symbol"/>
        </w:rPr>
      </w:pPr>
      <w:r w:rsidRPr="0028514E">
        <w:t>Jos huomaat 7 päivän kuluessa kerran kahdessa viikossa otettavan annoksen unohtuneen, pistä annos heti sen muistaessasi, ja ota seuraava annos normaalina lääkkeenottoajankohtana.</w:t>
      </w:r>
    </w:p>
    <w:p w14:paraId="3669E17E" w14:textId="3F3078EB" w:rsidR="003B7027" w:rsidRPr="0028514E" w:rsidRDefault="00296A74" w:rsidP="009E7ABA">
      <w:pPr>
        <w:pStyle w:val="a"/>
        <w:rPr>
          <w:rFonts w:ascii="Symbol" w:hAnsi="Symbol"/>
        </w:rPr>
      </w:pPr>
      <w:r w:rsidRPr="0028514E">
        <w:t xml:space="preserve">Jos huomaat vasta myöhemmin kuin 7 päivän kuluessa viikoittaisen tai kerran kahdessa viikossa otettavan annoksen unohtuneen tai jos et ole varma, milloin </w:t>
      </w:r>
      <w:r w:rsidR="00EF533A">
        <w:t>Avtozma</w:t>
      </w:r>
      <w:r w:rsidRPr="0028514E">
        <w:t xml:space="preserve"> pitäisi pistää, soita lääkärille tai apteekkiin.</w:t>
      </w:r>
    </w:p>
    <w:p w14:paraId="16FC67D5" w14:textId="77777777" w:rsidR="003B7027" w:rsidRPr="00CA43F5" w:rsidRDefault="003B7027" w:rsidP="009E7ABA">
      <w:pPr>
        <w:rPr>
          <w:lang w:val="fi-FI"/>
        </w:rPr>
      </w:pPr>
    </w:p>
    <w:p w14:paraId="6C280DAC" w14:textId="77777777" w:rsidR="003B7027" w:rsidRPr="009A3CB5" w:rsidRDefault="00296A74" w:rsidP="009A3CB5">
      <w:pPr>
        <w:rPr>
          <w:b/>
          <w:bCs/>
          <w:lang w:val="fi-FI"/>
        </w:rPr>
      </w:pPr>
      <w:r w:rsidRPr="009A3CB5">
        <w:rPr>
          <w:b/>
          <w:bCs/>
          <w:lang w:val="fi-FI"/>
        </w:rPr>
        <w:t>Jos polyartriittia sairastavan nuoren annos jää ottamatta tai unohtuu</w:t>
      </w:r>
    </w:p>
    <w:p w14:paraId="57A181A2" w14:textId="419BAD1B" w:rsidR="003B7027" w:rsidRPr="0028514E" w:rsidRDefault="00296A74" w:rsidP="006E5F9A">
      <w:pPr>
        <w:pStyle w:val="a4"/>
        <w:ind w:left="0"/>
      </w:pPr>
      <w:r w:rsidRPr="0028514E">
        <w:t xml:space="preserve">On erittäin tärkeää käyttää </w:t>
      </w:r>
      <w:r w:rsidR="00EF533A">
        <w:t>Avtozma</w:t>
      </w:r>
      <w:r w:rsidRPr="0028514E">
        <w:t>a juuri siten kuin lääkäri on määrännyt. Huolehdi seuraavan annoksen ottamisesta.</w:t>
      </w:r>
    </w:p>
    <w:p w14:paraId="69F71152" w14:textId="77777777" w:rsidR="003B7027" w:rsidRPr="0028514E" w:rsidRDefault="00296A74" w:rsidP="009E7ABA">
      <w:pPr>
        <w:pStyle w:val="a"/>
        <w:rPr>
          <w:rFonts w:ascii="Symbol" w:hAnsi="Symbol"/>
        </w:rPr>
      </w:pPr>
      <w:r w:rsidRPr="0028514E">
        <w:t>Jos annoksen unohtuminen huomataan 7 päivän kuluessa, pistä annos heti sen muistaessasi ja seuraava annos normaalina lääkkeenottoajankohtana.</w:t>
      </w:r>
    </w:p>
    <w:p w14:paraId="46605F17" w14:textId="0C4CC791" w:rsidR="003B7027" w:rsidRPr="0028514E" w:rsidRDefault="00296A74" w:rsidP="009E7ABA">
      <w:pPr>
        <w:pStyle w:val="a"/>
        <w:rPr>
          <w:rFonts w:ascii="Symbol" w:hAnsi="Symbol"/>
        </w:rPr>
      </w:pPr>
      <w:r w:rsidRPr="0028514E">
        <w:t xml:space="preserve">Jos annoksen unohtuminen huomataan myöhemmin kuin 7 päivän kuluessa tai jos et ole varma, milloin </w:t>
      </w:r>
      <w:r w:rsidR="00EF533A">
        <w:t>Avtozma</w:t>
      </w:r>
      <w:r w:rsidRPr="0028514E">
        <w:t xml:space="preserve"> pitäisi pistää, soita lääkärille tai apteekkiin.</w:t>
      </w:r>
    </w:p>
    <w:p w14:paraId="7A2CC932" w14:textId="77777777" w:rsidR="00DE79F1" w:rsidRPr="009A3CB5" w:rsidRDefault="00DE79F1" w:rsidP="00DD705A">
      <w:pPr>
        <w:rPr>
          <w:lang w:val="fi-FI"/>
        </w:rPr>
      </w:pPr>
    </w:p>
    <w:p w14:paraId="232F8D2F" w14:textId="7890C895" w:rsidR="003B7027" w:rsidRPr="009A3CB5" w:rsidRDefault="00296A74" w:rsidP="009A3CB5">
      <w:pPr>
        <w:rPr>
          <w:b/>
          <w:bCs/>
          <w:lang w:val="fi-FI"/>
        </w:rPr>
      </w:pPr>
      <w:r w:rsidRPr="009A3CB5">
        <w:rPr>
          <w:b/>
          <w:bCs/>
          <w:lang w:val="fi-FI"/>
        </w:rPr>
        <w:t xml:space="preserve">Jos lopetat </w:t>
      </w:r>
      <w:r w:rsidR="00EF533A" w:rsidRPr="009A3CB5">
        <w:rPr>
          <w:b/>
          <w:bCs/>
          <w:lang w:val="fi-FI"/>
        </w:rPr>
        <w:t>Avtozma</w:t>
      </w:r>
      <w:r w:rsidRPr="009A3CB5">
        <w:rPr>
          <w:b/>
          <w:bCs/>
          <w:lang w:val="fi-FI"/>
        </w:rPr>
        <w:t>-hoidon</w:t>
      </w:r>
    </w:p>
    <w:p w14:paraId="72480E07" w14:textId="656C0432" w:rsidR="003B7027" w:rsidRPr="0028514E" w:rsidRDefault="00296A74" w:rsidP="006E5F9A">
      <w:pPr>
        <w:pStyle w:val="a4"/>
        <w:ind w:left="0"/>
      </w:pPr>
      <w:r w:rsidRPr="0028514E">
        <w:t xml:space="preserve">Älä lopeta </w:t>
      </w:r>
      <w:r w:rsidR="00EF533A">
        <w:t>Avtozma</w:t>
      </w:r>
      <w:r w:rsidRPr="0028514E">
        <w:t>n käyttöä, ennen kuin olet keskustellut asiasta lääkärin kanssa.</w:t>
      </w:r>
    </w:p>
    <w:p w14:paraId="514F0719" w14:textId="77777777" w:rsidR="00DE79F1" w:rsidRPr="0028514E" w:rsidRDefault="00DE79F1" w:rsidP="006E5F9A">
      <w:pPr>
        <w:pStyle w:val="a4"/>
        <w:ind w:left="0"/>
      </w:pPr>
    </w:p>
    <w:p w14:paraId="5FD01AEE" w14:textId="77777777" w:rsidR="003B7027" w:rsidRPr="0028514E" w:rsidRDefault="00296A74" w:rsidP="006E5F9A">
      <w:pPr>
        <w:pStyle w:val="a4"/>
        <w:ind w:left="0"/>
      </w:pPr>
      <w:r w:rsidRPr="0028514E">
        <w:t>Jos sinulla on kysymyksiä tämän lääkkeen käytöstä, käänny lääkärin, apteekkihenkilökunnan tai sairaanhoitajan puoleen.</w:t>
      </w:r>
    </w:p>
    <w:p w14:paraId="4DA5F5ED" w14:textId="77777777" w:rsidR="003B7027" w:rsidRPr="0028514E" w:rsidRDefault="003B7027" w:rsidP="006E5F9A">
      <w:pPr>
        <w:pStyle w:val="a4"/>
        <w:ind w:left="0"/>
      </w:pPr>
    </w:p>
    <w:p w14:paraId="72D85A4A" w14:textId="77777777" w:rsidR="003B7027" w:rsidRPr="0028514E" w:rsidRDefault="003B7027" w:rsidP="006E5F9A">
      <w:pPr>
        <w:pStyle w:val="a4"/>
        <w:ind w:left="0"/>
      </w:pPr>
    </w:p>
    <w:p w14:paraId="710CB6E0" w14:textId="77777777" w:rsidR="003B7027" w:rsidRPr="0028514E" w:rsidRDefault="00296A74" w:rsidP="006E5F9A">
      <w:pPr>
        <w:pStyle w:val="2"/>
      </w:pPr>
      <w:r w:rsidRPr="0028514E">
        <w:t>4.</w:t>
      </w:r>
      <w:r w:rsidRPr="0028514E">
        <w:tab/>
        <w:t>Mahdolliset haittavaikutukset</w:t>
      </w:r>
    </w:p>
    <w:p w14:paraId="0FD0A218" w14:textId="7BE9ECF8" w:rsidR="003B7027" w:rsidRPr="0028514E" w:rsidRDefault="00296A74" w:rsidP="006E5F9A">
      <w:pPr>
        <w:pStyle w:val="a4"/>
        <w:ind w:left="0"/>
      </w:pPr>
      <w:r w:rsidRPr="0028514E">
        <w:t xml:space="preserve">Kuten kaikki lääkkeet, tämäkin lääke voi aiheuttaa haittavaikutuksia. Kaikki eivät kuitenkaan niitä saa. Haittavaikutuksia voi ilmaantua vielä kolmen (3) kuukauden jälkeenkin viimeisestä </w:t>
      </w:r>
      <w:r w:rsidR="00EF533A">
        <w:t>Avtozma</w:t>
      </w:r>
      <w:r w:rsidRPr="0028514E">
        <w:t>- annoksesta.</w:t>
      </w:r>
    </w:p>
    <w:p w14:paraId="51E729CA" w14:textId="77777777" w:rsidR="003B7027" w:rsidRPr="0028514E" w:rsidRDefault="003B7027" w:rsidP="006E5F9A">
      <w:pPr>
        <w:pStyle w:val="a4"/>
        <w:ind w:left="0"/>
      </w:pPr>
    </w:p>
    <w:p w14:paraId="2C3B17A1" w14:textId="77777777" w:rsidR="003B7027" w:rsidRPr="009A3CB5" w:rsidRDefault="00296A74" w:rsidP="009A3CB5">
      <w:pPr>
        <w:rPr>
          <w:b/>
          <w:bCs/>
          <w:lang w:val="fi-FI"/>
        </w:rPr>
      </w:pPr>
      <w:r w:rsidRPr="009A3CB5">
        <w:rPr>
          <w:b/>
          <w:bCs/>
          <w:lang w:val="fi-FI"/>
        </w:rPr>
        <w:t>Mahdolliset vakavat haittavaikutukset: ota heti yhteyttä lääkäriin.</w:t>
      </w:r>
    </w:p>
    <w:p w14:paraId="72064EE1" w14:textId="77777777" w:rsidR="003B7027" w:rsidRPr="00CA43F5" w:rsidRDefault="00296A74" w:rsidP="006E5F9A">
      <w:pPr>
        <w:rPr>
          <w:i/>
          <w:lang w:val="fi-FI"/>
        </w:rPr>
      </w:pPr>
      <w:r w:rsidRPr="00CA43F5">
        <w:rPr>
          <w:i/>
          <w:lang w:val="fi-FI"/>
        </w:rPr>
        <w:t>Nämä ovat yleisiä: niitä saattaa esiintyä enintään yhdellä potilaalla 10:stä</w:t>
      </w:r>
    </w:p>
    <w:p w14:paraId="770D144E" w14:textId="77777777" w:rsidR="003B7027" w:rsidRPr="0028514E" w:rsidRDefault="003B7027" w:rsidP="006E5F9A">
      <w:pPr>
        <w:pStyle w:val="a4"/>
        <w:ind w:left="0"/>
        <w:rPr>
          <w:i/>
        </w:rPr>
      </w:pPr>
    </w:p>
    <w:p w14:paraId="4BD0FD3B" w14:textId="77777777" w:rsidR="003B7027" w:rsidRPr="00CA43F5" w:rsidRDefault="00296A74" w:rsidP="006E5F9A">
      <w:pPr>
        <w:rPr>
          <w:lang w:val="fi-FI"/>
        </w:rPr>
      </w:pPr>
      <w:r w:rsidRPr="00CA43F5">
        <w:rPr>
          <w:b/>
          <w:lang w:val="fi-FI"/>
        </w:rPr>
        <w:t xml:space="preserve">Allergiset reaktiot </w:t>
      </w:r>
      <w:r w:rsidRPr="00CA43F5">
        <w:rPr>
          <w:lang w:val="fi-FI"/>
        </w:rPr>
        <w:t>pistoksen aikana tai pistoksen jälkeen:</w:t>
      </w:r>
    </w:p>
    <w:p w14:paraId="2B8F94E1" w14:textId="77777777" w:rsidR="003B7027" w:rsidRPr="0028514E" w:rsidRDefault="00296A74" w:rsidP="009E7ABA">
      <w:pPr>
        <w:pStyle w:val="a"/>
        <w:rPr>
          <w:rFonts w:ascii="Symbol" w:hAnsi="Symbol"/>
        </w:rPr>
      </w:pPr>
      <w:r w:rsidRPr="0028514E">
        <w:t>hengitysvaikeudet, puristava tunne rintakehässä tai pyörrytys</w:t>
      </w:r>
    </w:p>
    <w:p w14:paraId="3E4F4A6A" w14:textId="77777777" w:rsidR="003B7027" w:rsidRPr="0028514E" w:rsidRDefault="00296A74" w:rsidP="009E7ABA">
      <w:pPr>
        <w:pStyle w:val="a"/>
        <w:rPr>
          <w:rFonts w:ascii="Symbol" w:hAnsi="Symbol"/>
        </w:rPr>
      </w:pPr>
      <w:r w:rsidRPr="0028514E">
        <w:t>ihottuma, kutina, nokkosrokko, huulten, kielen tai kasvojen turpoaminen.</w:t>
      </w:r>
    </w:p>
    <w:p w14:paraId="02E693B6" w14:textId="77777777" w:rsidR="00DE79F1" w:rsidRPr="0028514E" w:rsidRDefault="00DE79F1" w:rsidP="006E5F9A">
      <w:pPr>
        <w:pStyle w:val="a4"/>
        <w:ind w:left="0"/>
      </w:pPr>
    </w:p>
    <w:p w14:paraId="62BD605E" w14:textId="77777777" w:rsidR="003B7027" w:rsidRPr="0028514E" w:rsidRDefault="00296A74" w:rsidP="006E5F9A">
      <w:pPr>
        <w:pStyle w:val="a4"/>
        <w:ind w:left="0"/>
      </w:pPr>
      <w:r w:rsidRPr="0028514E">
        <w:t xml:space="preserve">Jos havaitset jotakin näistä, ota </w:t>
      </w:r>
      <w:r w:rsidRPr="0028514E">
        <w:rPr>
          <w:b/>
        </w:rPr>
        <w:t xml:space="preserve">välittömästi </w:t>
      </w:r>
      <w:r w:rsidRPr="0028514E">
        <w:t>yhteyttä lääkäriin.</w:t>
      </w:r>
    </w:p>
    <w:p w14:paraId="1626D949" w14:textId="77777777" w:rsidR="003B7027" w:rsidRPr="0028514E" w:rsidRDefault="003B7027" w:rsidP="006E5F9A">
      <w:pPr>
        <w:pStyle w:val="a4"/>
        <w:ind w:left="0"/>
      </w:pPr>
    </w:p>
    <w:p w14:paraId="6B6A758C" w14:textId="77777777" w:rsidR="003B7027" w:rsidRPr="009A3CB5" w:rsidRDefault="00296A74" w:rsidP="009A3CB5">
      <w:pPr>
        <w:rPr>
          <w:b/>
          <w:bCs/>
          <w:lang w:val="fi-FI"/>
        </w:rPr>
      </w:pPr>
      <w:r w:rsidRPr="009A3CB5">
        <w:rPr>
          <w:b/>
          <w:bCs/>
          <w:lang w:val="fi-FI"/>
        </w:rPr>
        <w:t>Vakavan infektion oireet:</w:t>
      </w:r>
    </w:p>
    <w:p w14:paraId="6E2C6641" w14:textId="77777777" w:rsidR="003B7027" w:rsidRPr="0028514E" w:rsidRDefault="00296A74" w:rsidP="009E7ABA">
      <w:pPr>
        <w:pStyle w:val="a"/>
      </w:pPr>
      <w:r w:rsidRPr="0028514E">
        <w:t>kuume ja vilunväristykset</w:t>
      </w:r>
    </w:p>
    <w:p w14:paraId="385BC91E" w14:textId="77777777" w:rsidR="003B7027" w:rsidRPr="0028514E" w:rsidRDefault="00296A74" w:rsidP="009E7ABA">
      <w:pPr>
        <w:pStyle w:val="a"/>
      </w:pPr>
      <w:r w:rsidRPr="0028514E">
        <w:t>rakkulat suussa tai iholla</w:t>
      </w:r>
    </w:p>
    <w:p w14:paraId="343F6754" w14:textId="77777777" w:rsidR="003B7027" w:rsidRPr="0028514E" w:rsidRDefault="00296A74" w:rsidP="009E7ABA">
      <w:pPr>
        <w:pStyle w:val="a"/>
        <w:rPr>
          <w:rFonts w:ascii="Symbol" w:hAnsi="Symbol"/>
        </w:rPr>
      </w:pPr>
      <w:r w:rsidRPr="0028514E">
        <w:t>vatsakipu.</w:t>
      </w:r>
    </w:p>
    <w:p w14:paraId="7F6BDCC6" w14:textId="77777777" w:rsidR="003B7027" w:rsidRPr="0028514E" w:rsidRDefault="003B7027" w:rsidP="006E5F9A">
      <w:pPr>
        <w:pStyle w:val="a4"/>
        <w:ind w:left="0"/>
      </w:pPr>
    </w:p>
    <w:p w14:paraId="6801A145" w14:textId="77777777" w:rsidR="003B7027" w:rsidRPr="009A3CB5" w:rsidRDefault="00296A74" w:rsidP="009A3CB5">
      <w:pPr>
        <w:rPr>
          <w:b/>
          <w:bCs/>
          <w:lang w:val="fi-FI"/>
        </w:rPr>
      </w:pPr>
      <w:r w:rsidRPr="009A3CB5">
        <w:rPr>
          <w:b/>
          <w:bCs/>
          <w:lang w:val="fi-FI"/>
        </w:rPr>
        <w:t>Maksatoksisuuden oireet</w:t>
      </w:r>
    </w:p>
    <w:p w14:paraId="2194D253" w14:textId="77777777" w:rsidR="003B7027" w:rsidRPr="00CA43F5" w:rsidRDefault="00296A74" w:rsidP="006E5F9A">
      <w:pPr>
        <w:rPr>
          <w:i/>
          <w:lang w:val="fi-FI"/>
        </w:rPr>
      </w:pPr>
      <w:r w:rsidRPr="00CA43F5">
        <w:rPr>
          <w:i/>
          <w:lang w:val="fi-FI"/>
        </w:rPr>
        <w:t>Näitä saattaa esiintyä enintään yhdellä potilaalla 1000:sta</w:t>
      </w:r>
    </w:p>
    <w:p w14:paraId="65557019" w14:textId="77777777" w:rsidR="003B7027" w:rsidRPr="0028514E" w:rsidRDefault="00296A74" w:rsidP="009E7ABA">
      <w:pPr>
        <w:pStyle w:val="a"/>
        <w:rPr>
          <w:rFonts w:ascii="Symbol" w:hAnsi="Symbol"/>
        </w:rPr>
      </w:pPr>
      <w:r w:rsidRPr="0028514E">
        <w:t>väsymys</w:t>
      </w:r>
    </w:p>
    <w:p w14:paraId="19BA66E5" w14:textId="77777777" w:rsidR="003B7027" w:rsidRPr="0028514E" w:rsidRDefault="00296A74" w:rsidP="009E7ABA">
      <w:pPr>
        <w:pStyle w:val="a"/>
        <w:rPr>
          <w:rFonts w:ascii="Symbol" w:hAnsi="Symbol"/>
        </w:rPr>
      </w:pPr>
      <w:r w:rsidRPr="0028514E">
        <w:t>vatsakipu</w:t>
      </w:r>
    </w:p>
    <w:p w14:paraId="1F0A23AE" w14:textId="77777777" w:rsidR="003B7027" w:rsidRPr="0028514E" w:rsidRDefault="00296A74" w:rsidP="009E7ABA">
      <w:pPr>
        <w:pStyle w:val="a"/>
        <w:rPr>
          <w:rFonts w:ascii="Symbol" w:hAnsi="Symbol"/>
        </w:rPr>
      </w:pPr>
      <w:r w:rsidRPr="0028514E">
        <w:t>keltaisuus (ihon tai silmien keltaisuutta).</w:t>
      </w:r>
    </w:p>
    <w:p w14:paraId="63077E6F" w14:textId="77777777" w:rsidR="003B7027" w:rsidRPr="0028514E" w:rsidRDefault="003B7027" w:rsidP="00FD7485">
      <w:pPr>
        <w:pStyle w:val="a4"/>
        <w:ind w:left="567" w:hanging="567"/>
      </w:pPr>
    </w:p>
    <w:p w14:paraId="318A5951" w14:textId="77777777" w:rsidR="003B7027" w:rsidRPr="00CA43F5" w:rsidRDefault="00296A74" w:rsidP="006E5F9A">
      <w:pPr>
        <w:rPr>
          <w:lang w:val="fi-FI"/>
        </w:rPr>
      </w:pPr>
      <w:r w:rsidRPr="00CA43F5">
        <w:rPr>
          <w:lang w:val="fi-FI"/>
        </w:rPr>
        <w:lastRenderedPageBreak/>
        <w:t xml:space="preserve">Jos havaitset jotakin näistä, ota </w:t>
      </w:r>
      <w:r w:rsidRPr="00CA43F5">
        <w:rPr>
          <w:b/>
          <w:lang w:val="fi-FI"/>
        </w:rPr>
        <w:t xml:space="preserve">mahdollisimman pian </w:t>
      </w:r>
      <w:r w:rsidRPr="00CA43F5">
        <w:rPr>
          <w:lang w:val="fi-FI"/>
        </w:rPr>
        <w:t>yhteyttä lääkäriin.</w:t>
      </w:r>
    </w:p>
    <w:p w14:paraId="23914EF8" w14:textId="77777777" w:rsidR="00DB75D8" w:rsidRPr="0028514E" w:rsidRDefault="00DB75D8" w:rsidP="00DD705A"/>
    <w:p w14:paraId="188F5211" w14:textId="77777777" w:rsidR="003B7027" w:rsidRPr="009A3CB5" w:rsidRDefault="00296A74" w:rsidP="009A3CB5">
      <w:pPr>
        <w:rPr>
          <w:b/>
          <w:bCs/>
          <w:lang w:val="fi-FI"/>
        </w:rPr>
      </w:pPr>
      <w:r w:rsidRPr="009A3CB5">
        <w:rPr>
          <w:b/>
          <w:bCs/>
          <w:lang w:val="fi-FI"/>
        </w:rPr>
        <w:t>Hyvin yleisiä haittavaikutuksia:</w:t>
      </w:r>
    </w:p>
    <w:p w14:paraId="4D4C2513" w14:textId="77777777" w:rsidR="003B7027" w:rsidRPr="00CA43F5" w:rsidRDefault="00296A74" w:rsidP="006E5F9A">
      <w:pPr>
        <w:rPr>
          <w:i/>
          <w:lang w:val="fi-FI"/>
        </w:rPr>
      </w:pPr>
      <w:r w:rsidRPr="00CA43F5">
        <w:rPr>
          <w:i/>
          <w:lang w:val="fi-FI"/>
        </w:rPr>
        <w:t>Näitä saattaa esiintyä useammalla kuin yhdellä potilaalla 10:stä</w:t>
      </w:r>
    </w:p>
    <w:p w14:paraId="7D372E01" w14:textId="77777777" w:rsidR="003B7027" w:rsidRPr="0028514E" w:rsidRDefault="00296A74" w:rsidP="009E7ABA">
      <w:pPr>
        <w:pStyle w:val="a"/>
        <w:rPr>
          <w:rFonts w:ascii="Symbol" w:hAnsi="Symbol"/>
        </w:rPr>
      </w:pPr>
      <w:r w:rsidRPr="0028514E">
        <w:t>ylähengitystieinfektiot, joiden tyypilliset oireet ovat yskä, nenän tukkoisuus, nenän vuotaminen, kurkkukipu ja päänsärky</w:t>
      </w:r>
    </w:p>
    <w:p w14:paraId="48ECCFFA" w14:textId="77777777" w:rsidR="003B7027" w:rsidRPr="0028514E" w:rsidRDefault="00296A74" w:rsidP="009E7ABA">
      <w:pPr>
        <w:pStyle w:val="a"/>
        <w:rPr>
          <w:rFonts w:ascii="Symbol" w:hAnsi="Symbol"/>
        </w:rPr>
      </w:pPr>
      <w:r w:rsidRPr="0028514E">
        <w:t>korkeat veren rasva-arvot (</w:t>
      </w:r>
      <w:r w:rsidRPr="0028514E">
        <w:rPr>
          <w:i/>
        </w:rPr>
        <w:t>kolesteroliarvot</w:t>
      </w:r>
      <w:r w:rsidRPr="0028514E">
        <w:t>)</w:t>
      </w:r>
    </w:p>
    <w:p w14:paraId="3FF38E26" w14:textId="77777777" w:rsidR="003B7027" w:rsidRPr="0028514E" w:rsidRDefault="00296A74" w:rsidP="009E7ABA">
      <w:pPr>
        <w:pStyle w:val="a"/>
        <w:rPr>
          <w:rFonts w:ascii="Symbol" w:hAnsi="Symbol"/>
        </w:rPr>
      </w:pPr>
      <w:r w:rsidRPr="0028514E">
        <w:t>pistoskohdan reaktiot.</w:t>
      </w:r>
    </w:p>
    <w:p w14:paraId="7DA129F5" w14:textId="77777777" w:rsidR="003B7027" w:rsidRPr="0028514E" w:rsidRDefault="003B7027" w:rsidP="006E5F9A">
      <w:pPr>
        <w:pStyle w:val="a4"/>
        <w:ind w:left="0"/>
      </w:pPr>
    </w:p>
    <w:p w14:paraId="2AD39A42" w14:textId="77777777" w:rsidR="003B7027" w:rsidRPr="009A3CB5" w:rsidRDefault="00296A74" w:rsidP="009A3CB5">
      <w:pPr>
        <w:rPr>
          <w:b/>
          <w:bCs/>
          <w:lang w:val="fi-FI"/>
        </w:rPr>
      </w:pPr>
      <w:r w:rsidRPr="009A3CB5">
        <w:rPr>
          <w:b/>
          <w:bCs/>
          <w:lang w:val="fi-FI"/>
        </w:rPr>
        <w:t>Yleisiä haittavaikutuksia:</w:t>
      </w:r>
    </w:p>
    <w:p w14:paraId="12D1B25E" w14:textId="77777777" w:rsidR="003B7027" w:rsidRPr="00CA43F5" w:rsidRDefault="00296A74" w:rsidP="006E5F9A">
      <w:pPr>
        <w:rPr>
          <w:i/>
          <w:lang w:val="fi-FI"/>
        </w:rPr>
      </w:pPr>
      <w:r w:rsidRPr="00CA43F5">
        <w:rPr>
          <w:i/>
          <w:lang w:val="fi-FI"/>
        </w:rPr>
        <w:t>Näitä saattaa esiintyä enintään yhdellä potilaalla 10:stä</w:t>
      </w:r>
    </w:p>
    <w:p w14:paraId="11B47234" w14:textId="77777777" w:rsidR="003B7027" w:rsidRPr="0028514E" w:rsidRDefault="00296A74" w:rsidP="00AB72A7">
      <w:pPr>
        <w:pStyle w:val="a"/>
        <w:rPr>
          <w:rFonts w:ascii="Symbol" w:hAnsi="Symbol"/>
        </w:rPr>
      </w:pPr>
      <w:r w:rsidRPr="0028514E">
        <w:t>keuhkoinfektio (keuhkokuume)</w:t>
      </w:r>
    </w:p>
    <w:p w14:paraId="528DF541" w14:textId="77777777" w:rsidR="003B7027" w:rsidRPr="0028514E" w:rsidRDefault="00296A74" w:rsidP="00AB72A7">
      <w:pPr>
        <w:pStyle w:val="a"/>
        <w:rPr>
          <w:rFonts w:ascii="Symbol" w:hAnsi="Symbol"/>
        </w:rPr>
      </w:pPr>
      <w:r w:rsidRPr="0028514E">
        <w:t>vyöruusu (</w:t>
      </w:r>
      <w:r w:rsidRPr="0028514E">
        <w:rPr>
          <w:i/>
        </w:rPr>
        <w:t>herpes zoster</w:t>
      </w:r>
      <w:r w:rsidRPr="0028514E">
        <w:t>)</w:t>
      </w:r>
    </w:p>
    <w:p w14:paraId="2B069994" w14:textId="77777777" w:rsidR="003B7027" w:rsidRPr="0028514E" w:rsidRDefault="00296A74" w:rsidP="00AB72A7">
      <w:pPr>
        <w:pStyle w:val="a"/>
        <w:rPr>
          <w:rFonts w:ascii="Symbol" w:hAnsi="Symbol"/>
        </w:rPr>
      </w:pPr>
      <w:r w:rsidRPr="0028514E">
        <w:t xml:space="preserve">yskänrokko eli huuliherpes (suun </w:t>
      </w:r>
      <w:r w:rsidRPr="0028514E">
        <w:rPr>
          <w:i/>
        </w:rPr>
        <w:t xml:space="preserve">herpes simplex </w:t>
      </w:r>
      <w:r w:rsidRPr="0028514E">
        <w:t>-infektio), rakkulat</w:t>
      </w:r>
    </w:p>
    <w:p w14:paraId="373E89E0" w14:textId="77777777" w:rsidR="003B7027" w:rsidRPr="0028514E" w:rsidRDefault="00296A74" w:rsidP="00AB72A7">
      <w:pPr>
        <w:pStyle w:val="a"/>
        <w:rPr>
          <w:rFonts w:ascii="Symbol" w:hAnsi="Symbol"/>
        </w:rPr>
      </w:pPr>
      <w:r w:rsidRPr="0028514E">
        <w:t>ihoinfektio (selluliitti), johon voi liittyä myös kuumetta ja vilunväristyksiä</w:t>
      </w:r>
    </w:p>
    <w:p w14:paraId="753C184F" w14:textId="77777777" w:rsidR="003B7027" w:rsidRPr="0028514E" w:rsidRDefault="00296A74" w:rsidP="00AB72A7">
      <w:pPr>
        <w:pStyle w:val="a"/>
        <w:rPr>
          <w:rFonts w:ascii="Symbol" w:hAnsi="Symbol"/>
        </w:rPr>
      </w:pPr>
      <w:r w:rsidRPr="0028514E">
        <w:t>ihottuma ja kutina, nokkosrokko</w:t>
      </w:r>
    </w:p>
    <w:p w14:paraId="1D7D88E9" w14:textId="77777777" w:rsidR="003B7027" w:rsidRPr="0028514E" w:rsidRDefault="00296A74" w:rsidP="00AB72A7">
      <w:pPr>
        <w:pStyle w:val="a"/>
        <w:rPr>
          <w:rFonts w:ascii="Symbol" w:hAnsi="Symbol"/>
        </w:rPr>
      </w:pPr>
      <w:r w:rsidRPr="0028514E">
        <w:t>allergiset reaktiot (yliherkkyys)</w:t>
      </w:r>
    </w:p>
    <w:p w14:paraId="73FA1002" w14:textId="77777777" w:rsidR="003B7027" w:rsidRPr="0028514E" w:rsidRDefault="00296A74" w:rsidP="00AB72A7">
      <w:pPr>
        <w:pStyle w:val="a"/>
        <w:rPr>
          <w:rFonts w:ascii="Symbol" w:hAnsi="Symbol"/>
        </w:rPr>
      </w:pPr>
      <w:r w:rsidRPr="0028514E">
        <w:t>silmäinfektio (konjunktiviitti)</w:t>
      </w:r>
    </w:p>
    <w:p w14:paraId="5B4513DC" w14:textId="77777777" w:rsidR="003B7027" w:rsidRPr="0028514E" w:rsidRDefault="00296A74" w:rsidP="00AB72A7">
      <w:pPr>
        <w:pStyle w:val="a"/>
        <w:rPr>
          <w:rFonts w:ascii="Symbol" w:hAnsi="Symbol"/>
        </w:rPr>
      </w:pPr>
      <w:r w:rsidRPr="0028514E">
        <w:t>päänsärky, huimaus, korkea verenpaine</w:t>
      </w:r>
    </w:p>
    <w:p w14:paraId="0417D7EF" w14:textId="77777777" w:rsidR="003B7027" w:rsidRPr="0028514E" w:rsidRDefault="00296A74" w:rsidP="00AB72A7">
      <w:pPr>
        <w:pStyle w:val="a"/>
        <w:rPr>
          <w:rFonts w:ascii="Symbol" w:hAnsi="Symbol"/>
        </w:rPr>
      </w:pPr>
      <w:r w:rsidRPr="0028514E">
        <w:t>suun haavaumat, vatsakipu</w:t>
      </w:r>
    </w:p>
    <w:p w14:paraId="21C3ACB7" w14:textId="77777777" w:rsidR="003B7027" w:rsidRPr="0028514E" w:rsidRDefault="00296A74" w:rsidP="00AB72A7">
      <w:pPr>
        <w:pStyle w:val="a"/>
        <w:rPr>
          <w:rFonts w:ascii="Symbol" w:hAnsi="Symbol"/>
        </w:rPr>
      </w:pPr>
      <w:r w:rsidRPr="0028514E">
        <w:t>nesteen kertyminen (turvotus) alaraajoihin, painon nousu</w:t>
      </w:r>
    </w:p>
    <w:p w14:paraId="6AC5A77E" w14:textId="77777777" w:rsidR="003B7027" w:rsidRPr="0028514E" w:rsidRDefault="00296A74" w:rsidP="00AB72A7">
      <w:pPr>
        <w:pStyle w:val="a"/>
        <w:rPr>
          <w:rFonts w:ascii="Symbol" w:hAnsi="Symbol"/>
        </w:rPr>
      </w:pPr>
      <w:r w:rsidRPr="0028514E">
        <w:t>yskä, hengenahdistus</w:t>
      </w:r>
    </w:p>
    <w:p w14:paraId="3BB783C3" w14:textId="77777777" w:rsidR="003B7027" w:rsidRPr="0028514E" w:rsidRDefault="00296A74" w:rsidP="00AB72A7">
      <w:pPr>
        <w:pStyle w:val="a"/>
        <w:rPr>
          <w:rFonts w:ascii="Symbol" w:hAnsi="Symbol"/>
        </w:rPr>
      </w:pPr>
      <w:r w:rsidRPr="0028514E">
        <w:t>verikokeissa todettu alhainen valkosoluarvo (neutropenia, leukopenia)</w:t>
      </w:r>
    </w:p>
    <w:p w14:paraId="0A469467" w14:textId="77777777" w:rsidR="003B7027" w:rsidRPr="005568A9" w:rsidRDefault="00296A74" w:rsidP="00AB72A7">
      <w:pPr>
        <w:pStyle w:val="a"/>
        <w:rPr>
          <w:rFonts w:ascii="Symbol" w:hAnsi="Symbol"/>
        </w:rPr>
      </w:pPr>
      <w:r w:rsidRPr="005568A9">
        <w:t>poikkeavat maksan toimintakokeet (kohonneet transaminaasiarvot)</w:t>
      </w:r>
    </w:p>
    <w:p w14:paraId="50B7EE9C" w14:textId="77777777" w:rsidR="003B7027" w:rsidRPr="00237A3E" w:rsidRDefault="00296A74" w:rsidP="00AB72A7">
      <w:pPr>
        <w:pStyle w:val="a"/>
        <w:rPr>
          <w:rFonts w:ascii="Symbol" w:hAnsi="Symbol"/>
        </w:rPr>
      </w:pPr>
      <w:r w:rsidRPr="00237A3E">
        <w:t>verikokeissa todettu kohonnut bilirubiini</w:t>
      </w:r>
    </w:p>
    <w:p w14:paraId="3B49C38B" w14:textId="77777777" w:rsidR="003B7027" w:rsidRPr="00237A3E" w:rsidRDefault="00296A74" w:rsidP="00AB72A7">
      <w:pPr>
        <w:pStyle w:val="a"/>
        <w:rPr>
          <w:rFonts w:ascii="Symbol" w:hAnsi="Symbol"/>
        </w:rPr>
      </w:pPr>
      <w:r w:rsidRPr="00237A3E">
        <w:t>veren matala fibrinogeenipitoisuus (fibrinogeeni on veren hyytymiseen osallistuva valkuaisaine).</w:t>
      </w:r>
    </w:p>
    <w:p w14:paraId="17DF826A" w14:textId="77777777" w:rsidR="003B7027" w:rsidRPr="0028514E" w:rsidRDefault="003B7027" w:rsidP="006E5F9A">
      <w:pPr>
        <w:pStyle w:val="a4"/>
        <w:ind w:left="0"/>
      </w:pPr>
    </w:p>
    <w:p w14:paraId="749AEAF4" w14:textId="77777777" w:rsidR="003B7027" w:rsidRPr="009A3CB5" w:rsidRDefault="00296A74" w:rsidP="009A3CB5">
      <w:pPr>
        <w:rPr>
          <w:b/>
          <w:bCs/>
          <w:lang w:val="fi-FI"/>
        </w:rPr>
      </w:pPr>
      <w:r w:rsidRPr="009A3CB5">
        <w:rPr>
          <w:b/>
          <w:bCs/>
          <w:lang w:val="fi-FI"/>
        </w:rPr>
        <w:t>Melko harvinaisia haittavaikutuksia:</w:t>
      </w:r>
    </w:p>
    <w:p w14:paraId="763499A9" w14:textId="77777777" w:rsidR="003B7027" w:rsidRPr="00CA43F5" w:rsidRDefault="00296A74" w:rsidP="006E5F9A">
      <w:pPr>
        <w:rPr>
          <w:i/>
          <w:lang w:val="fi-FI"/>
        </w:rPr>
      </w:pPr>
      <w:r w:rsidRPr="00CA43F5">
        <w:rPr>
          <w:i/>
          <w:lang w:val="fi-FI"/>
        </w:rPr>
        <w:t>Näitä saattaa esiintyä enintään yhdellä potilaalla 100:sta</w:t>
      </w:r>
    </w:p>
    <w:p w14:paraId="5AF7CE85" w14:textId="77777777" w:rsidR="003B7027" w:rsidRPr="0028514E" w:rsidRDefault="00296A74" w:rsidP="00AB72A7">
      <w:pPr>
        <w:pStyle w:val="a"/>
        <w:rPr>
          <w:rFonts w:ascii="Symbol" w:hAnsi="Symbol"/>
        </w:rPr>
      </w:pPr>
      <w:r w:rsidRPr="0028514E">
        <w:t>divertikuliitti (kuume, pahoinvointi, ripuli, ummetus, vatsakipu)</w:t>
      </w:r>
    </w:p>
    <w:p w14:paraId="6FBAB455" w14:textId="77777777" w:rsidR="003B7027" w:rsidRPr="0028514E" w:rsidRDefault="00296A74" w:rsidP="00AB72A7">
      <w:pPr>
        <w:pStyle w:val="a"/>
        <w:rPr>
          <w:rFonts w:ascii="Symbol" w:hAnsi="Symbol"/>
        </w:rPr>
      </w:pPr>
      <w:r w:rsidRPr="0028514E">
        <w:t>punaiset turvonneet alueet suussa</w:t>
      </w:r>
    </w:p>
    <w:p w14:paraId="68A50FEC" w14:textId="77777777" w:rsidR="003B7027" w:rsidRPr="0028514E" w:rsidRDefault="00296A74" w:rsidP="00AB72A7">
      <w:pPr>
        <w:pStyle w:val="a"/>
        <w:rPr>
          <w:rFonts w:ascii="Symbol" w:hAnsi="Symbol"/>
        </w:rPr>
      </w:pPr>
      <w:r w:rsidRPr="0028514E">
        <w:t>korkeat veren rasva-arvot (triglyseridit)</w:t>
      </w:r>
    </w:p>
    <w:p w14:paraId="1F60B212" w14:textId="77777777" w:rsidR="003B7027" w:rsidRPr="0028514E" w:rsidRDefault="00296A74" w:rsidP="00AB72A7">
      <w:pPr>
        <w:pStyle w:val="a"/>
        <w:rPr>
          <w:rFonts w:ascii="Symbol" w:hAnsi="Symbol"/>
        </w:rPr>
      </w:pPr>
      <w:r w:rsidRPr="0028514E">
        <w:t>mahahaava</w:t>
      </w:r>
    </w:p>
    <w:p w14:paraId="5B9C0E24" w14:textId="77777777" w:rsidR="003B7027" w:rsidRPr="0028514E" w:rsidRDefault="00296A74" w:rsidP="00AB72A7">
      <w:pPr>
        <w:pStyle w:val="a"/>
        <w:rPr>
          <w:rFonts w:ascii="Symbol" w:hAnsi="Symbol"/>
        </w:rPr>
      </w:pPr>
      <w:r w:rsidRPr="0028514E">
        <w:t>munuaiskivet</w:t>
      </w:r>
    </w:p>
    <w:p w14:paraId="0CD75E5D" w14:textId="77777777" w:rsidR="003B7027" w:rsidRPr="0028514E" w:rsidRDefault="00296A74" w:rsidP="00AB72A7">
      <w:pPr>
        <w:pStyle w:val="a"/>
        <w:rPr>
          <w:rFonts w:ascii="Symbol" w:hAnsi="Symbol"/>
        </w:rPr>
      </w:pPr>
      <w:r w:rsidRPr="0028514E">
        <w:t>kilpirauhasen vajaatoiminta.</w:t>
      </w:r>
    </w:p>
    <w:p w14:paraId="3D4BBCC0" w14:textId="77777777" w:rsidR="003B7027" w:rsidRPr="0028514E" w:rsidRDefault="003B7027" w:rsidP="00FD7485">
      <w:pPr>
        <w:pStyle w:val="a4"/>
        <w:ind w:left="567" w:hanging="567"/>
      </w:pPr>
    </w:p>
    <w:p w14:paraId="1D94D69D" w14:textId="77777777" w:rsidR="003B7027" w:rsidRPr="009A3CB5" w:rsidRDefault="00296A74" w:rsidP="009A3CB5">
      <w:pPr>
        <w:rPr>
          <w:b/>
          <w:bCs/>
          <w:lang w:val="fi-FI"/>
        </w:rPr>
      </w:pPr>
      <w:r w:rsidRPr="009A3CB5">
        <w:rPr>
          <w:b/>
          <w:bCs/>
          <w:lang w:val="fi-FI"/>
        </w:rPr>
        <w:t>Harvinaisia haittavaikutuksia:</w:t>
      </w:r>
    </w:p>
    <w:p w14:paraId="71F9F5BC" w14:textId="77777777" w:rsidR="003B7027" w:rsidRPr="00CA43F5" w:rsidRDefault="00296A74" w:rsidP="006E5F9A">
      <w:pPr>
        <w:rPr>
          <w:i/>
          <w:lang w:val="fi-FI"/>
        </w:rPr>
      </w:pPr>
      <w:r w:rsidRPr="00CA43F5">
        <w:rPr>
          <w:i/>
          <w:lang w:val="fi-FI"/>
        </w:rPr>
        <w:t>Näitä saattaa esiintyä enintään yhdellä potilaalla 1000:sta</w:t>
      </w:r>
    </w:p>
    <w:p w14:paraId="1D55300D" w14:textId="77777777" w:rsidR="003B7027" w:rsidRPr="0028514E" w:rsidRDefault="00296A74" w:rsidP="00AB72A7">
      <w:pPr>
        <w:pStyle w:val="a"/>
        <w:rPr>
          <w:rFonts w:ascii="Symbol" w:hAnsi="Symbol"/>
        </w:rPr>
      </w:pPr>
      <w:r w:rsidRPr="0028514E">
        <w:t>Stevens-Johnsonin oireyhtymä (ihottuma, joka voi johtaa vaikeaan ihon rakkuloitumiseen ja kuoriutumiseen)</w:t>
      </w:r>
    </w:p>
    <w:p w14:paraId="682114D9" w14:textId="77777777" w:rsidR="003B7027" w:rsidRPr="0028514E" w:rsidRDefault="00296A74" w:rsidP="00AB72A7">
      <w:pPr>
        <w:pStyle w:val="a"/>
        <w:rPr>
          <w:rFonts w:ascii="Symbol" w:hAnsi="Symbol"/>
        </w:rPr>
      </w:pPr>
      <w:r w:rsidRPr="0028514E">
        <w:t>kuolemaan johtavat allergiset reaktiot (anafylaksia)</w:t>
      </w:r>
    </w:p>
    <w:p w14:paraId="5829B687" w14:textId="77777777" w:rsidR="003B7027" w:rsidRPr="0028514E" w:rsidRDefault="00296A74" w:rsidP="00AB72A7">
      <w:pPr>
        <w:pStyle w:val="a"/>
        <w:rPr>
          <w:rFonts w:ascii="Symbol" w:hAnsi="Symbol"/>
        </w:rPr>
      </w:pPr>
      <w:r w:rsidRPr="0028514E">
        <w:t>maksatulehdus (hepatiitti), keltaisuus.</w:t>
      </w:r>
    </w:p>
    <w:p w14:paraId="534C2FE2" w14:textId="77777777" w:rsidR="003B7027" w:rsidRPr="0028514E" w:rsidRDefault="003B7027" w:rsidP="00FD7485">
      <w:pPr>
        <w:pStyle w:val="a4"/>
        <w:ind w:left="567" w:hanging="567"/>
      </w:pPr>
    </w:p>
    <w:p w14:paraId="2CD5DEF3" w14:textId="77777777" w:rsidR="003B7027" w:rsidRPr="009A3CB5" w:rsidRDefault="00296A74" w:rsidP="009A3CB5">
      <w:pPr>
        <w:rPr>
          <w:b/>
          <w:bCs/>
          <w:lang w:val="fi-FI"/>
        </w:rPr>
      </w:pPr>
      <w:r w:rsidRPr="009A3CB5">
        <w:rPr>
          <w:b/>
          <w:bCs/>
          <w:lang w:val="fi-FI"/>
        </w:rPr>
        <w:t>Hyvin harvinaisia haittavaikutuksia:</w:t>
      </w:r>
    </w:p>
    <w:p w14:paraId="23D6CEB2" w14:textId="77777777" w:rsidR="003B7027" w:rsidRPr="00CA43F5" w:rsidRDefault="00296A74" w:rsidP="006E5F9A">
      <w:pPr>
        <w:rPr>
          <w:i/>
          <w:lang w:val="fi-FI"/>
        </w:rPr>
      </w:pPr>
      <w:r w:rsidRPr="00CA43F5">
        <w:rPr>
          <w:i/>
          <w:lang w:val="fi-FI"/>
        </w:rPr>
        <w:t>Näitä saattaa esiintyä enintään yhdellä potilaalla 10 000:sta</w:t>
      </w:r>
    </w:p>
    <w:p w14:paraId="02C441E8" w14:textId="77777777" w:rsidR="003B7027" w:rsidRPr="00CA43F5" w:rsidRDefault="00296A74" w:rsidP="00FD7485">
      <w:pPr>
        <w:tabs>
          <w:tab w:val="left" w:pos="1609"/>
        </w:tabs>
        <w:ind w:left="567" w:hanging="567"/>
        <w:rPr>
          <w:rFonts w:ascii="Symbol" w:hAnsi="Symbol" w:hint="eastAsia"/>
          <w:lang w:val="fi-FI"/>
        </w:rPr>
      </w:pPr>
      <w:r w:rsidRPr="0028514E">
        <w:rPr>
          <w:rFonts w:ascii="Symbol" w:eastAsia="Symbol" w:hAnsi="Symbol" w:cs="Symbol"/>
          <w:lang w:val="fi-FI" w:eastAsia="en-US"/>
        </w:rPr>
        <w:t></w:t>
      </w:r>
      <w:r w:rsidRPr="0028514E">
        <w:rPr>
          <w:rFonts w:ascii="Symbol" w:eastAsia="Symbol" w:hAnsi="Symbol" w:cs="Symbol"/>
          <w:lang w:val="fi-FI" w:eastAsia="en-US"/>
        </w:rPr>
        <w:tab/>
      </w:r>
      <w:r w:rsidRPr="00CA43F5">
        <w:rPr>
          <w:lang w:val="fi-FI"/>
        </w:rPr>
        <w:t>valkoisten ja punaisten verisolujen sekä verihiutaleiden niukkuus</w:t>
      </w:r>
    </w:p>
    <w:p w14:paraId="3E212072" w14:textId="77777777" w:rsidR="003B7027" w:rsidRPr="00CA43F5" w:rsidRDefault="00296A74" w:rsidP="00FD7485">
      <w:pPr>
        <w:tabs>
          <w:tab w:val="left" w:pos="1609"/>
        </w:tabs>
        <w:ind w:left="567" w:hanging="567"/>
        <w:rPr>
          <w:rFonts w:ascii="Symbol" w:hAnsi="Symbol" w:hint="eastAsia"/>
          <w:lang w:val="fi-FI"/>
        </w:rPr>
      </w:pPr>
      <w:r w:rsidRPr="0028514E">
        <w:rPr>
          <w:rFonts w:ascii="Symbol" w:eastAsia="Symbol" w:hAnsi="Symbol" w:cs="Symbol"/>
          <w:lang w:val="fi-FI" w:eastAsia="en-US"/>
        </w:rPr>
        <w:t></w:t>
      </w:r>
      <w:r w:rsidRPr="0028514E">
        <w:rPr>
          <w:rFonts w:ascii="Symbol" w:eastAsia="Symbol" w:hAnsi="Symbol" w:cs="Symbol"/>
          <w:lang w:val="fi-FI" w:eastAsia="en-US"/>
        </w:rPr>
        <w:tab/>
      </w:r>
      <w:r w:rsidRPr="00CA43F5">
        <w:rPr>
          <w:lang w:val="fi-FI"/>
        </w:rPr>
        <w:t>maksan vajaatoiminta.</w:t>
      </w:r>
    </w:p>
    <w:p w14:paraId="17E693FB" w14:textId="77777777" w:rsidR="003B7027" w:rsidRPr="0028514E" w:rsidRDefault="003B7027" w:rsidP="006E5F9A">
      <w:pPr>
        <w:pStyle w:val="a4"/>
        <w:ind w:left="0"/>
      </w:pPr>
    </w:p>
    <w:p w14:paraId="03C7B125" w14:textId="77777777" w:rsidR="003B7027" w:rsidRPr="00CA43F5" w:rsidRDefault="00296A74" w:rsidP="006E5F9A">
      <w:pPr>
        <w:rPr>
          <w:lang w:val="fi-FI"/>
        </w:rPr>
      </w:pPr>
      <w:r w:rsidRPr="009A3CB5">
        <w:rPr>
          <w:b/>
          <w:bCs/>
          <w:lang w:val="fi-FI"/>
        </w:rPr>
        <w:t xml:space="preserve">Haittavaikutukset yleisoireista lastenreumaa tai polyartriittia sairastavilla lapsilla ja nuorilla </w:t>
      </w:r>
      <w:r w:rsidRPr="00CA43F5">
        <w:rPr>
          <w:lang w:val="fi-FI"/>
        </w:rPr>
        <w:t>Haittavaikutukset ovat yleisoireista lastenreumaa tai polyartriittia sairastavilla lapsilla ja nuorilla yleensä samankaltaisia kuin aikuisilla. Joitakin haittavaikutuksia esiintyy lapsilla ja nuorilla useammin: nenän ja kurkun tulehdus, päänsärky, pahoinvointi ja vähentynyt veren valkosolumäärä.</w:t>
      </w:r>
    </w:p>
    <w:p w14:paraId="1EE38B52" w14:textId="77777777" w:rsidR="003B7027" w:rsidRPr="0028514E" w:rsidRDefault="003B7027" w:rsidP="006E5F9A">
      <w:pPr>
        <w:pStyle w:val="a4"/>
        <w:ind w:left="0"/>
      </w:pPr>
    </w:p>
    <w:p w14:paraId="1A648915" w14:textId="77777777" w:rsidR="003B7027" w:rsidRPr="009A3CB5" w:rsidRDefault="00296A74" w:rsidP="009A3CB5">
      <w:pPr>
        <w:rPr>
          <w:b/>
          <w:bCs/>
          <w:lang w:val="fi-FI"/>
        </w:rPr>
      </w:pPr>
      <w:r w:rsidRPr="009A3CB5">
        <w:rPr>
          <w:b/>
          <w:bCs/>
          <w:lang w:val="fi-FI"/>
        </w:rPr>
        <w:t>Haittavaikutuksista ilmoittaminen</w:t>
      </w:r>
    </w:p>
    <w:p w14:paraId="1DEB9843" w14:textId="77777777" w:rsidR="003B7027" w:rsidRPr="0028514E" w:rsidRDefault="00296A74" w:rsidP="006E5F9A">
      <w:pPr>
        <w:pStyle w:val="a4"/>
        <w:ind w:left="0"/>
      </w:pPr>
      <w:r w:rsidRPr="0028514E">
        <w:lastRenderedPageBreak/>
        <w:t>Jos havaitset haittavaikutuksia, kerro niistä lääkärille, apteekkihenkilökunnalle tai sairaanhoitajalle. Tämä koskee myös sellaisia mahdollisia haittavaikutuksia, joita ei ole mainittu tässä</w:t>
      </w:r>
    </w:p>
    <w:p w14:paraId="723D0D91" w14:textId="77777777" w:rsidR="003B7027" w:rsidRPr="0028514E" w:rsidRDefault="00296A74" w:rsidP="006E5F9A">
      <w:pPr>
        <w:pStyle w:val="a4"/>
        <w:ind w:left="0"/>
      </w:pPr>
      <w:r w:rsidRPr="0028514E">
        <w:t xml:space="preserve">pakkausselosteessa. Voit ilmoittaa haittavaikutuksista myös suoraan </w:t>
      </w:r>
      <w:r>
        <w:fldChar w:fldCharType="begin"/>
      </w:r>
      <w:r>
        <w:instrText>HYPERLINK "https://www.ema.europa.eu/documents/template-form/appendix-v-adverse-drug-reaction-reporting-details_en.doc" \h</w:instrText>
      </w:r>
      <w:r>
        <w:fldChar w:fldCharType="separate"/>
      </w:r>
      <w:r w:rsidRPr="0028514E">
        <w:rPr>
          <w:color w:val="0000FF"/>
          <w:u w:val="single" w:color="0000FF"/>
          <w:shd w:val="clear" w:color="auto" w:fill="C1C1C1"/>
        </w:rPr>
        <w:t>liitteessä V</w:t>
      </w:r>
      <w:r>
        <w:fldChar w:fldCharType="end"/>
      </w:r>
      <w:r w:rsidRPr="0028514E">
        <w:rPr>
          <w:color w:val="0000FF"/>
          <w:u w:val="single" w:color="0000FF"/>
          <w:shd w:val="clear" w:color="auto" w:fill="C1C1C1"/>
        </w:rPr>
        <w:t xml:space="preserve"> </w:t>
      </w:r>
      <w:r w:rsidRPr="0028514E">
        <w:rPr>
          <w:color w:val="000000"/>
          <w:shd w:val="clear" w:color="auto" w:fill="C1C1C1"/>
        </w:rPr>
        <w:t>luetellun kansallisen</w:t>
      </w:r>
      <w:r w:rsidRPr="0028514E">
        <w:rPr>
          <w:color w:val="000000"/>
        </w:rPr>
        <w:t xml:space="preserve"> </w:t>
      </w:r>
      <w:r w:rsidRPr="0028514E">
        <w:rPr>
          <w:color w:val="000000"/>
          <w:shd w:val="clear" w:color="auto" w:fill="C1C1C1"/>
        </w:rPr>
        <w:t>ilmoitusjärjestelmän kautta</w:t>
      </w:r>
      <w:r w:rsidRPr="0028514E">
        <w:rPr>
          <w:color w:val="000000"/>
        </w:rPr>
        <w:t>. Ilmoittamalla haittavaikutuksista voit auttaa saamaan enemmän tietoa tämän lääkevalmisteen turvallisuudesta.</w:t>
      </w:r>
    </w:p>
    <w:p w14:paraId="2B3E5B9A" w14:textId="77777777" w:rsidR="003B7027" w:rsidRPr="0028514E" w:rsidRDefault="003B7027" w:rsidP="006E5F9A">
      <w:pPr>
        <w:pStyle w:val="a4"/>
        <w:ind w:left="0"/>
      </w:pPr>
    </w:p>
    <w:p w14:paraId="124CFA64" w14:textId="77777777" w:rsidR="003B7027" w:rsidRPr="0028514E" w:rsidRDefault="003B7027" w:rsidP="006E5F9A">
      <w:pPr>
        <w:pStyle w:val="a4"/>
        <w:ind w:left="0"/>
      </w:pPr>
    </w:p>
    <w:p w14:paraId="2E2E80D5" w14:textId="5834DB21" w:rsidR="003B7027" w:rsidRPr="0028514E" w:rsidRDefault="00296A74" w:rsidP="00AB72A7">
      <w:pPr>
        <w:pStyle w:val="2"/>
        <w:keepNext/>
        <w:tabs>
          <w:tab w:val="clear" w:pos="603"/>
        </w:tabs>
      </w:pPr>
      <w:r w:rsidRPr="0028514E">
        <w:t>5.</w:t>
      </w:r>
      <w:r w:rsidRPr="0028514E">
        <w:tab/>
      </w:r>
      <w:r w:rsidR="00EF533A">
        <w:t>Avtozma</w:t>
      </w:r>
      <w:r w:rsidRPr="0028514E">
        <w:t>n säilyttäminen</w:t>
      </w:r>
    </w:p>
    <w:p w14:paraId="49112F30" w14:textId="77777777" w:rsidR="00DB75D8" w:rsidRPr="0028514E" w:rsidRDefault="00DB75D8" w:rsidP="00DD705A"/>
    <w:p w14:paraId="334C2D0A" w14:textId="77777777" w:rsidR="003B7027" w:rsidRPr="0028514E" w:rsidRDefault="00296A74" w:rsidP="006E5F9A">
      <w:pPr>
        <w:pStyle w:val="a4"/>
        <w:ind w:left="0"/>
      </w:pPr>
      <w:r w:rsidRPr="0028514E">
        <w:t>Ei lasten ulottuville eikä näkyville.</w:t>
      </w:r>
    </w:p>
    <w:p w14:paraId="0C68A1FE" w14:textId="77777777" w:rsidR="003B7027" w:rsidRPr="0028514E" w:rsidRDefault="003B7027" w:rsidP="006E5F9A">
      <w:pPr>
        <w:pStyle w:val="a4"/>
        <w:ind w:left="0"/>
      </w:pPr>
    </w:p>
    <w:p w14:paraId="251B3A15" w14:textId="77777777" w:rsidR="003B7027" w:rsidRPr="0028514E" w:rsidRDefault="00296A74" w:rsidP="006E5F9A">
      <w:pPr>
        <w:pStyle w:val="a4"/>
        <w:ind w:left="0"/>
      </w:pPr>
      <w:r w:rsidRPr="0028514E">
        <w:t>Älä käytä tätä lääkettä esitäytetyn kynän etiketissä ja kotelossa mainitun viimeisen käyttöpäivämäärän (Käyt. viim.) jälkeen. Viimeinen käyttöpäivämäärä tarkoittaa kuukauden viimeistä päivää.</w:t>
      </w:r>
    </w:p>
    <w:p w14:paraId="209002EF" w14:textId="77777777" w:rsidR="00DB75D8" w:rsidRPr="0028514E" w:rsidRDefault="00DB75D8" w:rsidP="006E5F9A">
      <w:pPr>
        <w:pStyle w:val="a4"/>
        <w:ind w:left="0"/>
      </w:pPr>
    </w:p>
    <w:p w14:paraId="4FCD535B" w14:textId="7EC776B2" w:rsidR="003B7027" w:rsidRPr="0028514E" w:rsidRDefault="00296A74" w:rsidP="006E5F9A">
      <w:pPr>
        <w:pStyle w:val="a4"/>
        <w:ind w:left="0"/>
      </w:pPr>
      <w:r w:rsidRPr="0028514E">
        <w:t xml:space="preserve">Säilytä jääkaapissa (2 °C – 8 °C). Ei saa jäätyä. Kun esitäytetty kynä on otettu jääkaapista, se voidaan säilyttää enintään 30 °C:n lämpötilassa korkeintaan </w:t>
      </w:r>
      <w:r w:rsidR="00EF533A">
        <w:t>3</w:t>
      </w:r>
      <w:r w:rsidRPr="0028514E">
        <w:t xml:space="preserve"> viikkoa.</w:t>
      </w:r>
    </w:p>
    <w:p w14:paraId="13039D4F" w14:textId="77777777" w:rsidR="003B7027" w:rsidRPr="0028514E" w:rsidRDefault="003B7027" w:rsidP="006E5F9A">
      <w:pPr>
        <w:pStyle w:val="a4"/>
        <w:ind w:left="0"/>
      </w:pPr>
    </w:p>
    <w:p w14:paraId="0CB68B9C" w14:textId="77777777" w:rsidR="003B7027" w:rsidRPr="0028514E" w:rsidRDefault="00296A74" w:rsidP="006E5F9A">
      <w:pPr>
        <w:pStyle w:val="a4"/>
        <w:ind w:left="0"/>
      </w:pPr>
      <w:r w:rsidRPr="0028514E">
        <w:t>Pidä esitäytetyt kynät ulkopakkauksessa. Herkkä valolle. Herkkä kosteudelle.</w:t>
      </w:r>
    </w:p>
    <w:p w14:paraId="5216A415" w14:textId="77777777" w:rsidR="003B7027" w:rsidRPr="0028514E" w:rsidRDefault="003B7027" w:rsidP="006E5F9A">
      <w:pPr>
        <w:pStyle w:val="a4"/>
        <w:ind w:left="0"/>
      </w:pPr>
    </w:p>
    <w:p w14:paraId="49A18D40" w14:textId="45219894" w:rsidR="003B7027" w:rsidRPr="0028514E" w:rsidRDefault="00296A74" w:rsidP="006E5F9A">
      <w:pPr>
        <w:pStyle w:val="a4"/>
        <w:ind w:left="0"/>
      </w:pPr>
      <w:r w:rsidRPr="0028514E">
        <w:t xml:space="preserve">Älä käytä kynää, jos lääke on sameaa tai siinä on hiukkasia tai jos liuos ei ole väritöntä tai </w:t>
      </w:r>
      <w:r w:rsidR="00EF533A">
        <w:t>keltaista</w:t>
      </w:r>
      <w:r w:rsidR="00EF533A" w:rsidRPr="0028514E">
        <w:t xml:space="preserve"> </w:t>
      </w:r>
      <w:r w:rsidRPr="0028514E">
        <w:t>tai jos esitäytetyn kynän jokin osa vaikuttaa vialliselta.</w:t>
      </w:r>
    </w:p>
    <w:p w14:paraId="55B49F00" w14:textId="77777777" w:rsidR="00DB75D8" w:rsidRPr="0028514E" w:rsidRDefault="00DB75D8" w:rsidP="006E5F9A">
      <w:pPr>
        <w:pStyle w:val="a4"/>
        <w:ind w:left="0"/>
      </w:pPr>
    </w:p>
    <w:p w14:paraId="0D44992C" w14:textId="77777777" w:rsidR="003B7027" w:rsidRPr="0028514E" w:rsidRDefault="00296A74" w:rsidP="006E5F9A">
      <w:pPr>
        <w:pStyle w:val="a4"/>
        <w:ind w:left="0"/>
      </w:pPr>
      <w:r w:rsidRPr="0028514E">
        <w:t>Kynää ei saa ravistaa. Pistäminen on aloitettava 3 minuutin kuluessa siitä, kun neulan suojakorkki on poistettu, jotta lääkkeen kuivuminen ja neulan tukkeutuminen voidaan välttää. Jos esitäytettyä kynää ei käytetä 3 minuutin kuluessa siitä, kun neulan suojakorkki on poistettu, kynä on laitettava pistävälle ja viiltävälle jätteelle tarkoitettuun astiaan, ja käyttöön on otettava uusi esitäytetty kynä.</w:t>
      </w:r>
    </w:p>
    <w:p w14:paraId="1BB4DC1E" w14:textId="77777777" w:rsidR="003B7027" w:rsidRPr="0028514E" w:rsidRDefault="003B7027" w:rsidP="006E5F9A">
      <w:pPr>
        <w:pStyle w:val="a4"/>
        <w:ind w:left="0"/>
      </w:pPr>
    </w:p>
    <w:p w14:paraId="046D280B" w14:textId="26ADECEA" w:rsidR="003B7027" w:rsidRPr="0028514E" w:rsidRDefault="00296A74" w:rsidP="006E5F9A">
      <w:pPr>
        <w:pStyle w:val="a4"/>
        <w:ind w:left="0"/>
      </w:pPr>
      <w:r w:rsidRPr="0028514E">
        <w:t xml:space="preserve">Jos </w:t>
      </w:r>
      <w:r w:rsidR="00EF533A">
        <w:t>oranssi</w:t>
      </w:r>
      <w:r w:rsidR="00EF533A" w:rsidRPr="0028514E">
        <w:t xml:space="preserve"> </w:t>
      </w:r>
      <w:r w:rsidRPr="0028514E">
        <w:t xml:space="preserve">osoitin ei liiku </w:t>
      </w:r>
      <w:r w:rsidR="00EF533A">
        <w:t>neulansuojuksen</w:t>
      </w:r>
      <w:r w:rsidR="00EF533A" w:rsidRPr="0028514E">
        <w:t xml:space="preserve"> </w:t>
      </w:r>
      <w:r w:rsidRPr="0028514E">
        <w:t xml:space="preserve">painamisen jälkeen, sinun on laitettava esitäytetty kynä pistävälle ja viiltävälle jätteelle tarkoitettuun astiaan. </w:t>
      </w:r>
      <w:r w:rsidRPr="00CA43F5">
        <w:rPr>
          <w:bCs/>
        </w:rPr>
        <w:t>Älä</w:t>
      </w:r>
      <w:r w:rsidRPr="0028514E">
        <w:rPr>
          <w:b/>
        </w:rPr>
        <w:t xml:space="preserve"> </w:t>
      </w:r>
      <w:r w:rsidRPr="0028514E">
        <w:t xml:space="preserve">yritä käyttää esitäytettyä kynää uudelleen. </w:t>
      </w:r>
      <w:r w:rsidR="00EF533A">
        <w:t>Jos esitäytettyä kynää yritetään käyttää uudelleen, se lukittuu ja neulansuojus peittää neulan.</w:t>
      </w:r>
      <w:r w:rsidR="00EF533A" w:rsidRPr="0028514E">
        <w:t xml:space="preserve"> </w:t>
      </w:r>
      <w:r w:rsidRPr="0028514E">
        <w:t>Älä ota uutta pistosta uudella esitäytetyllä kynällä. Soita terveydenhuollon ammattilaiselle ja kysy neuvoa.</w:t>
      </w:r>
    </w:p>
    <w:p w14:paraId="6AA5E9DD" w14:textId="77777777" w:rsidR="003B7027" w:rsidRPr="004235FD" w:rsidRDefault="003B7027" w:rsidP="006E5F9A">
      <w:pPr>
        <w:pStyle w:val="a4"/>
        <w:ind w:left="0"/>
      </w:pPr>
    </w:p>
    <w:p w14:paraId="7A09A224" w14:textId="77777777" w:rsidR="00DB75D8" w:rsidRPr="004235FD" w:rsidRDefault="00DB75D8" w:rsidP="006E5F9A">
      <w:pPr>
        <w:pStyle w:val="a4"/>
        <w:ind w:left="0"/>
      </w:pPr>
    </w:p>
    <w:p w14:paraId="5E9E3DA1" w14:textId="77777777" w:rsidR="00DB75D8" w:rsidRPr="004235FD" w:rsidRDefault="00296A74" w:rsidP="00FD7485">
      <w:pPr>
        <w:pStyle w:val="2"/>
        <w:tabs>
          <w:tab w:val="clear" w:pos="603"/>
        </w:tabs>
      </w:pPr>
      <w:r w:rsidRPr="004235FD">
        <w:t>6.</w:t>
      </w:r>
      <w:r w:rsidRPr="004235FD">
        <w:tab/>
        <w:t>Pakkauksen sisältö ja muuta tietoa</w:t>
      </w:r>
    </w:p>
    <w:p w14:paraId="77AF41BF" w14:textId="77777777" w:rsidR="00DB75D8" w:rsidRPr="004235FD" w:rsidRDefault="00DB75D8" w:rsidP="00DD705A"/>
    <w:p w14:paraId="197A2AAF" w14:textId="79668AD2" w:rsidR="003B7027" w:rsidRPr="009A3CB5" w:rsidRDefault="00296A74" w:rsidP="009A3CB5">
      <w:pPr>
        <w:rPr>
          <w:b/>
          <w:bCs/>
          <w:lang w:val="fi-FI"/>
        </w:rPr>
      </w:pPr>
      <w:r w:rsidRPr="009A3CB5">
        <w:rPr>
          <w:b/>
          <w:bCs/>
          <w:lang w:val="fi-FI"/>
        </w:rPr>
        <w:t xml:space="preserve">Mitä </w:t>
      </w:r>
      <w:r w:rsidR="00EF533A" w:rsidRPr="009A3CB5">
        <w:rPr>
          <w:b/>
          <w:bCs/>
          <w:lang w:val="fi-FI"/>
        </w:rPr>
        <w:t>Avtozma</w:t>
      </w:r>
      <w:r w:rsidRPr="009A3CB5">
        <w:rPr>
          <w:b/>
          <w:bCs/>
          <w:lang w:val="fi-FI"/>
        </w:rPr>
        <w:t xml:space="preserve"> sisältää</w:t>
      </w:r>
    </w:p>
    <w:p w14:paraId="7EC43D6F" w14:textId="77777777" w:rsidR="003B7027" w:rsidRPr="004235FD" w:rsidRDefault="00296A74" w:rsidP="004235FD">
      <w:pPr>
        <w:pStyle w:val="a"/>
      </w:pPr>
      <w:r w:rsidRPr="004235FD">
        <w:t>Vaikuttava aine on tosilitsumabi.</w:t>
      </w:r>
    </w:p>
    <w:p w14:paraId="4975BE90" w14:textId="77777777" w:rsidR="003B7027" w:rsidRPr="004235FD" w:rsidRDefault="00296A74" w:rsidP="00FD7485">
      <w:pPr>
        <w:pStyle w:val="a4"/>
        <w:ind w:left="567"/>
      </w:pPr>
      <w:r w:rsidRPr="004235FD">
        <w:t>Jokainen esitäytetty kynä sisältää 162 mg tosilitsumabia 0,9 ml:ssa.</w:t>
      </w:r>
    </w:p>
    <w:p w14:paraId="451C823D" w14:textId="77777777" w:rsidR="003B7027" w:rsidRPr="004235FD" w:rsidRDefault="003B7027" w:rsidP="00B8051F">
      <w:pPr>
        <w:pStyle w:val="a4"/>
        <w:ind w:left="0"/>
      </w:pPr>
    </w:p>
    <w:p w14:paraId="71BD3586" w14:textId="0FCEA427" w:rsidR="003B7027" w:rsidRPr="004235FD" w:rsidRDefault="00296A74" w:rsidP="004235FD">
      <w:pPr>
        <w:pStyle w:val="a"/>
      </w:pPr>
      <w:r w:rsidRPr="004235FD">
        <w:t>Muut aineet ovat L-histidiini,</w:t>
      </w:r>
      <w:r w:rsidR="00A5656C" w:rsidRPr="00A5656C">
        <w:t xml:space="preserve"> </w:t>
      </w:r>
      <w:r w:rsidR="00C26E34" w:rsidRPr="00C26E34">
        <w:rPr>
          <w:rFonts w:eastAsia="맑은 고딕" w:hint="eastAsia"/>
          <w:lang w:eastAsia="ko-KR"/>
        </w:rPr>
        <w:t>L-histidiinimonohydrokloridimonohydraatti</w:t>
      </w:r>
      <w:r w:rsidR="00A5656C">
        <w:rPr>
          <w:rFonts w:eastAsia="맑은 고딕" w:hint="eastAsia"/>
          <w:lang w:eastAsia="ko-KR"/>
        </w:rPr>
        <w:t>,</w:t>
      </w:r>
      <w:r w:rsidRPr="004235FD">
        <w:t xml:space="preserve"> </w:t>
      </w:r>
      <w:r w:rsidR="00EF533A">
        <w:t>L-treoniini</w:t>
      </w:r>
      <w:r w:rsidRPr="004235FD">
        <w:t xml:space="preserve">, </w:t>
      </w:r>
      <w:r w:rsidR="00915253">
        <w:t>L‑metioniini</w:t>
      </w:r>
      <w:r w:rsidR="00915253">
        <w:rPr>
          <w:rFonts w:eastAsia="맑은 고딕" w:hint="eastAsia"/>
          <w:lang w:eastAsia="ko-KR"/>
        </w:rPr>
        <w:t xml:space="preserve">, </w:t>
      </w:r>
      <w:r w:rsidRPr="004235FD">
        <w:t>polysorbaatti 80, injektionesteisiin käytettävä vesi.</w:t>
      </w:r>
    </w:p>
    <w:p w14:paraId="02BB4DF2" w14:textId="77777777" w:rsidR="003B7027" w:rsidRPr="004235FD" w:rsidRDefault="003B7027" w:rsidP="006E5F9A">
      <w:pPr>
        <w:pStyle w:val="a4"/>
        <w:ind w:left="0"/>
      </w:pPr>
    </w:p>
    <w:p w14:paraId="66A9DE8E" w14:textId="77777777" w:rsidR="003B7027" w:rsidRPr="009A3CB5" w:rsidRDefault="00296A74" w:rsidP="009A3CB5">
      <w:pPr>
        <w:rPr>
          <w:b/>
          <w:bCs/>
          <w:lang w:val="fi-FI"/>
        </w:rPr>
      </w:pPr>
      <w:r w:rsidRPr="009A3CB5">
        <w:rPr>
          <w:b/>
          <w:bCs/>
          <w:lang w:val="fi-FI"/>
        </w:rPr>
        <w:t>Lääkevalmisteen kuvaus ja pakkauskoot</w:t>
      </w:r>
    </w:p>
    <w:p w14:paraId="1DCBDCC9" w14:textId="032520B8" w:rsidR="003B7027" w:rsidRPr="004235FD" w:rsidRDefault="00EF533A" w:rsidP="006E5F9A">
      <w:pPr>
        <w:pStyle w:val="a4"/>
        <w:ind w:left="0"/>
      </w:pPr>
      <w:r>
        <w:t>Avtozma</w:t>
      </w:r>
      <w:r w:rsidR="00296A74" w:rsidRPr="004235FD">
        <w:t xml:space="preserve"> on injektioneste, liuos. Liuos on väritöntä tai </w:t>
      </w:r>
      <w:r w:rsidR="007577E8">
        <w:t>keltaista</w:t>
      </w:r>
      <w:r w:rsidR="00296A74" w:rsidRPr="004235FD">
        <w:t>.</w:t>
      </w:r>
    </w:p>
    <w:p w14:paraId="30E1C46A" w14:textId="77777777" w:rsidR="00DB75D8" w:rsidRPr="004235FD" w:rsidRDefault="00DB75D8" w:rsidP="006E5F9A">
      <w:pPr>
        <w:pStyle w:val="a4"/>
        <w:ind w:left="0"/>
      </w:pPr>
    </w:p>
    <w:p w14:paraId="6038F597" w14:textId="46E5DA14" w:rsidR="003B7027" w:rsidRDefault="00EF533A" w:rsidP="006E5F9A">
      <w:pPr>
        <w:pStyle w:val="a4"/>
        <w:ind w:left="0"/>
      </w:pPr>
      <w:r>
        <w:t>Avtozma</w:t>
      </w:r>
      <w:r w:rsidR="00296A74" w:rsidRPr="004235FD">
        <w:t xml:space="preserve"> on pakattu 0,9 ml:n esitäytettyyn kynään, joka sisältää 162 mg tosilitsumabi- injektionestettä, liuosta.</w:t>
      </w:r>
    </w:p>
    <w:p w14:paraId="34FC4A9C" w14:textId="77777777" w:rsidR="00EF533A" w:rsidRDefault="00EF533A" w:rsidP="006E5F9A">
      <w:pPr>
        <w:pStyle w:val="a4"/>
        <w:ind w:left="0"/>
      </w:pPr>
    </w:p>
    <w:p w14:paraId="36774DB2" w14:textId="77777777" w:rsidR="00EF533A" w:rsidRDefault="00EF533A" w:rsidP="00EF533A">
      <w:pPr>
        <w:pStyle w:val="a4"/>
        <w:ind w:left="0"/>
      </w:pPr>
      <w:r>
        <w:t>Potilaan käyttöön tarkoitettuja esitäytettyjä Avtozma-kyniä on saatavilla pakkauksissa, jotka sisältävät:</w:t>
      </w:r>
    </w:p>
    <w:p w14:paraId="19EC69ED" w14:textId="77777777" w:rsidR="00EF533A" w:rsidRDefault="00EF533A" w:rsidP="00EF533A">
      <w:pPr>
        <w:pStyle w:val="a"/>
      </w:pPr>
      <w:r>
        <w:t>1 esitäytetyn kynän</w:t>
      </w:r>
    </w:p>
    <w:p w14:paraId="69F82E55" w14:textId="77777777" w:rsidR="003B2CC6" w:rsidRPr="003B2CC6" w:rsidRDefault="003B2CC6" w:rsidP="00EF533A">
      <w:pPr>
        <w:pStyle w:val="a"/>
        <w:rPr>
          <w:ins w:id="51" w:author="만든 이"/>
          <w:rPrChange w:id="52" w:author="만든 이">
            <w:rPr>
              <w:ins w:id="53" w:author="만든 이"/>
              <w:rFonts w:eastAsia="맑은 고딕"/>
              <w:lang w:eastAsia="ko-KR"/>
            </w:rPr>
          </w:rPrChange>
        </w:rPr>
      </w:pPr>
      <w:ins w:id="54" w:author="만든 이">
        <w:r>
          <w:rPr>
            <w:rFonts w:eastAsia="맑은 고딕" w:hint="eastAsia"/>
            <w:lang w:eastAsia="ko-KR"/>
          </w:rPr>
          <w:t>2</w:t>
        </w:r>
        <w:r>
          <w:t xml:space="preserve"> esitäytettyä kynää </w:t>
        </w:r>
      </w:ins>
    </w:p>
    <w:p w14:paraId="1DA86EC9" w14:textId="7B724619" w:rsidR="00EF533A" w:rsidRDefault="00EF533A" w:rsidP="00EF533A">
      <w:pPr>
        <w:pStyle w:val="a"/>
      </w:pPr>
      <w:r>
        <w:t>4 esitäytettyä kynää</w:t>
      </w:r>
    </w:p>
    <w:p w14:paraId="61AEC5A5" w14:textId="6BB63139" w:rsidR="00EF533A" w:rsidRDefault="00EF533A" w:rsidP="00EF533A">
      <w:pPr>
        <w:pStyle w:val="a"/>
      </w:pPr>
      <w:r>
        <w:t xml:space="preserve">12 esitäytettyä kynää </w:t>
      </w:r>
      <w:r w:rsidR="005936BF">
        <w:t>(3 pakkausta, joissa kussakin 4 esitäytettyä kynä</w:t>
      </w:r>
      <w:r w:rsidR="00CD0910">
        <w:t>ä</w:t>
      </w:r>
      <w:r w:rsidR="005936BF">
        <w:t xml:space="preserve">) </w:t>
      </w:r>
      <w:r>
        <w:t>(monipakkaus)</w:t>
      </w:r>
    </w:p>
    <w:p w14:paraId="04328EF4" w14:textId="77777777" w:rsidR="003B7027" w:rsidRPr="004235FD" w:rsidRDefault="003B7027" w:rsidP="006E5F9A">
      <w:pPr>
        <w:pStyle w:val="a4"/>
        <w:ind w:left="0"/>
      </w:pPr>
    </w:p>
    <w:p w14:paraId="22A2EC1A" w14:textId="7AEC10B9" w:rsidR="003B7027" w:rsidRPr="004235FD" w:rsidRDefault="00296A74" w:rsidP="006E5F9A">
      <w:pPr>
        <w:pStyle w:val="a4"/>
        <w:ind w:left="0"/>
      </w:pPr>
      <w:r w:rsidRPr="004235FD">
        <w:t>Kaikkia pakkauskokoja ei välttämättä ole myynnissä.</w:t>
      </w:r>
    </w:p>
    <w:p w14:paraId="5F486388" w14:textId="77777777" w:rsidR="003B7027" w:rsidRPr="004235FD" w:rsidRDefault="003B7027" w:rsidP="006E5F9A">
      <w:pPr>
        <w:pStyle w:val="a4"/>
        <w:ind w:left="0"/>
      </w:pPr>
    </w:p>
    <w:p w14:paraId="1CFE6CAC" w14:textId="77777777" w:rsidR="00EF533A" w:rsidRPr="009A3CB5" w:rsidRDefault="00296A74" w:rsidP="009A3CB5">
      <w:pPr>
        <w:rPr>
          <w:b/>
          <w:bCs/>
          <w:lang w:val="fi-FI"/>
        </w:rPr>
      </w:pPr>
      <w:r w:rsidRPr="009A3CB5">
        <w:rPr>
          <w:b/>
          <w:bCs/>
          <w:lang w:val="fi-FI"/>
        </w:rPr>
        <w:t xml:space="preserve">Myyntiluvan haltija </w:t>
      </w:r>
    </w:p>
    <w:p w14:paraId="6A1D32B1" w14:textId="77777777" w:rsidR="00EF533A" w:rsidRPr="00E919A5" w:rsidRDefault="00EF533A" w:rsidP="00EF533A">
      <w:pPr>
        <w:keepNext/>
        <w:rPr>
          <w:lang w:val="fi-FI"/>
        </w:rPr>
      </w:pPr>
      <w:r w:rsidRPr="00E919A5">
        <w:rPr>
          <w:lang w:val="fi-FI"/>
        </w:rPr>
        <w:lastRenderedPageBreak/>
        <w:t>Celltrion Healthcare Hungary Kft.</w:t>
      </w:r>
    </w:p>
    <w:p w14:paraId="7D2EA902" w14:textId="77777777" w:rsidR="00EF533A" w:rsidRPr="00E919A5" w:rsidRDefault="00EF533A" w:rsidP="00EF533A">
      <w:pPr>
        <w:keepNext/>
        <w:rPr>
          <w:lang w:val="fi-FI"/>
        </w:rPr>
      </w:pPr>
      <w:r w:rsidRPr="00E919A5">
        <w:rPr>
          <w:lang w:val="fi-FI"/>
        </w:rPr>
        <w:t>1062 Budapest</w:t>
      </w:r>
    </w:p>
    <w:p w14:paraId="0216A379" w14:textId="77777777" w:rsidR="00EF533A" w:rsidRPr="00DE67E9" w:rsidRDefault="00EF533A" w:rsidP="00EF533A">
      <w:pPr>
        <w:keepNext/>
      </w:pPr>
      <w:r w:rsidRPr="00DE67E9">
        <w:t xml:space="preserve">Váci </w:t>
      </w:r>
      <w:proofErr w:type="spellStart"/>
      <w:r w:rsidRPr="00DE67E9">
        <w:t>út</w:t>
      </w:r>
      <w:proofErr w:type="spellEnd"/>
      <w:r w:rsidRPr="00DE67E9">
        <w:t xml:space="preserve"> 1-3. </w:t>
      </w:r>
      <w:proofErr w:type="spellStart"/>
      <w:r w:rsidRPr="00DE67E9">
        <w:t>WestEnd</w:t>
      </w:r>
      <w:proofErr w:type="spellEnd"/>
      <w:r w:rsidRPr="00DE67E9">
        <w:t xml:space="preserve"> Office Building B </w:t>
      </w:r>
      <w:proofErr w:type="spellStart"/>
      <w:r w:rsidRPr="00DE67E9">
        <w:t>torony</w:t>
      </w:r>
      <w:proofErr w:type="spellEnd"/>
    </w:p>
    <w:p w14:paraId="4490A453" w14:textId="258B9B66" w:rsidR="003B7027" w:rsidRPr="00CA43F5" w:rsidRDefault="00EF533A" w:rsidP="006E5F9A">
      <w:pPr>
        <w:pStyle w:val="a4"/>
        <w:ind w:left="0"/>
        <w:rPr>
          <w:lang w:val="sv-SE"/>
        </w:rPr>
      </w:pPr>
      <w:r w:rsidRPr="00CA43F5">
        <w:rPr>
          <w:lang w:val="sv-SE"/>
        </w:rPr>
        <w:t>Unkari</w:t>
      </w:r>
    </w:p>
    <w:p w14:paraId="7BFCDA3E" w14:textId="77777777" w:rsidR="00DB75D8" w:rsidRPr="00CA43F5" w:rsidRDefault="00DB75D8" w:rsidP="006E5F9A">
      <w:pPr>
        <w:pStyle w:val="a4"/>
        <w:ind w:left="0"/>
        <w:rPr>
          <w:lang w:val="sv-SE"/>
        </w:rPr>
      </w:pPr>
    </w:p>
    <w:p w14:paraId="2E4D716A" w14:textId="77777777" w:rsidR="003B7027" w:rsidRPr="009A3CB5" w:rsidRDefault="00296A74" w:rsidP="009A3CB5">
      <w:pPr>
        <w:rPr>
          <w:b/>
          <w:bCs/>
          <w:lang w:val="fi-FI"/>
        </w:rPr>
      </w:pPr>
      <w:r w:rsidRPr="009A3CB5">
        <w:rPr>
          <w:b/>
          <w:bCs/>
          <w:lang w:val="fi-FI"/>
        </w:rPr>
        <w:t>Valmistaja</w:t>
      </w:r>
    </w:p>
    <w:p w14:paraId="1BAA2C2D" w14:textId="77777777" w:rsidR="00EF533A" w:rsidRPr="00CA43F5" w:rsidRDefault="00EF533A" w:rsidP="00EF533A">
      <w:pPr>
        <w:keepNext/>
        <w:rPr>
          <w:lang w:val="sv-SE"/>
        </w:rPr>
      </w:pPr>
      <w:r w:rsidRPr="00CA43F5">
        <w:rPr>
          <w:lang w:val="sv-SE"/>
        </w:rPr>
        <w:t>Nuvisan France SARL</w:t>
      </w:r>
    </w:p>
    <w:p w14:paraId="6A6D717E" w14:textId="77777777" w:rsidR="00EF533A" w:rsidRPr="00CA43F5" w:rsidRDefault="00EF533A" w:rsidP="00EF533A">
      <w:pPr>
        <w:keepNext/>
        <w:rPr>
          <w:lang w:val="sv-SE"/>
        </w:rPr>
      </w:pPr>
      <w:r w:rsidRPr="00CA43F5">
        <w:rPr>
          <w:lang w:val="sv-SE"/>
        </w:rPr>
        <w:t>2400</w:t>
      </w:r>
      <w:del w:id="55" w:author="만든 이">
        <w:r w:rsidRPr="00CA43F5" w:rsidDel="00BB5A61">
          <w:rPr>
            <w:lang w:val="sv-SE"/>
          </w:rPr>
          <w:delText>,</w:delText>
        </w:r>
      </w:del>
      <w:r w:rsidRPr="00CA43F5">
        <w:rPr>
          <w:lang w:val="sv-SE"/>
        </w:rPr>
        <w:t xml:space="preserve"> Route des Colles, </w:t>
      </w:r>
    </w:p>
    <w:p w14:paraId="03A7E2FE" w14:textId="77777777" w:rsidR="00EF533A" w:rsidRPr="00CA43F5" w:rsidRDefault="00EF533A" w:rsidP="00EF533A">
      <w:pPr>
        <w:keepNext/>
        <w:rPr>
          <w:lang w:val="sv-SE"/>
        </w:rPr>
      </w:pPr>
      <w:r w:rsidRPr="00CA43F5">
        <w:rPr>
          <w:lang w:val="sv-SE"/>
        </w:rPr>
        <w:t>06410</w:t>
      </w:r>
      <w:del w:id="56" w:author="만든 이">
        <w:r w:rsidRPr="00CA43F5" w:rsidDel="00BB5A61">
          <w:rPr>
            <w:lang w:val="sv-SE"/>
          </w:rPr>
          <w:delText>,</w:delText>
        </w:r>
      </w:del>
      <w:r w:rsidRPr="00CA43F5">
        <w:rPr>
          <w:lang w:val="sv-SE"/>
        </w:rPr>
        <w:t xml:space="preserve"> Biot, </w:t>
      </w:r>
    </w:p>
    <w:p w14:paraId="5ABBD32F" w14:textId="08BF325C" w:rsidR="00EF533A" w:rsidRPr="00CA43F5" w:rsidRDefault="00EF533A" w:rsidP="00EF533A">
      <w:pPr>
        <w:rPr>
          <w:lang w:val="sv-SE"/>
        </w:rPr>
      </w:pPr>
      <w:r w:rsidRPr="00CA43F5">
        <w:rPr>
          <w:lang w:val="sv-SE"/>
        </w:rPr>
        <w:t>Ranska</w:t>
      </w:r>
    </w:p>
    <w:p w14:paraId="72A192A7" w14:textId="77777777" w:rsidR="00EF533A" w:rsidRPr="00CA43F5" w:rsidRDefault="00EF533A" w:rsidP="00EF533A">
      <w:pPr>
        <w:rPr>
          <w:lang w:val="sv-SE"/>
        </w:rPr>
      </w:pPr>
    </w:p>
    <w:p w14:paraId="3B84160A" w14:textId="77777777" w:rsidR="00EF533A" w:rsidRPr="00CA43F5" w:rsidRDefault="00EF533A" w:rsidP="00EF533A">
      <w:pPr>
        <w:keepNext/>
        <w:rPr>
          <w:lang w:val="sv-SE"/>
        </w:rPr>
      </w:pPr>
      <w:r w:rsidRPr="00CA43F5">
        <w:rPr>
          <w:lang w:val="sv-SE"/>
        </w:rPr>
        <w:t>Midas Pharma GmbH</w:t>
      </w:r>
    </w:p>
    <w:p w14:paraId="554E63C2" w14:textId="77777777" w:rsidR="00EF533A" w:rsidRPr="00CA43F5" w:rsidRDefault="00EF533A" w:rsidP="00EF533A">
      <w:pPr>
        <w:keepNext/>
        <w:rPr>
          <w:lang w:val="sv-SE"/>
        </w:rPr>
      </w:pPr>
      <w:r w:rsidRPr="00CA43F5">
        <w:rPr>
          <w:lang w:val="sv-SE"/>
        </w:rPr>
        <w:t xml:space="preserve">Rheinstr. 49, </w:t>
      </w:r>
    </w:p>
    <w:p w14:paraId="3B55F96C" w14:textId="77777777" w:rsidR="00EF533A" w:rsidRPr="00CA43F5" w:rsidRDefault="00EF533A" w:rsidP="00EF533A">
      <w:pPr>
        <w:keepNext/>
        <w:rPr>
          <w:lang w:val="sv-SE"/>
        </w:rPr>
      </w:pPr>
      <w:r w:rsidRPr="00CA43F5">
        <w:rPr>
          <w:lang w:val="sv-SE"/>
        </w:rPr>
        <w:t>55218 Ingelheim,</w:t>
      </w:r>
    </w:p>
    <w:p w14:paraId="6C4E65F2" w14:textId="4BCF5D7F" w:rsidR="00EF533A" w:rsidRPr="00CA43F5" w:rsidRDefault="00EF533A" w:rsidP="00EF533A">
      <w:pPr>
        <w:rPr>
          <w:lang w:val="sv-SE"/>
        </w:rPr>
      </w:pPr>
      <w:r w:rsidRPr="00CA43F5">
        <w:rPr>
          <w:lang w:val="sv-SE"/>
        </w:rPr>
        <w:t>Saksa</w:t>
      </w:r>
    </w:p>
    <w:p w14:paraId="16A9DA38" w14:textId="77777777" w:rsidR="00EF533A" w:rsidRPr="00CA43F5" w:rsidRDefault="00EF533A" w:rsidP="00EF533A">
      <w:pPr>
        <w:rPr>
          <w:lang w:val="sv-SE"/>
        </w:rPr>
      </w:pPr>
    </w:p>
    <w:p w14:paraId="0D256000" w14:textId="77777777" w:rsidR="00EF533A" w:rsidRPr="00CA43F5" w:rsidRDefault="00EF533A" w:rsidP="00EF533A">
      <w:pPr>
        <w:keepNext/>
        <w:rPr>
          <w:lang w:val="sv-SE"/>
        </w:rPr>
      </w:pPr>
      <w:r w:rsidRPr="00CA43F5">
        <w:rPr>
          <w:lang w:val="sv-SE"/>
        </w:rPr>
        <w:t xml:space="preserve">KYMOS S.L. </w:t>
      </w:r>
    </w:p>
    <w:p w14:paraId="6DE0A8AE" w14:textId="77777777" w:rsidR="00EF533A" w:rsidRPr="00CA43F5" w:rsidRDefault="00EF533A" w:rsidP="00EF533A">
      <w:pPr>
        <w:keepNext/>
        <w:rPr>
          <w:lang w:val="sv-SE"/>
        </w:rPr>
      </w:pPr>
      <w:r w:rsidRPr="00CA43F5">
        <w:rPr>
          <w:lang w:val="sv-SE"/>
        </w:rPr>
        <w:t xml:space="preserve">Ronda Can Fatjó, 7B. </w:t>
      </w:r>
    </w:p>
    <w:p w14:paraId="5EB3FC64" w14:textId="77777777" w:rsidR="00EF533A" w:rsidRPr="00CA43F5" w:rsidRDefault="00EF533A" w:rsidP="00EF533A">
      <w:pPr>
        <w:keepNext/>
        <w:rPr>
          <w:lang w:val="sv-SE"/>
        </w:rPr>
      </w:pPr>
      <w:r w:rsidRPr="00CA43F5">
        <w:rPr>
          <w:lang w:val="sv-SE"/>
        </w:rPr>
        <w:t xml:space="preserve">08290 Cerdanyola del Vallès, </w:t>
      </w:r>
    </w:p>
    <w:p w14:paraId="39E678CC" w14:textId="77777777" w:rsidR="00EF533A" w:rsidRPr="00CA43F5" w:rsidRDefault="00EF533A" w:rsidP="00EF533A">
      <w:pPr>
        <w:keepNext/>
        <w:rPr>
          <w:lang w:val="fi-FI"/>
        </w:rPr>
      </w:pPr>
      <w:r w:rsidRPr="00CA43F5">
        <w:rPr>
          <w:lang w:val="fi-FI"/>
        </w:rPr>
        <w:t xml:space="preserve">Barcelona, </w:t>
      </w:r>
    </w:p>
    <w:p w14:paraId="162CAF93" w14:textId="3B63BC56" w:rsidR="003B7027" w:rsidRPr="0028514E" w:rsidRDefault="00EF533A" w:rsidP="006E5F9A">
      <w:pPr>
        <w:pStyle w:val="a4"/>
        <w:ind w:left="0"/>
      </w:pPr>
      <w:r>
        <w:t>Espanja</w:t>
      </w:r>
    </w:p>
    <w:p w14:paraId="4B58621C" w14:textId="77777777" w:rsidR="00DB75D8" w:rsidRPr="0028514E" w:rsidRDefault="00DB75D8" w:rsidP="006E5F9A">
      <w:pPr>
        <w:pStyle w:val="a4"/>
        <w:ind w:left="0"/>
      </w:pPr>
    </w:p>
    <w:p w14:paraId="18B89F7F" w14:textId="77777777" w:rsidR="003B7027" w:rsidRDefault="00296A74" w:rsidP="006E5F9A">
      <w:pPr>
        <w:pStyle w:val="a4"/>
        <w:ind w:left="0"/>
      </w:pPr>
      <w:r w:rsidRPr="0028514E">
        <w:t>Lisätietoja tästä lääkevalmisteesta antaa myyntiluvan haltijan paikallinen edustaja:</w:t>
      </w:r>
    </w:p>
    <w:p w14:paraId="02E3DC41" w14:textId="77777777" w:rsidR="00EF533A" w:rsidRDefault="00EF533A" w:rsidP="006E5F9A">
      <w:pPr>
        <w:pStyle w:val="a4"/>
        <w:ind w:left="0"/>
      </w:pPr>
    </w:p>
    <w:tbl>
      <w:tblPr>
        <w:tblW w:w="5000" w:type="pct"/>
        <w:tblLayout w:type="fixed"/>
        <w:tblCellMar>
          <w:top w:w="28" w:type="dxa"/>
          <w:bottom w:w="28" w:type="dxa"/>
        </w:tblCellMar>
        <w:tblLook w:val="04A0" w:firstRow="1" w:lastRow="0" w:firstColumn="1" w:lastColumn="0" w:noHBand="0" w:noVBand="1"/>
      </w:tblPr>
      <w:tblGrid>
        <w:gridCol w:w="4537"/>
        <w:gridCol w:w="4537"/>
      </w:tblGrid>
      <w:tr w:rsidR="009C440C" w:rsidRPr="00EF533A" w14:paraId="417433CB" w14:textId="77777777">
        <w:trPr>
          <w:cantSplit/>
        </w:trPr>
        <w:tc>
          <w:tcPr>
            <w:tcW w:w="2500" w:type="pct"/>
            <w:hideMark/>
          </w:tcPr>
          <w:p w14:paraId="28FFC25E" w14:textId="77777777" w:rsidR="00EF533A" w:rsidRDefault="00EF533A">
            <w:pPr>
              <w:suppressAutoHyphens/>
              <w:rPr>
                <w:b/>
                <w:noProof/>
                <w:lang w:eastAsia="fr-FR"/>
              </w:rPr>
            </w:pPr>
            <w:r>
              <w:rPr>
                <w:rFonts w:eastAsia="맑은 고딕"/>
                <w:b/>
                <w:noProof/>
                <w:lang w:eastAsia="fr-FR"/>
              </w:rPr>
              <w:t>België/Belgique/Belgien</w:t>
            </w:r>
          </w:p>
          <w:p w14:paraId="76D0529B" w14:textId="77777777" w:rsidR="00EF533A" w:rsidRDefault="00EF533A">
            <w:pPr>
              <w:suppressAutoHyphens/>
              <w:rPr>
                <w:rFonts w:eastAsia="맑은 고딕"/>
                <w:noProof/>
                <w:lang w:eastAsia="fr-FR"/>
              </w:rPr>
            </w:pPr>
            <w:r>
              <w:rPr>
                <w:rFonts w:eastAsia="맑은 고딕"/>
                <w:noProof/>
                <w:lang w:eastAsia="fr-FR"/>
              </w:rPr>
              <w:t>Celltrion Healthcare Belgium BVBA</w:t>
            </w:r>
          </w:p>
          <w:p w14:paraId="30FE08EF" w14:textId="77777777" w:rsidR="00EF533A" w:rsidRDefault="00EF533A">
            <w:pPr>
              <w:suppressAutoHyphens/>
              <w:rPr>
                <w:rFonts w:eastAsia="맑은 고딕"/>
                <w:noProof/>
                <w:lang w:eastAsia="fr-FR"/>
              </w:rPr>
            </w:pPr>
            <w:r>
              <w:rPr>
                <w:rFonts w:eastAsia="맑은 고딕"/>
                <w:noProof/>
                <w:lang w:eastAsia="fr-FR"/>
              </w:rPr>
              <w:t xml:space="preserve">Tél/Tel: </w:t>
            </w:r>
            <w:r>
              <w:rPr>
                <w:rFonts w:eastAsia="맑은 고딕"/>
                <w:noProof/>
                <w:lang w:val="de-CH" w:eastAsia="fr-FR"/>
              </w:rPr>
              <w:t>+32 2 643 71 81</w:t>
            </w:r>
          </w:p>
          <w:p w14:paraId="1CA97FC9" w14:textId="77777777" w:rsidR="00EF533A" w:rsidRDefault="00EF533A">
            <w:pPr>
              <w:suppressAutoHyphens/>
              <w:rPr>
                <w:rFonts w:eastAsia="맑은 고딕"/>
                <w:noProof/>
                <w:lang w:eastAsia="fr-FR"/>
              </w:rPr>
            </w:pPr>
            <w:hyperlink r:id="rId33" w:history="1">
              <w:r>
                <w:rPr>
                  <w:rStyle w:val="ad"/>
                  <w:rFonts w:eastAsia="맑은 고딕"/>
                  <w:noProof/>
                  <w:lang w:eastAsia="fr-FR"/>
                </w:rPr>
                <w:t>BEinfo@celltrionhc.com</w:t>
              </w:r>
            </w:hyperlink>
          </w:p>
          <w:p w14:paraId="2D97F605" w14:textId="77777777" w:rsidR="00EF533A" w:rsidRDefault="00EF533A">
            <w:pPr>
              <w:suppressAutoHyphens/>
              <w:rPr>
                <w:rFonts w:eastAsia="맑은 고딕"/>
                <w:noProof/>
                <w:lang w:eastAsia="ko-KR"/>
              </w:rPr>
            </w:pPr>
          </w:p>
        </w:tc>
        <w:tc>
          <w:tcPr>
            <w:tcW w:w="2500" w:type="pct"/>
          </w:tcPr>
          <w:p w14:paraId="39C5F9E7" w14:textId="77777777" w:rsidR="00EF533A" w:rsidRDefault="00EF533A">
            <w:pPr>
              <w:tabs>
                <w:tab w:val="left" w:pos="-720"/>
              </w:tabs>
              <w:suppressAutoHyphens/>
              <w:rPr>
                <w:b/>
                <w:noProof/>
                <w:lang w:eastAsia="fr-FR"/>
              </w:rPr>
            </w:pPr>
            <w:r>
              <w:rPr>
                <w:b/>
                <w:noProof/>
                <w:lang w:eastAsia="fr-FR"/>
              </w:rPr>
              <w:t>Lietuva</w:t>
            </w:r>
          </w:p>
          <w:p w14:paraId="7B10F5D2" w14:textId="77777777" w:rsidR="00EF533A" w:rsidRDefault="00EF533A">
            <w:pPr>
              <w:tabs>
                <w:tab w:val="left" w:pos="-720"/>
              </w:tabs>
              <w:suppressAutoHyphens/>
              <w:rPr>
                <w:rFonts w:eastAsia="맑은 고딕"/>
                <w:noProof/>
                <w:lang w:eastAsia="fr-FR"/>
              </w:rPr>
            </w:pPr>
            <w:r>
              <w:rPr>
                <w:rFonts w:eastAsia="맑은 고딕"/>
                <w:noProof/>
                <w:lang w:eastAsia="fr-FR"/>
              </w:rPr>
              <w:t>Celltrion Healthcare Hungary Kft.</w:t>
            </w:r>
          </w:p>
          <w:p w14:paraId="54B37080" w14:textId="77777777" w:rsidR="00EF533A" w:rsidRPr="00EF533A" w:rsidRDefault="00EF533A">
            <w:pPr>
              <w:suppressAutoHyphens/>
              <w:autoSpaceDE w:val="0"/>
              <w:autoSpaceDN w:val="0"/>
              <w:adjustRightInd w:val="0"/>
              <w:rPr>
                <w:noProof/>
                <w:lang w:eastAsia="fr-FR"/>
              </w:rPr>
            </w:pPr>
            <w:r>
              <w:rPr>
                <w:rFonts w:eastAsia="맑은 고딕"/>
                <w:noProof/>
                <w:lang w:eastAsia="fr-FR"/>
              </w:rPr>
              <w:t>Tel.: +36 1 231 0493</w:t>
            </w:r>
          </w:p>
          <w:p w14:paraId="02EFB80B" w14:textId="77777777" w:rsidR="00EF533A" w:rsidRPr="00EF533A" w:rsidRDefault="00EF533A">
            <w:pPr>
              <w:suppressAutoHyphens/>
              <w:autoSpaceDE w:val="0"/>
              <w:autoSpaceDN w:val="0"/>
              <w:adjustRightInd w:val="0"/>
              <w:rPr>
                <w:noProof/>
                <w:lang w:eastAsia="fr-FR"/>
              </w:rPr>
            </w:pPr>
          </w:p>
        </w:tc>
      </w:tr>
      <w:tr w:rsidR="009C440C" w:rsidRPr="00EF533A" w14:paraId="32459F5F" w14:textId="77777777">
        <w:trPr>
          <w:cantSplit/>
        </w:trPr>
        <w:tc>
          <w:tcPr>
            <w:tcW w:w="2500" w:type="pct"/>
          </w:tcPr>
          <w:p w14:paraId="21F3DCA0" w14:textId="77777777" w:rsidR="00EF533A" w:rsidRDefault="00EF533A">
            <w:pPr>
              <w:suppressAutoHyphens/>
              <w:rPr>
                <w:rFonts w:eastAsia="맑은 고딕"/>
                <w:b/>
                <w:noProof/>
                <w:lang w:eastAsia="fr-FR"/>
              </w:rPr>
            </w:pPr>
            <w:r>
              <w:rPr>
                <w:b/>
                <w:bCs/>
              </w:rPr>
              <w:t>България</w:t>
            </w:r>
          </w:p>
          <w:p w14:paraId="2363A37E" w14:textId="77777777" w:rsidR="00EF533A" w:rsidRDefault="00EF533A">
            <w:pPr>
              <w:tabs>
                <w:tab w:val="left" w:pos="-720"/>
              </w:tabs>
              <w:suppressAutoHyphens/>
              <w:rPr>
                <w:rFonts w:eastAsia="맑은 고딕"/>
                <w:noProof/>
                <w:lang w:eastAsia="fr-FR"/>
              </w:rPr>
            </w:pPr>
            <w:r>
              <w:rPr>
                <w:rFonts w:eastAsia="맑은 고딕"/>
                <w:noProof/>
                <w:lang w:eastAsia="fr-FR"/>
              </w:rPr>
              <w:t>Celltrion Healthcare Hungary Kft.</w:t>
            </w:r>
          </w:p>
          <w:p w14:paraId="4083E98C" w14:textId="77777777" w:rsidR="00EF533A" w:rsidRDefault="00EF533A">
            <w:pPr>
              <w:suppressAutoHyphens/>
              <w:rPr>
                <w:rFonts w:eastAsia="맑은 고딕"/>
                <w:noProof/>
                <w:lang w:eastAsia="fr-FR"/>
              </w:rPr>
            </w:pPr>
            <w:r>
              <w:rPr>
                <w:rFonts w:eastAsia="맑은 고딕"/>
                <w:noProof/>
                <w:lang w:eastAsia="fr-FR"/>
              </w:rPr>
              <w:t>Teл.: +36 1 231 0493</w:t>
            </w:r>
          </w:p>
          <w:p w14:paraId="1FA3725C" w14:textId="77777777" w:rsidR="00EF533A" w:rsidRPr="00EF533A" w:rsidRDefault="00EF533A">
            <w:pPr>
              <w:suppressAutoHyphens/>
              <w:rPr>
                <w:noProof/>
                <w:lang w:eastAsia="fr-FR"/>
              </w:rPr>
            </w:pPr>
          </w:p>
        </w:tc>
        <w:tc>
          <w:tcPr>
            <w:tcW w:w="2500" w:type="pct"/>
            <w:hideMark/>
          </w:tcPr>
          <w:p w14:paraId="5C66E65F" w14:textId="77777777" w:rsidR="00EF533A" w:rsidRDefault="00EF533A">
            <w:pPr>
              <w:tabs>
                <w:tab w:val="left" w:pos="-720"/>
              </w:tabs>
              <w:suppressAutoHyphens/>
              <w:rPr>
                <w:noProof/>
                <w:lang w:val="de-CH" w:eastAsia="fr-FR"/>
              </w:rPr>
            </w:pPr>
            <w:r>
              <w:rPr>
                <w:rFonts w:eastAsia="맑은 고딕"/>
                <w:b/>
                <w:noProof/>
                <w:lang w:val="de-CH" w:eastAsia="fr-FR"/>
              </w:rPr>
              <w:t>Luxembourg/Luxemburg</w:t>
            </w:r>
          </w:p>
          <w:p w14:paraId="72A0B821" w14:textId="77777777" w:rsidR="00EF533A" w:rsidRDefault="00EF533A">
            <w:pPr>
              <w:suppressAutoHyphens/>
              <w:rPr>
                <w:rFonts w:eastAsia="맑은 고딕"/>
                <w:noProof/>
                <w:lang w:val="de-CH" w:eastAsia="fr-FR"/>
              </w:rPr>
            </w:pPr>
            <w:r>
              <w:rPr>
                <w:rFonts w:eastAsia="맑은 고딕"/>
                <w:noProof/>
                <w:lang w:val="de-CH" w:eastAsia="fr-FR"/>
              </w:rPr>
              <w:t>Celltrion Healthcare Belgium BVBA</w:t>
            </w:r>
          </w:p>
          <w:p w14:paraId="1AC4C03A" w14:textId="77777777" w:rsidR="00EF533A" w:rsidRDefault="00EF533A">
            <w:pPr>
              <w:tabs>
                <w:tab w:val="left" w:pos="-720"/>
              </w:tabs>
              <w:suppressAutoHyphens/>
              <w:rPr>
                <w:rFonts w:eastAsia="맑은 고딕"/>
                <w:lang w:val="pt-PT" w:eastAsia="ko-KR"/>
              </w:rPr>
            </w:pPr>
            <w:r>
              <w:rPr>
                <w:rFonts w:eastAsia="맑은 고딕"/>
                <w:noProof/>
                <w:lang w:val="fr-FR" w:eastAsia="fr-FR"/>
              </w:rPr>
              <w:t xml:space="preserve">Tél/Tel: </w:t>
            </w:r>
            <w:r>
              <w:rPr>
                <w:rFonts w:eastAsia="맑은 고딕"/>
                <w:noProof/>
                <w:lang w:val="de-CH" w:eastAsia="fr-FR"/>
              </w:rPr>
              <w:t>+32 2 643 71 81</w:t>
            </w:r>
          </w:p>
          <w:p w14:paraId="090F3CD4" w14:textId="77777777" w:rsidR="00EF533A" w:rsidRDefault="00EF533A">
            <w:pPr>
              <w:suppressAutoHyphens/>
              <w:rPr>
                <w:rFonts w:eastAsia="맑은 고딕"/>
                <w:noProof/>
                <w:lang w:val="pt-PT" w:eastAsia="fr-FR"/>
              </w:rPr>
            </w:pPr>
            <w:hyperlink r:id="rId34" w:history="1">
              <w:r>
                <w:rPr>
                  <w:rStyle w:val="ad"/>
                  <w:rFonts w:eastAsia="맑은 고딕"/>
                  <w:noProof/>
                  <w:lang w:val="pt-PT" w:eastAsia="fr-FR"/>
                </w:rPr>
                <w:t>BEinfo@celltrionhc.com</w:t>
              </w:r>
            </w:hyperlink>
          </w:p>
          <w:p w14:paraId="289D36A2" w14:textId="77777777" w:rsidR="00EF533A" w:rsidRDefault="00EF533A">
            <w:pPr>
              <w:tabs>
                <w:tab w:val="left" w:pos="-720"/>
              </w:tabs>
              <w:suppressAutoHyphens/>
              <w:rPr>
                <w:rFonts w:eastAsia="맑은 고딕"/>
                <w:lang w:val="pt-PT" w:eastAsia="ko-KR"/>
              </w:rPr>
            </w:pPr>
          </w:p>
        </w:tc>
      </w:tr>
      <w:tr w:rsidR="009C440C" w:rsidRPr="00EF533A" w14:paraId="34EF9A16" w14:textId="77777777">
        <w:trPr>
          <w:cantSplit/>
        </w:trPr>
        <w:tc>
          <w:tcPr>
            <w:tcW w:w="2500" w:type="pct"/>
            <w:hideMark/>
          </w:tcPr>
          <w:p w14:paraId="33FFD408" w14:textId="77777777" w:rsidR="00EF533A" w:rsidRDefault="00EF533A">
            <w:pPr>
              <w:tabs>
                <w:tab w:val="left" w:pos="-720"/>
              </w:tabs>
              <w:suppressAutoHyphens/>
              <w:rPr>
                <w:rFonts w:eastAsia="맑은 고딕"/>
                <w:b/>
                <w:noProof/>
                <w:lang w:eastAsia="fr-FR"/>
              </w:rPr>
            </w:pPr>
            <w:r>
              <w:rPr>
                <w:rFonts w:eastAsia="맑은 고딕"/>
                <w:b/>
                <w:noProof/>
                <w:lang w:eastAsia="fr-FR"/>
              </w:rPr>
              <w:t>Česká republika</w:t>
            </w:r>
          </w:p>
          <w:p w14:paraId="78760C8C" w14:textId="77777777" w:rsidR="00EF533A" w:rsidRDefault="00EF533A">
            <w:pPr>
              <w:tabs>
                <w:tab w:val="left" w:pos="-720"/>
              </w:tabs>
              <w:suppressAutoHyphens/>
              <w:rPr>
                <w:rFonts w:eastAsia="맑은 고딕"/>
                <w:noProof/>
                <w:lang w:eastAsia="fr-FR"/>
              </w:rPr>
            </w:pPr>
            <w:r>
              <w:rPr>
                <w:rFonts w:eastAsia="맑은 고딕"/>
                <w:noProof/>
                <w:lang w:eastAsia="fr-FR"/>
              </w:rPr>
              <w:t>Celltrion Healthcare Hungary Kft.</w:t>
            </w:r>
          </w:p>
          <w:p w14:paraId="63CC484D" w14:textId="77777777" w:rsidR="00EF533A" w:rsidRDefault="00EF533A">
            <w:pPr>
              <w:tabs>
                <w:tab w:val="left" w:pos="-720"/>
              </w:tabs>
              <w:suppressAutoHyphens/>
              <w:rPr>
                <w:rFonts w:eastAsia="맑은 고딕"/>
                <w:noProof/>
                <w:lang w:eastAsia="fr-FR"/>
              </w:rPr>
            </w:pPr>
            <w:r>
              <w:rPr>
                <w:rFonts w:eastAsia="맑은 고딕"/>
                <w:noProof/>
                <w:lang w:eastAsia="fr-FR"/>
              </w:rPr>
              <w:t>Tel: +36 1 231 0493</w:t>
            </w:r>
          </w:p>
          <w:p w14:paraId="2EFE8C1D" w14:textId="77777777" w:rsidR="00EF533A" w:rsidRPr="00EF533A" w:rsidRDefault="00EF533A">
            <w:pPr>
              <w:tabs>
                <w:tab w:val="left" w:pos="-720"/>
              </w:tabs>
              <w:suppressAutoHyphens/>
              <w:rPr>
                <w:noProof/>
                <w:lang w:eastAsia="fr-FR"/>
              </w:rPr>
            </w:pPr>
          </w:p>
        </w:tc>
        <w:tc>
          <w:tcPr>
            <w:tcW w:w="2500" w:type="pct"/>
          </w:tcPr>
          <w:p w14:paraId="7651FBB7" w14:textId="77777777" w:rsidR="00EF533A" w:rsidRDefault="00EF533A">
            <w:pPr>
              <w:suppressAutoHyphens/>
              <w:rPr>
                <w:rFonts w:eastAsia="맑은 고딕"/>
                <w:b/>
                <w:noProof/>
                <w:lang w:eastAsia="fr-FR"/>
              </w:rPr>
            </w:pPr>
            <w:r>
              <w:rPr>
                <w:b/>
                <w:noProof/>
              </w:rPr>
              <w:t>Magyarország</w:t>
            </w:r>
          </w:p>
          <w:p w14:paraId="42328AC0" w14:textId="77777777" w:rsidR="00EF533A" w:rsidRDefault="00EF533A">
            <w:pPr>
              <w:tabs>
                <w:tab w:val="left" w:pos="-720"/>
              </w:tabs>
              <w:suppressAutoHyphens/>
              <w:rPr>
                <w:rFonts w:eastAsia="맑은 고딕"/>
                <w:noProof/>
                <w:lang w:eastAsia="fr-FR"/>
              </w:rPr>
            </w:pPr>
            <w:r>
              <w:rPr>
                <w:rFonts w:eastAsia="맑은 고딕"/>
                <w:noProof/>
                <w:lang w:eastAsia="fr-FR"/>
              </w:rPr>
              <w:t>Celltrion Healthcare Hungary Kft.</w:t>
            </w:r>
          </w:p>
          <w:p w14:paraId="2801B78D" w14:textId="77777777" w:rsidR="00EF533A" w:rsidRDefault="00EF533A">
            <w:pPr>
              <w:suppressAutoHyphens/>
              <w:rPr>
                <w:rFonts w:eastAsia="맑은 고딕"/>
                <w:noProof/>
                <w:lang w:eastAsia="fr-FR"/>
              </w:rPr>
            </w:pPr>
            <w:r>
              <w:rPr>
                <w:rFonts w:eastAsia="맑은 고딕"/>
                <w:noProof/>
                <w:lang w:eastAsia="fr-FR"/>
              </w:rPr>
              <w:t>Tel:. +36 1 231 0493</w:t>
            </w:r>
          </w:p>
          <w:p w14:paraId="64EB60DB" w14:textId="77777777" w:rsidR="00EF533A" w:rsidRDefault="00EF533A">
            <w:pPr>
              <w:suppressAutoHyphens/>
              <w:rPr>
                <w:rFonts w:eastAsia="맑은 고딕"/>
                <w:noProof/>
                <w:lang w:eastAsia="ko-KR"/>
              </w:rPr>
            </w:pPr>
          </w:p>
        </w:tc>
      </w:tr>
      <w:tr w:rsidR="009C440C" w:rsidRPr="00EF533A" w14:paraId="7C9D2310" w14:textId="77777777">
        <w:trPr>
          <w:cantSplit/>
        </w:trPr>
        <w:tc>
          <w:tcPr>
            <w:tcW w:w="2500" w:type="pct"/>
            <w:hideMark/>
          </w:tcPr>
          <w:p w14:paraId="66F70060" w14:textId="77777777" w:rsidR="00EF533A" w:rsidRDefault="00EF533A">
            <w:pPr>
              <w:tabs>
                <w:tab w:val="left" w:pos="-720"/>
              </w:tabs>
              <w:suppressAutoHyphens/>
              <w:rPr>
                <w:b/>
                <w:bCs/>
                <w:i/>
                <w:iCs/>
                <w:noProof/>
                <w:lang w:eastAsia="fr-FR"/>
              </w:rPr>
            </w:pPr>
            <w:r>
              <w:rPr>
                <w:b/>
                <w:noProof/>
              </w:rPr>
              <w:t>Danmark</w:t>
            </w:r>
          </w:p>
          <w:p w14:paraId="2CD66088" w14:textId="77777777" w:rsidR="00EF533A" w:rsidRDefault="00EF533A">
            <w:pPr>
              <w:tabs>
                <w:tab w:val="left" w:pos="-720"/>
              </w:tabs>
              <w:suppressAutoHyphens/>
              <w:rPr>
                <w:rFonts w:eastAsia="맑은 고딕"/>
                <w:noProof/>
                <w:lang w:eastAsia="fr-FR"/>
              </w:rPr>
            </w:pPr>
            <w:r>
              <w:rPr>
                <w:rFonts w:eastAsia="맑은 고딕"/>
                <w:noProof/>
                <w:lang w:eastAsia="fr-FR"/>
              </w:rPr>
              <w:t>Celltrion Healthcare Hungary Kft.</w:t>
            </w:r>
          </w:p>
          <w:p w14:paraId="37420C56" w14:textId="77777777" w:rsidR="00EF533A" w:rsidRDefault="00EF533A">
            <w:pPr>
              <w:tabs>
                <w:tab w:val="left" w:pos="-720"/>
              </w:tabs>
              <w:suppressAutoHyphens/>
              <w:rPr>
                <w:rFonts w:eastAsia="맑은 고딕"/>
                <w:noProof/>
                <w:lang w:eastAsia="fr-FR"/>
              </w:rPr>
            </w:pPr>
            <w:r>
              <w:rPr>
                <w:rFonts w:eastAsia="맑은 고딕"/>
                <w:noProof/>
                <w:lang w:eastAsia="fr-FR"/>
              </w:rPr>
              <w:t>Tlf: +36 1 231 0493</w:t>
            </w:r>
          </w:p>
          <w:p w14:paraId="7BE00B4B" w14:textId="77777777" w:rsidR="00EF533A" w:rsidRDefault="00EF533A">
            <w:pPr>
              <w:tabs>
                <w:tab w:val="left" w:pos="-720"/>
              </w:tabs>
              <w:suppressAutoHyphens/>
              <w:rPr>
                <w:rFonts w:eastAsia="맑은 고딕"/>
                <w:noProof/>
                <w:lang w:eastAsia="fr-FR"/>
              </w:rPr>
            </w:pPr>
          </w:p>
        </w:tc>
        <w:tc>
          <w:tcPr>
            <w:tcW w:w="2500" w:type="pct"/>
          </w:tcPr>
          <w:p w14:paraId="5D1E2418" w14:textId="77777777" w:rsidR="00EF533A" w:rsidRPr="00EF533A" w:rsidRDefault="00EF533A">
            <w:pPr>
              <w:suppressAutoHyphens/>
              <w:rPr>
                <w:noProof/>
                <w:lang w:eastAsia="fr-FR"/>
              </w:rPr>
            </w:pPr>
            <w:r>
              <w:rPr>
                <w:rFonts w:eastAsia="맑은 고딕"/>
                <w:b/>
                <w:noProof/>
                <w:lang w:eastAsia="fr-FR"/>
              </w:rPr>
              <w:t>Malta</w:t>
            </w:r>
          </w:p>
          <w:p w14:paraId="685BA3A1" w14:textId="77777777" w:rsidR="00EF533A" w:rsidRDefault="00EF533A">
            <w:pPr>
              <w:tabs>
                <w:tab w:val="left" w:pos="-720"/>
              </w:tabs>
              <w:suppressAutoHyphens/>
              <w:rPr>
                <w:rFonts w:eastAsia="맑은 고딕"/>
                <w:noProof/>
                <w:lang w:eastAsia="fr-FR"/>
              </w:rPr>
            </w:pPr>
            <w:r>
              <w:rPr>
                <w:rFonts w:eastAsia="맑은 고딕"/>
                <w:noProof/>
                <w:lang w:eastAsia="fr-FR"/>
              </w:rPr>
              <w:t>Mint Health Ltd.</w:t>
            </w:r>
          </w:p>
          <w:p w14:paraId="1EA13B72" w14:textId="77777777" w:rsidR="00EF533A" w:rsidRDefault="00EF533A">
            <w:pPr>
              <w:suppressAutoHyphens/>
              <w:rPr>
                <w:rFonts w:eastAsia="맑은 고딕"/>
                <w:noProof/>
                <w:lang w:eastAsia="ko-KR"/>
              </w:rPr>
            </w:pPr>
            <w:r>
              <w:rPr>
                <w:rFonts w:eastAsia="맑은 고딕"/>
                <w:noProof/>
                <w:lang w:eastAsia="fr-FR"/>
              </w:rPr>
              <w:t>Tel: +356 2093 9800</w:t>
            </w:r>
          </w:p>
          <w:p w14:paraId="2A7243BB" w14:textId="77777777" w:rsidR="00EF533A" w:rsidRDefault="00EF533A">
            <w:pPr>
              <w:suppressAutoHyphens/>
              <w:rPr>
                <w:rFonts w:eastAsia="맑은 고딕"/>
                <w:noProof/>
                <w:lang w:eastAsia="ko-KR"/>
              </w:rPr>
            </w:pPr>
          </w:p>
        </w:tc>
      </w:tr>
      <w:tr w:rsidR="009C440C" w:rsidRPr="00EF533A" w14:paraId="0FBF9201" w14:textId="77777777">
        <w:trPr>
          <w:cantSplit/>
        </w:trPr>
        <w:tc>
          <w:tcPr>
            <w:tcW w:w="2500" w:type="pct"/>
            <w:hideMark/>
          </w:tcPr>
          <w:p w14:paraId="33571D9E" w14:textId="77777777" w:rsidR="00EF533A" w:rsidRDefault="00EF533A">
            <w:pPr>
              <w:suppressAutoHyphens/>
              <w:rPr>
                <w:b/>
                <w:lang w:val="de-DE"/>
              </w:rPr>
            </w:pPr>
            <w:r>
              <w:rPr>
                <w:b/>
                <w:lang w:val="de-DE"/>
              </w:rPr>
              <w:t>Deutschland</w:t>
            </w:r>
          </w:p>
          <w:p w14:paraId="3017F32B" w14:textId="77777777" w:rsidR="00EF533A" w:rsidRDefault="00EF533A">
            <w:pPr>
              <w:tabs>
                <w:tab w:val="left" w:pos="-720"/>
              </w:tabs>
              <w:suppressAutoHyphens/>
              <w:rPr>
                <w:lang w:val="de-DE"/>
              </w:rPr>
            </w:pPr>
            <w:r>
              <w:rPr>
                <w:lang w:val="de-DE"/>
              </w:rPr>
              <w:t xml:space="preserve">Celltrion Healthcare Deutschland </w:t>
            </w:r>
            <w:r>
              <w:rPr>
                <w:rFonts w:eastAsia="맑은 고딕"/>
                <w:noProof/>
                <w:lang w:val="de-DE" w:eastAsia="fr-FR"/>
              </w:rPr>
              <w:t>GmbH</w:t>
            </w:r>
          </w:p>
          <w:p w14:paraId="21D87803" w14:textId="77777777" w:rsidR="00EF533A" w:rsidRDefault="00EF533A">
            <w:pPr>
              <w:tabs>
                <w:tab w:val="left" w:pos="-720"/>
              </w:tabs>
              <w:suppressAutoHyphens/>
              <w:rPr>
                <w:rFonts w:eastAsia="맑은 고딕"/>
                <w:noProof/>
                <w:lang w:val="de-DE" w:eastAsia="fr-FR"/>
              </w:rPr>
            </w:pPr>
            <w:r>
              <w:rPr>
                <w:lang w:val="de-DE"/>
              </w:rPr>
              <w:t xml:space="preserve">Tel: </w:t>
            </w:r>
            <w:r>
              <w:rPr>
                <w:rFonts w:eastAsia="맑은 고딕"/>
                <w:noProof/>
                <w:lang w:val="de-DE" w:eastAsia="fr-FR"/>
              </w:rPr>
              <w:t>+49 (0)30 346494150</w:t>
            </w:r>
          </w:p>
          <w:p w14:paraId="0880D832" w14:textId="77777777" w:rsidR="00EF533A" w:rsidRDefault="00EF533A">
            <w:pPr>
              <w:tabs>
                <w:tab w:val="left" w:pos="-720"/>
              </w:tabs>
              <w:suppressAutoHyphens/>
              <w:rPr>
                <w:rFonts w:eastAsia="맑은 고딕"/>
                <w:noProof/>
                <w:lang w:val="de-DE" w:eastAsia="fr-FR"/>
              </w:rPr>
            </w:pPr>
            <w:r>
              <w:fldChar w:fldCharType="begin"/>
            </w:r>
            <w:r w:rsidRPr="003B2CC6">
              <w:rPr>
                <w:lang w:val="de-DE"/>
                <w:rPrChange w:id="57" w:author="만든 이">
                  <w:rPr/>
                </w:rPrChange>
              </w:rPr>
              <w:instrText>HYPERLINK "mailto:infoDE@celltrionhc.com"</w:instrText>
            </w:r>
            <w:r>
              <w:fldChar w:fldCharType="separate"/>
            </w:r>
            <w:r>
              <w:rPr>
                <w:rStyle w:val="ad"/>
                <w:rFonts w:eastAsia="맑은 고딕"/>
                <w:noProof/>
                <w:lang w:val="de-DE" w:eastAsia="fr-FR"/>
              </w:rPr>
              <w:t>infoDE@celltrionhc.com</w:t>
            </w:r>
            <w:r>
              <w:fldChar w:fldCharType="end"/>
            </w:r>
          </w:p>
          <w:p w14:paraId="51F2A61E" w14:textId="77777777" w:rsidR="00EF533A" w:rsidRDefault="00EF533A">
            <w:pPr>
              <w:tabs>
                <w:tab w:val="left" w:pos="-720"/>
              </w:tabs>
              <w:suppressAutoHyphens/>
              <w:rPr>
                <w:rFonts w:eastAsia="맑은 고딕"/>
                <w:noProof/>
                <w:lang w:val="de-DE" w:eastAsia="fr-FR"/>
              </w:rPr>
            </w:pPr>
          </w:p>
        </w:tc>
        <w:tc>
          <w:tcPr>
            <w:tcW w:w="2500" w:type="pct"/>
          </w:tcPr>
          <w:p w14:paraId="64DBB054" w14:textId="77777777" w:rsidR="00EF533A" w:rsidRPr="00EF533A" w:rsidRDefault="00EF533A">
            <w:pPr>
              <w:suppressAutoHyphens/>
              <w:rPr>
                <w:noProof/>
                <w:lang w:eastAsia="fr-FR"/>
              </w:rPr>
            </w:pPr>
            <w:r>
              <w:rPr>
                <w:rFonts w:eastAsia="맑은 고딕"/>
                <w:b/>
                <w:noProof/>
                <w:lang w:eastAsia="fr-FR"/>
              </w:rPr>
              <w:t>Nederland</w:t>
            </w:r>
          </w:p>
          <w:p w14:paraId="5B0861C7" w14:textId="77777777" w:rsidR="00EF533A" w:rsidRDefault="00EF533A">
            <w:pPr>
              <w:suppressAutoHyphens/>
              <w:rPr>
                <w:rFonts w:eastAsia="맑은 고딕"/>
                <w:noProof/>
                <w:lang w:eastAsia="fr-FR"/>
              </w:rPr>
            </w:pPr>
            <w:r>
              <w:rPr>
                <w:rFonts w:eastAsia="맑은 고딕"/>
                <w:noProof/>
                <w:lang w:eastAsia="fr-FR"/>
              </w:rPr>
              <w:t>Celltrion Healthcare Netherlands B.V.</w:t>
            </w:r>
          </w:p>
          <w:p w14:paraId="6B9BF245" w14:textId="77777777" w:rsidR="00EF533A" w:rsidRDefault="00EF533A">
            <w:pPr>
              <w:suppressAutoHyphens/>
              <w:rPr>
                <w:rFonts w:eastAsia="맑은 고딕"/>
                <w:noProof/>
                <w:lang w:eastAsia="fr-FR"/>
              </w:rPr>
            </w:pPr>
            <w:r>
              <w:rPr>
                <w:rFonts w:eastAsia="맑은 고딕"/>
                <w:noProof/>
                <w:lang w:eastAsia="fr-FR"/>
              </w:rPr>
              <w:t>Tel: + 31 20 888 7300</w:t>
            </w:r>
          </w:p>
          <w:p w14:paraId="58AA3F3F" w14:textId="77777777" w:rsidR="00EF533A" w:rsidRDefault="00EF533A">
            <w:pPr>
              <w:suppressAutoHyphens/>
              <w:rPr>
                <w:rFonts w:eastAsia="맑은 고딕"/>
                <w:noProof/>
                <w:lang w:eastAsia="fr-FR"/>
              </w:rPr>
            </w:pPr>
            <w:hyperlink r:id="rId35" w:history="1">
              <w:r>
                <w:rPr>
                  <w:rStyle w:val="ad"/>
                  <w:rFonts w:eastAsia="맑은 고딕"/>
                  <w:noProof/>
                  <w:lang w:eastAsia="fr-FR"/>
                </w:rPr>
                <w:t>NLinfo@celltrionh</w:t>
              </w:r>
              <w:r w:rsidRPr="00EF533A">
                <w:rPr>
                  <w:rStyle w:val="ad"/>
                </w:rPr>
                <w:t>c</w:t>
              </w:r>
              <w:r>
                <w:rPr>
                  <w:rStyle w:val="ad"/>
                  <w:rFonts w:eastAsia="맑은 고딕"/>
                  <w:noProof/>
                  <w:lang w:eastAsia="fr-FR"/>
                </w:rPr>
                <w:t>.com</w:t>
              </w:r>
            </w:hyperlink>
          </w:p>
          <w:p w14:paraId="1649293C" w14:textId="77777777" w:rsidR="00EF533A" w:rsidRDefault="00EF533A">
            <w:pPr>
              <w:suppressAutoHyphens/>
              <w:rPr>
                <w:rFonts w:eastAsia="맑은 고딕"/>
                <w:noProof/>
                <w:lang w:eastAsia="fr-FR"/>
              </w:rPr>
            </w:pPr>
          </w:p>
        </w:tc>
      </w:tr>
      <w:tr w:rsidR="009C440C" w:rsidRPr="00EF533A" w14:paraId="6375BDC1" w14:textId="77777777">
        <w:trPr>
          <w:cantSplit/>
        </w:trPr>
        <w:tc>
          <w:tcPr>
            <w:tcW w:w="2500" w:type="pct"/>
            <w:hideMark/>
          </w:tcPr>
          <w:p w14:paraId="4350F479" w14:textId="77777777" w:rsidR="00EF533A" w:rsidRDefault="00EF533A">
            <w:pPr>
              <w:tabs>
                <w:tab w:val="left" w:pos="-720"/>
                <w:tab w:val="left" w:pos="4536"/>
              </w:tabs>
              <w:suppressAutoHyphens/>
              <w:rPr>
                <w:b/>
                <w:noProof/>
                <w:lang w:eastAsia="fr-FR"/>
              </w:rPr>
            </w:pPr>
            <w:r>
              <w:rPr>
                <w:rFonts w:eastAsia="맑은 고딕"/>
                <w:b/>
                <w:noProof/>
                <w:lang w:eastAsia="fr-FR"/>
              </w:rPr>
              <w:t>Eesti</w:t>
            </w:r>
          </w:p>
          <w:p w14:paraId="13BFA412" w14:textId="77777777" w:rsidR="00EF533A" w:rsidRDefault="00EF533A">
            <w:pPr>
              <w:tabs>
                <w:tab w:val="left" w:pos="-720"/>
              </w:tabs>
              <w:suppressAutoHyphens/>
              <w:rPr>
                <w:rFonts w:eastAsia="맑은 고딕"/>
                <w:noProof/>
                <w:lang w:eastAsia="fr-FR"/>
              </w:rPr>
            </w:pPr>
            <w:r>
              <w:rPr>
                <w:rFonts w:eastAsia="맑은 고딕"/>
                <w:noProof/>
                <w:lang w:eastAsia="fr-FR"/>
              </w:rPr>
              <w:t>Celltrion Healthcare Hungary Kft.</w:t>
            </w:r>
          </w:p>
          <w:p w14:paraId="3A05FF69" w14:textId="77777777" w:rsidR="00EF533A" w:rsidRDefault="00EF533A">
            <w:pPr>
              <w:tabs>
                <w:tab w:val="left" w:pos="-720"/>
              </w:tabs>
              <w:suppressAutoHyphens/>
              <w:rPr>
                <w:rFonts w:eastAsia="맑은 고딕"/>
                <w:noProof/>
                <w:lang w:eastAsia="fr-FR"/>
              </w:rPr>
            </w:pPr>
            <w:r>
              <w:rPr>
                <w:rFonts w:eastAsia="맑은 고딕"/>
                <w:noProof/>
                <w:lang w:eastAsia="fr-FR"/>
              </w:rPr>
              <w:t>Tel: +36 1 231 0493</w:t>
            </w:r>
          </w:p>
          <w:p w14:paraId="132433D1" w14:textId="77777777" w:rsidR="00EF533A" w:rsidRDefault="00EF533A">
            <w:pPr>
              <w:tabs>
                <w:tab w:val="left" w:pos="-720"/>
              </w:tabs>
              <w:suppressAutoHyphens/>
              <w:rPr>
                <w:rFonts w:eastAsia="맑은 고딕"/>
                <w:noProof/>
                <w:lang w:val="fi-FI" w:eastAsia="ko-KR"/>
              </w:rPr>
            </w:pPr>
          </w:p>
        </w:tc>
        <w:tc>
          <w:tcPr>
            <w:tcW w:w="2500" w:type="pct"/>
          </w:tcPr>
          <w:p w14:paraId="6EE49624" w14:textId="77777777" w:rsidR="00EF533A" w:rsidRPr="00EF533A" w:rsidRDefault="00EF533A">
            <w:pPr>
              <w:tabs>
                <w:tab w:val="left" w:pos="-720"/>
              </w:tabs>
              <w:suppressAutoHyphens/>
              <w:rPr>
                <w:noProof/>
                <w:lang w:eastAsia="fr-FR"/>
              </w:rPr>
            </w:pPr>
            <w:r>
              <w:rPr>
                <w:rFonts w:eastAsia="맑은 고딕"/>
                <w:b/>
                <w:noProof/>
                <w:lang w:eastAsia="fr-FR"/>
              </w:rPr>
              <w:t>Norge</w:t>
            </w:r>
          </w:p>
          <w:p w14:paraId="607F0C18" w14:textId="77777777" w:rsidR="00054925" w:rsidRPr="006F04E0" w:rsidRDefault="00EF533A" w:rsidP="00054925">
            <w:pPr>
              <w:tabs>
                <w:tab w:val="left" w:pos="-720"/>
              </w:tabs>
              <w:suppressAutoHyphens/>
              <w:rPr>
                <w:rFonts w:eastAsia="맑은 고딕"/>
                <w:noProof/>
                <w:lang w:eastAsia="fr-FR"/>
              </w:rPr>
            </w:pPr>
            <w:r>
              <w:rPr>
                <w:rFonts w:eastAsia="맑은 고딕"/>
                <w:noProof/>
                <w:lang w:eastAsia="fr-FR"/>
              </w:rPr>
              <w:t xml:space="preserve">Celltrion Healthcare </w:t>
            </w:r>
            <w:r w:rsidR="00054925" w:rsidRPr="006F04E0">
              <w:rPr>
                <w:rFonts w:eastAsia="맑은 고딕"/>
                <w:noProof/>
                <w:lang w:eastAsia="fr-FR"/>
              </w:rPr>
              <w:t>Norway AS</w:t>
            </w:r>
          </w:p>
          <w:p w14:paraId="66899A87" w14:textId="4F6B8327" w:rsidR="00EF533A" w:rsidRDefault="00054925">
            <w:pPr>
              <w:tabs>
                <w:tab w:val="left" w:pos="-720"/>
              </w:tabs>
              <w:suppressAutoHyphens/>
              <w:rPr>
                <w:rFonts w:eastAsia="맑은 고딕"/>
                <w:noProof/>
                <w:lang w:eastAsia="ko-KR"/>
              </w:rPr>
            </w:pPr>
            <w:r w:rsidRPr="006F04E0">
              <w:rPr>
                <w:rFonts w:eastAsia="맑은 고딕"/>
                <w:noProof/>
                <w:lang w:eastAsia="fr-FR"/>
              </w:rPr>
              <w:t>Contact_no@celltrionhc.com</w:t>
            </w:r>
          </w:p>
          <w:p w14:paraId="47FA2BF9" w14:textId="77777777" w:rsidR="00EF533A" w:rsidRDefault="00EF533A">
            <w:pPr>
              <w:tabs>
                <w:tab w:val="left" w:pos="-720"/>
              </w:tabs>
              <w:suppressAutoHyphens/>
              <w:rPr>
                <w:rFonts w:eastAsia="맑은 고딕"/>
                <w:noProof/>
                <w:lang w:eastAsia="ko-KR"/>
              </w:rPr>
            </w:pPr>
          </w:p>
        </w:tc>
      </w:tr>
      <w:tr w:rsidR="009C440C" w:rsidRPr="00ED6BAC" w14:paraId="28EAF9B9" w14:textId="77777777">
        <w:trPr>
          <w:cantSplit/>
        </w:trPr>
        <w:tc>
          <w:tcPr>
            <w:tcW w:w="2500" w:type="pct"/>
            <w:hideMark/>
          </w:tcPr>
          <w:p w14:paraId="36FD8E33" w14:textId="77777777" w:rsidR="00EF533A" w:rsidRDefault="00EF533A">
            <w:pPr>
              <w:suppressAutoHyphens/>
              <w:rPr>
                <w:noProof/>
                <w:lang w:val="es-ES_tradnl" w:eastAsia="fr-FR"/>
              </w:rPr>
            </w:pPr>
            <w:r>
              <w:rPr>
                <w:b/>
                <w:noProof/>
                <w:lang w:val="es-ES_tradnl"/>
              </w:rPr>
              <w:t>España</w:t>
            </w:r>
          </w:p>
          <w:p w14:paraId="38450262" w14:textId="77777777" w:rsidR="00EF533A" w:rsidRDefault="00EF533A">
            <w:pPr>
              <w:suppressAutoHyphens/>
              <w:rPr>
                <w:rFonts w:eastAsia="맑은 고딕"/>
                <w:noProof/>
                <w:lang w:val="es-ES_tradnl" w:eastAsia="fr-FR"/>
              </w:rPr>
            </w:pPr>
            <w:r>
              <w:rPr>
                <w:rFonts w:eastAsia="맑은 고딕"/>
                <w:noProof/>
                <w:lang w:val="es-ES_tradnl" w:eastAsia="fr-FR"/>
              </w:rPr>
              <w:t>CELLTRION FARMACEUTICA (ESPAÑA) S.L..</w:t>
            </w:r>
          </w:p>
          <w:p w14:paraId="4A794ADC" w14:textId="6AF1B27C" w:rsidR="00EF533A" w:rsidRDefault="00EF533A">
            <w:pPr>
              <w:suppressAutoHyphens/>
              <w:rPr>
                <w:rFonts w:eastAsia="맑은 고딕"/>
                <w:noProof/>
                <w:lang w:eastAsia="ko-KR"/>
              </w:rPr>
            </w:pPr>
            <w:r>
              <w:rPr>
                <w:rFonts w:eastAsia="맑은 고딕"/>
                <w:noProof/>
                <w:lang w:eastAsia="fr-FR"/>
              </w:rPr>
              <w:t>Tel: +34</w:t>
            </w:r>
            <w:r w:rsidR="00873C80">
              <w:rPr>
                <w:rFonts w:eastAsia="맑은 고딕" w:hint="eastAsia"/>
                <w:noProof/>
                <w:lang w:eastAsia="ko-KR"/>
              </w:rPr>
              <w:t xml:space="preserve"> 910 498 478 </w:t>
            </w:r>
          </w:p>
          <w:p w14:paraId="2A39AAEC" w14:textId="77777777" w:rsidR="00EF533A" w:rsidRDefault="00EF533A">
            <w:pPr>
              <w:suppressAutoHyphens/>
              <w:rPr>
                <w:b/>
                <w:noProof/>
                <w:lang w:eastAsia="fr-FR"/>
              </w:rPr>
            </w:pPr>
          </w:p>
        </w:tc>
        <w:tc>
          <w:tcPr>
            <w:tcW w:w="2500" w:type="pct"/>
          </w:tcPr>
          <w:p w14:paraId="015EE0C7" w14:textId="77777777" w:rsidR="00EF533A" w:rsidRDefault="00EF533A">
            <w:pPr>
              <w:suppressAutoHyphens/>
              <w:rPr>
                <w:noProof/>
                <w:lang w:val="de-DE" w:eastAsia="fr-FR"/>
              </w:rPr>
            </w:pPr>
            <w:r>
              <w:rPr>
                <w:b/>
                <w:noProof/>
                <w:lang w:val="de-DE"/>
              </w:rPr>
              <w:t>Österreich</w:t>
            </w:r>
          </w:p>
          <w:p w14:paraId="2FE1D8E2" w14:textId="77777777" w:rsidR="00EF533A" w:rsidRDefault="00EF533A">
            <w:pPr>
              <w:suppressAutoHyphens/>
              <w:rPr>
                <w:rFonts w:eastAsia="맑은 고딕"/>
                <w:noProof/>
                <w:lang w:val="de-DE" w:eastAsia="ko-KR"/>
              </w:rPr>
            </w:pPr>
            <w:r>
              <w:rPr>
                <w:rFonts w:eastAsia="맑은 고딕"/>
                <w:noProof/>
                <w:lang w:val="de-DE" w:eastAsia="fr-FR"/>
              </w:rPr>
              <w:t>Astro-Pharma GmbH</w:t>
            </w:r>
          </w:p>
          <w:p w14:paraId="064A1E7D" w14:textId="77777777" w:rsidR="00EF533A" w:rsidRDefault="00EF533A">
            <w:pPr>
              <w:tabs>
                <w:tab w:val="left" w:pos="-720"/>
              </w:tabs>
              <w:suppressAutoHyphens/>
              <w:rPr>
                <w:rFonts w:eastAsia="맑은 고딕"/>
                <w:noProof/>
                <w:lang w:val="de-DE" w:eastAsia="fr-FR"/>
              </w:rPr>
            </w:pPr>
            <w:r>
              <w:rPr>
                <w:rFonts w:eastAsia="맑은 고딕"/>
                <w:noProof/>
                <w:lang w:val="de-DE" w:eastAsia="fr-FR"/>
              </w:rPr>
              <w:t>Tel: +43 1 97 99 860</w:t>
            </w:r>
          </w:p>
          <w:p w14:paraId="64804BDB" w14:textId="77777777" w:rsidR="00EF533A" w:rsidRDefault="00EF533A">
            <w:pPr>
              <w:tabs>
                <w:tab w:val="left" w:pos="-720"/>
              </w:tabs>
              <w:suppressAutoHyphens/>
              <w:rPr>
                <w:noProof/>
                <w:lang w:val="de-DE" w:eastAsia="fr-FR"/>
              </w:rPr>
            </w:pPr>
          </w:p>
        </w:tc>
      </w:tr>
      <w:tr w:rsidR="009C440C" w:rsidRPr="00EF533A" w14:paraId="11C7BCCE" w14:textId="77777777">
        <w:trPr>
          <w:cantSplit/>
        </w:trPr>
        <w:tc>
          <w:tcPr>
            <w:tcW w:w="2500" w:type="pct"/>
          </w:tcPr>
          <w:p w14:paraId="597AF23E" w14:textId="77777777" w:rsidR="00EF533A" w:rsidRDefault="00EF533A">
            <w:pPr>
              <w:suppressAutoHyphens/>
              <w:rPr>
                <w:b/>
                <w:noProof/>
                <w:lang w:val="el-GR" w:eastAsia="fr-FR"/>
              </w:rPr>
            </w:pPr>
            <w:r>
              <w:rPr>
                <w:b/>
                <w:noProof/>
                <w:lang w:val="el-GR" w:eastAsia="fr-FR"/>
              </w:rPr>
              <w:lastRenderedPageBreak/>
              <w:t>Ελλάδα</w:t>
            </w:r>
          </w:p>
          <w:p w14:paraId="5CAC0BAA" w14:textId="77777777" w:rsidR="00EF533A" w:rsidRDefault="00EF533A">
            <w:pPr>
              <w:suppressAutoHyphens/>
              <w:rPr>
                <w:noProof/>
                <w:lang w:val="el-GR" w:eastAsia="fr-FR"/>
              </w:rPr>
            </w:pPr>
            <w:r>
              <w:rPr>
                <w:noProof/>
                <w:lang w:val="el-GR" w:eastAsia="fr-FR"/>
              </w:rPr>
              <w:t>ΒΙΑΝΕΞ Α.Ε.</w:t>
            </w:r>
          </w:p>
          <w:p w14:paraId="4F485C1D" w14:textId="77777777" w:rsidR="00EF533A" w:rsidRDefault="00EF533A">
            <w:pPr>
              <w:suppressAutoHyphens/>
              <w:rPr>
                <w:noProof/>
                <w:lang w:val="el-GR" w:eastAsia="fr-FR"/>
              </w:rPr>
            </w:pPr>
            <w:r>
              <w:rPr>
                <w:noProof/>
                <w:lang w:val="el-GR" w:eastAsia="fr-FR"/>
              </w:rPr>
              <w:t xml:space="preserve">Τηλ: +30 210 8009111 </w:t>
            </w:r>
          </w:p>
          <w:p w14:paraId="260298D5" w14:textId="77777777" w:rsidR="00EF533A" w:rsidRDefault="00EF533A">
            <w:pPr>
              <w:suppressAutoHyphens/>
              <w:rPr>
                <w:rFonts w:eastAsia="맑은 고딕"/>
                <w:noProof/>
                <w:lang w:val="el-GR" w:eastAsia="fr-FR"/>
              </w:rPr>
            </w:pPr>
          </w:p>
        </w:tc>
        <w:tc>
          <w:tcPr>
            <w:tcW w:w="2500" w:type="pct"/>
          </w:tcPr>
          <w:p w14:paraId="4CADE41E" w14:textId="77777777" w:rsidR="00EF533A" w:rsidRDefault="00EF533A">
            <w:pPr>
              <w:suppressAutoHyphens/>
              <w:rPr>
                <w:rFonts w:eastAsia="맑은 고딕"/>
                <w:b/>
                <w:noProof/>
                <w:lang w:val="pl-PL" w:eastAsia="fr-FR"/>
              </w:rPr>
            </w:pPr>
            <w:r>
              <w:rPr>
                <w:rFonts w:eastAsia="맑은 고딕"/>
                <w:b/>
                <w:noProof/>
                <w:lang w:val="pl-PL" w:eastAsia="fr-FR"/>
              </w:rPr>
              <w:t>Polska</w:t>
            </w:r>
          </w:p>
          <w:p w14:paraId="46152A57" w14:textId="77777777" w:rsidR="00EF533A" w:rsidRDefault="00EF533A">
            <w:pPr>
              <w:tabs>
                <w:tab w:val="left" w:pos="-720"/>
              </w:tabs>
              <w:suppressAutoHyphens/>
              <w:rPr>
                <w:rFonts w:eastAsia="맑은 고딕"/>
                <w:noProof/>
                <w:lang w:eastAsia="fr-FR"/>
              </w:rPr>
            </w:pPr>
            <w:r>
              <w:rPr>
                <w:rFonts w:eastAsia="맑은 고딕"/>
                <w:noProof/>
                <w:lang w:eastAsia="fr-FR"/>
              </w:rPr>
              <w:t>Celltrion Healthcare Hungary Kft.</w:t>
            </w:r>
          </w:p>
          <w:p w14:paraId="35062479" w14:textId="77777777" w:rsidR="00EF533A" w:rsidRDefault="00EF533A">
            <w:pPr>
              <w:suppressAutoHyphens/>
              <w:rPr>
                <w:rFonts w:eastAsia="맑은 고딕"/>
                <w:noProof/>
                <w:lang w:eastAsia="fr-FR"/>
              </w:rPr>
            </w:pPr>
            <w:r>
              <w:rPr>
                <w:rFonts w:eastAsia="맑은 고딕"/>
                <w:noProof/>
                <w:lang w:eastAsia="fr-FR"/>
              </w:rPr>
              <w:t>Tel.: +36 1 231 0493</w:t>
            </w:r>
          </w:p>
          <w:p w14:paraId="47B1F9C4" w14:textId="77777777" w:rsidR="00EF533A" w:rsidRDefault="00EF533A">
            <w:pPr>
              <w:suppressAutoHyphens/>
              <w:rPr>
                <w:b/>
                <w:noProof/>
              </w:rPr>
            </w:pPr>
          </w:p>
        </w:tc>
      </w:tr>
      <w:tr w:rsidR="009C440C" w:rsidRPr="00EF533A" w14:paraId="79D231B3" w14:textId="77777777">
        <w:trPr>
          <w:cantSplit/>
        </w:trPr>
        <w:tc>
          <w:tcPr>
            <w:tcW w:w="2500" w:type="pct"/>
          </w:tcPr>
          <w:p w14:paraId="36A2F431" w14:textId="77777777" w:rsidR="00EF533A" w:rsidRDefault="00EF533A">
            <w:pPr>
              <w:suppressAutoHyphens/>
              <w:rPr>
                <w:b/>
                <w:noProof/>
                <w:lang w:eastAsia="ko-KR"/>
              </w:rPr>
            </w:pPr>
            <w:r>
              <w:rPr>
                <w:b/>
                <w:noProof/>
                <w:lang w:eastAsia="ko-KR"/>
              </w:rPr>
              <w:t>France</w:t>
            </w:r>
          </w:p>
          <w:p w14:paraId="247ECEF9" w14:textId="77777777" w:rsidR="00EF533A" w:rsidRPr="00EF533A" w:rsidRDefault="00EF533A">
            <w:pPr>
              <w:suppressAutoHyphens/>
              <w:rPr>
                <w:noProof/>
                <w:lang w:eastAsia="ko-KR"/>
              </w:rPr>
            </w:pPr>
            <w:r w:rsidRPr="00EF533A">
              <w:rPr>
                <w:noProof/>
                <w:lang w:eastAsia="ko-KR"/>
              </w:rPr>
              <w:t>Celltrion Healthcare France SAS</w:t>
            </w:r>
          </w:p>
          <w:p w14:paraId="2FD6F1C3" w14:textId="77777777" w:rsidR="00EF533A" w:rsidRDefault="00EF533A">
            <w:pPr>
              <w:suppressAutoHyphens/>
              <w:rPr>
                <w:rFonts w:eastAsia="맑은 고딕"/>
                <w:noProof/>
                <w:lang w:eastAsia="ko-KR"/>
              </w:rPr>
            </w:pPr>
            <w:r w:rsidRPr="00EF533A">
              <w:rPr>
                <w:noProof/>
                <w:lang w:eastAsia="ko-KR"/>
              </w:rPr>
              <w:t>T</w:t>
            </w:r>
            <w:proofErr w:type="spellStart"/>
            <w:r w:rsidRPr="00EF533A">
              <w:t>é</w:t>
            </w:r>
            <w:r w:rsidRPr="00EF533A">
              <w:rPr>
                <w:noProof/>
                <w:lang w:eastAsia="ko-KR"/>
              </w:rPr>
              <w:t>l</w:t>
            </w:r>
            <w:proofErr w:type="spellEnd"/>
            <w:r w:rsidRPr="00EF533A">
              <w:rPr>
                <w:noProof/>
                <w:lang w:eastAsia="ko-KR"/>
              </w:rPr>
              <w:t>.: +33 (0)1 71 25 27 00</w:t>
            </w:r>
          </w:p>
          <w:p w14:paraId="64058E5E" w14:textId="77777777" w:rsidR="00EF533A" w:rsidRDefault="00EF533A">
            <w:pPr>
              <w:suppressAutoHyphens/>
              <w:rPr>
                <w:rFonts w:eastAsia="맑은 고딕"/>
                <w:noProof/>
                <w:lang w:eastAsia="fr-FR"/>
              </w:rPr>
            </w:pPr>
          </w:p>
        </w:tc>
        <w:tc>
          <w:tcPr>
            <w:tcW w:w="2500" w:type="pct"/>
          </w:tcPr>
          <w:p w14:paraId="4433A5C2" w14:textId="77777777" w:rsidR="00EF533A" w:rsidRDefault="00EF533A">
            <w:pPr>
              <w:suppressAutoHyphens/>
              <w:autoSpaceDE w:val="0"/>
              <w:autoSpaceDN w:val="0"/>
              <w:adjustRightInd w:val="0"/>
              <w:rPr>
                <w:noProof/>
                <w:lang w:val="pt-PT" w:eastAsia="fr-FR"/>
              </w:rPr>
            </w:pPr>
            <w:r>
              <w:rPr>
                <w:rFonts w:eastAsia="맑은 고딕"/>
                <w:b/>
                <w:noProof/>
                <w:lang w:val="pt-PT" w:eastAsia="fr-FR"/>
              </w:rPr>
              <w:t>Portugal</w:t>
            </w:r>
          </w:p>
          <w:p w14:paraId="0C6AD5C0" w14:textId="77777777" w:rsidR="00EF533A" w:rsidRDefault="00EF533A">
            <w:pPr>
              <w:suppressAutoHyphens/>
              <w:autoSpaceDE w:val="0"/>
              <w:autoSpaceDN w:val="0"/>
              <w:adjustRightInd w:val="0"/>
              <w:rPr>
                <w:rFonts w:eastAsia="맑은 고딕"/>
                <w:noProof/>
                <w:lang w:val="pt-PT" w:eastAsia="ko-KR"/>
              </w:rPr>
            </w:pPr>
            <w:r>
              <w:rPr>
                <w:rFonts w:eastAsia="맑은 고딕"/>
                <w:noProof/>
                <w:lang w:val="pt-PT" w:eastAsia="fr-FR"/>
              </w:rPr>
              <w:t>CELLTRION PORTUGAL, UNIPESSOAL LDA.</w:t>
            </w:r>
          </w:p>
          <w:p w14:paraId="7996EB28" w14:textId="77777777" w:rsidR="00EF533A" w:rsidRDefault="00EF533A">
            <w:pPr>
              <w:suppressAutoHyphens/>
              <w:rPr>
                <w:b/>
              </w:rPr>
            </w:pPr>
            <w:r>
              <w:t>Tel</w:t>
            </w:r>
            <w:r w:rsidRPr="00EF533A">
              <w:t xml:space="preserve">: </w:t>
            </w:r>
            <w:r>
              <w:rPr>
                <w:rFonts w:eastAsia="맑은 고딕"/>
                <w:noProof/>
                <w:lang w:val="pt-BR" w:eastAsia="fr-FR"/>
              </w:rPr>
              <w:t>+351 21 936 8542</w:t>
            </w:r>
          </w:p>
          <w:p w14:paraId="2DC85784" w14:textId="77777777" w:rsidR="00EF533A" w:rsidRDefault="00EF533A">
            <w:pPr>
              <w:suppressAutoHyphens/>
              <w:rPr>
                <w:b/>
              </w:rPr>
            </w:pPr>
          </w:p>
        </w:tc>
      </w:tr>
      <w:tr w:rsidR="009C440C" w:rsidRPr="00EF533A" w14:paraId="40E4AF48" w14:textId="77777777">
        <w:trPr>
          <w:cantSplit/>
        </w:trPr>
        <w:tc>
          <w:tcPr>
            <w:tcW w:w="2500" w:type="pct"/>
          </w:tcPr>
          <w:p w14:paraId="0FC99C90" w14:textId="77777777" w:rsidR="00EF533A" w:rsidRDefault="00EF533A">
            <w:pPr>
              <w:suppressAutoHyphens/>
              <w:rPr>
                <w:b/>
                <w:noProof/>
                <w:lang w:val="de-CH" w:eastAsia="ko-KR"/>
              </w:rPr>
            </w:pPr>
            <w:r>
              <w:rPr>
                <w:b/>
                <w:noProof/>
                <w:lang w:val="de-CH" w:eastAsia="ko-KR"/>
              </w:rPr>
              <w:t>Hrvatska</w:t>
            </w:r>
          </w:p>
          <w:p w14:paraId="4487EF98" w14:textId="77777777" w:rsidR="00EF533A" w:rsidRDefault="00EF533A">
            <w:pPr>
              <w:suppressAutoHyphens/>
              <w:rPr>
                <w:noProof/>
                <w:lang w:val="de-CH" w:eastAsia="ko-KR"/>
              </w:rPr>
            </w:pPr>
            <w:r>
              <w:rPr>
                <w:noProof/>
                <w:lang w:val="de-CH" w:eastAsia="ko-KR"/>
              </w:rPr>
              <w:t>Oktal Pharma d.o.o.</w:t>
            </w:r>
          </w:p>
          <w:p w14:paraId="2DFF654C" w14:textId="77777777" w:rsidR="00EF533A" w:rsidRPr="00EF533A" w:rsidRDefault="00EF533A">
            <w:pPr>
              <w:suppressAutoHyphens/>
              <w:rPr>
                <w:noProof/>
                <w:lang w:eastAsia="ko-KR"/>
              </w:rPr>
            </w:pPr>
            <w:r>
              <w:rPr>
                <w:noProof/>
                <w:lang w:eastAsia="ko-KR"/>
              </w:rPr>
              <w:t>Tel:</w:t>
            </w:r>
            <w:r w:rsidRPr="00EF533A">
              <w:rPr>
                <w:noProof/>
                <w:lang w:eastAsia="ko-KR"/>
              </w:rPr>
              <w:t xml:space="preserve"> +385 1 6595 777</w:t>
            </w:r>
          </w:p>
          <w:p w14:paraId="39DDEE99" w14:textId="77777777" w:rsidR="00EF533A" w:rsidRDefault="00EF533A">
            <w:pPr>
              <w:suppressAutoHyphens/>
              <w:rPr>
                <w:rFonts w:eastAsia="맑은 고딕"/>
                <w:noProof/>
                <w:lang w:eastAsia="fr-FR"/>
              </w:rPr>
            </w:pPr>
          </w:p>
        </w:tc>
        <w:tc>
          <w:tcPr>
            <w:tcW w:w="2500" w:type="pct"/>
          </w:tcPr>
          <w:p w14:paraId="12174332" w14:textId="77777777" w:rsidR="00EF533A" w:rsidRDefault="00EF533A">
            <w:pPr>
              <w:tabs>
                <w:tab w:val="left" w:pos="-720"/>
              </w:tabs>
              <w:suppressAutoHyphens/>
              <w:rPr>
                <w:rFonts w:eastAsia="맑은 고딕"/>
                <w:b/>
                <w:noProof/>
                <w:lang w:eastAsia="fr-FR"/>
              </w:rPr>
            </w:pPr>
            <w:r>
              <w:rPr>
                <w:b/>
                <w:noProof/>
              </w:rPr>
              <w:t>România</w:t>
            </w:r>
          </w:p>
          <w:p w14:paraId="21797FF3" w14:textId="77777777" w:rsidR="00EF533A" w:rsidRDefault="00EF533A">
            <w:pPr>
              <w:tabs>
                <w:tab w:val="left" w:pos="-720"/>
              </w:tabs>
              <w:suppressAutoHyphens/>
              <w:rPr>
                <w:rFonts w:eastAsia="맑은 고딕"/>
                <w:noProof/>
                <w:lang w:eastAsia="fr-FR"/>
              </w:rPr>
            </w:pPr>
            <w:r>
              <w:rPr>
                <w:rFonts w:eastAsia="맑은 고딕"/>
                <w:noProof/>
                <w:lang w:eastAsia="fr-FR"/>
              </w:rPr>
              <w:t>Celltrion Healthcare Hungary Kft.</w:t>
            </w:r>
          </w:p>
          <w:p w14:paraId="4D2E5C40" w14:textId="77777777" w:rsidR="00EF533A" w:rsidRDefault="00EF533A">
            <w:pPr>
              <w:suppressAutoHyphens/>
              <w:rPr>
                <w:rFonts w:eastAsia="맑은 고딕"/>
                <w:noProof/>
                <w:lang w:eastAsia="fr-FR"/>
              </w:rPr>
            </w:pPr>
            <w:r>
              <w:rPr>
                <w:rFonts w:eastAsia="맑은 고딕"/>
                <w:noProof/>
                <w:lang w:eastAsia="fr-FR"/>
              </w:rPr>
              <w:t>Tel: +36 1 231 0493</w:t>
            </w:r>
          </w:p>
          <w:p w14:paraId="0695EE54" w14:textId="77777777" w:rsidR="00EF533A" w:rsidRDefault="00EF533A">
            <w:pPr>
              <w:suppressAutoHyphens/>
              <w:rPr>
                <w:b/>
                <w:noProof/>
              </w:rPr>
            </w:pPr>
          </w:p>
        </w:tc>
      </w:tr>
      <w:tr w:rsidR="009C440C" w:rsidRPr="00EF533A" w14:paraId="3FC1C5AF" w14:textId="77777777">
        <w:trPr>
          <w:cantSplit/>
        </w:trPr>
        <w:tc>
          <w:tcPr>
            <w:tcW w:w="2500" w:type="pct"/>
          </w:tcPr>
          <w:p w14:paraId="202541CA" w14:textId="77777777" w:rsidR="00EF533A" w:rsidRPr="00EF533A" w:rsidRDefault="00EF533A">
            <w:pPr>
              <w:tabs>
                <w:tab w:val="left" w:pos="-720"/>
              </w:tabs>
              <w:suppressAutoHyphens/>
              <w:rPr>
                <w:noProof/>
                <w:lang w:eastAsia="fr-FR"/>
              </w:rPr>
            </w:pPr>
            <w:r>
              <w:rPr>
                <w:rFonts w:eastAsia="맑은 고딕"/>
                <w:b/>
                <w:noProof/>
                <w:lang w:eastAsia="fr-FR"/>
              </w:rPr>
              <w:t>Ireland</w:t>
            </w:r>
          </w:p>
          <w:p w14:paraId="505993AF" w14:textId="77777777" w:rsidR="00EF533A" w:rsidRDefault="00EF533A">
            <w:pPr>
              <w:suppressAutoHyphens/>
              <w:rPr>
                <w:rFonts w:eastAsia="맑은 고딕"/>
                <w:noProof/>
                <w:lang w:eastAsia="fr-FR"/>
              </w:rPr>
            </w:pPr>
            <w:r>
              <w:rPr>
                <w:rFonts w:eastAsia="맑은 고딕"/>
                <w:noProof/>
                <w:lang w:eastAsia="fr-FR"/>
              </w:rPr>
              <w:t>Celltrion Healthcare Ireland Limited</w:t>
            </w:r>
          </w:p>
          <w:p w14:paraId="17838E59" w14:textId="77777777" w:rsidR="00EF533A" w:rsidRDefault="00EF533A">
            <w:pPr>
              <w:suppressAutoHyphens/>
              <w:rPr>
                <w:rFonts w:eastAsia="맑은 고딕"/>
                <w:noProof/>
                <w:lang w:eastAsia="fr-FR"/>
              </w:rPr>
            </w:pPr>
            <w:r>
              <w:rPr>
                <w:rFonts w:eastAsia="맑은 고딕"/>
                <w:noProof/>
                <w:lang w:eastAsia="fr-FR"/>
              </w:rPr>
              <w:t>Tel: +353 1 223 4026</w:t>
            </w:r>
          </w:p>
          <w:p w14:paraId="2CF8A3C8" w14:textId="77777777" w:rsidR="00EF533A" w:rsidRDefault="00EF533A">
            <w:pPr>
              <w:suppressAutoHyphens/>
              <w:rPr>
                <w:rFonts w:eastAsia="맑은 고딕"/>
                <w:noProof/>
                <w:lang w:eastAsia="fr-FR"/>
              </w:rPr>
            </w:pPr>
          </w:p>
        </w:tc>
        <w:tc>
          <w:tcPr>
            <w:tcW w:w="2500" w:type="pct"/>
          </w:tcPr>
          <w:p w14:paraId="59AFF304" w14:textId="77777777" w:rsidR="00EF533A" w:rsidRDefault="00EF533A">
            <w:pPr>
              <w:suppressAutoHyphens/>
              <w:rPr>
                <w:rFonts w:eastAsia="맑은 고딕"/>
                <w:b/>
                <w:noProof/>
                <w:lang w:val="it-IT" w:eastAsia="fr-FR"/>
              </w:rPr>
            </w:pPr>
            <w:r>
              <w:rPr>
                <w:rFonts w:eastAsia="맑은 고딕"/>
                <w:b/>
                <w:noProof/>
                <w:lang w:val="it-IT" w:eastAsia="fr-FR"/>
              </w:rPr>
              <w:t>Slovenija</w:t>
            </w:r>
          </w:p>
          <w:p w14:paraId="4E0AC59B" w14:textId="77777777" w:rsidR="00EF533A" w:rsidRDefault="00EF533A">
            <w:pPr>
              <w:suppressAutoHyphens/>
              <w:rPr>
                <w:rFonts w:eastAsia="맑은 고딕"/>
                <w:noProof/>
                <w:lang w:val="it-IT" w:eastAsia="fr-FR"/>
              </w:rPr>
            </w:pPr>
            <w:r>
              <w:rPr>
                <w:rFonts w:eastAsia="맑은 고딕"/>
                <w:noProof/>
                <w:lang w:val="it-IT" w:eastAsia="fr-FR"/>
              </w:rPr>
              <w:t>OPH Oktal Pharma d.o.o.</w:t>
            </w:r>
          </w:p>
          <w:p w14:paraId="0E4BAD65" w14:textId="77777777" w:rsidR="00EF533A" w:rsidRDefault="00EF533A">
            <w:pPr>
              <w:suppressAutoHyphens/>
              <w:rPr>
                <w:rFonts w:eastAsia="맑은 고딕"/>
                <w:noProof/>
                <w:lang w:eastAsia="fr-FR"/>
              </w:rPr>
            </w:pPr>
            <w:r>
              <w:rPr>
                <w:rFonts w:eastAsia="맑은 고딕"/>
                <w:noProof/>
                <w:lang w:eastAsia="fr-FR"/>
              </w:rPr>
              <w:t>Tel.: +386 1 519 29 22</w:t>
            </w:r>
          </w:p>
          <w:p w14:paraId="0847A641" w14:textId="77777777" w:rsidR="00EF533A" w:rsidRDefault="00EF533A">
            <w:pPr>
              <w:suppressAutoHyphens/>
              <w:rPr>
                <w:b/>
                <w:noProof/>
              </w:rPr>
            </w:pPr>
          </w:p>
        </w:tc>
      </w:tr>
      <w:tr w:rsidR="009C440C" w:rsidRPr="00EF533A" w14:paraId="59923526" w14:textId="77777777">
        <w:trPr>
          <w:cantSplit/>
        </w:trPr>
        <w:tc>
          <w:tcPr>
            <w:tcW w:w="2500" w:type="pct"/>
          </w:tcPr>
          <w:p w14:paraId="07C99BA6" w14:textId="77777777" w:rsidR="00EF533A" w:rsidRDefault="00EF533A">
            <w:pPr>
              <w:suppressAutoHyphens/>
              <w:rPr>
                <w:rFonts w:eastAsia="맑은 고딕"/>
                <w:noProof/>
                <w:lang w:eastAsia="fr-FR"/>
              </w:rPr>
            </w:pPr>
            <w:r>
              <w:rPr>
                <w:rFonts w:eastAsia="맑은 고딕"/>
                <w:b/>
                <w:noProof/>
                <w:lang w:eastAsia="fr-FR"/>
              </w:rPr>
              <w:t>Ísland</w:t>
            </w:r>
          </w:p>
          <w:p w14:paraId="5C64F74F" w14:textId="77777777" w:rsidR="00EF533A" w:rsidRDefault="00EF533A">
            <w:pPr>
              <w:tabs>
                <w:tab w:val="left" w:pos="-720"/>
              </w:tabs>
              <w:suppressAutoHyphens/>
              <w:rPr>
                <w:rFonts w:eastAsia="맑은 고딕"/>
                <w:noProof/>
                <w:lang w:eastAsia="fr-FR"/>
              </w:rPr>
            </w:pPr>
            <w:r>
              <w:rPr>
                <w:rFonts w:eastAsia="맑은 고딕"/>
                <w:noProof/>
                <w:lang w:eastAsia="fr-FR"/>
              </w:rPr>
              <w:t>Celltrion Healthcare Hungary Kft.</w:t>
            </w:r>
          </w:p>
          <w:p w14:paraId="287080E5" w14:textId="77777777" w:rsidR="00EF533A" w:rsidRDefault="00EF533A">
            <w:pPr>
              <w:suppressAutoHyphens/>
              <w:rPr>
                <w:rFonts w:eastAsia="맑은 고딕"/>
                <w:noProof/>
                <w:lang w:eastAsia="fr-FR"/>
              </w:rPr>
            </w:pPr>
            <w:r>
              <w:rPr>
                <w:rFonts w:eastAsia="맑은 고딕"/>
                <w:noProof/>
                <w:lang w:eastAsia="fr-FR"/>
              </w:rPr>
              <w:t>Sími: +36 1 231 0493</w:t>
            </w:r>
          </w:p>
          <w:p w14:paraId="7F0D99F1" w14:textId="77777777" w:rsidR="00EF533A" w:rsidRDefault="00EF533A">
            <w:pPr>
              <w:suppressAutoHyphens/>
              <w:rPr>
                <w:rFonts w:eastAsia="맑은 고딕"/>
                <w:noProof/>
                <w:lang w:eastAsia="fr-FR"/>
              </w:rPr>
            </w:pPr>
          </w:p>
        </w:tc>
        <w:tc>
          <w:tcPr>
            <w:tcW w:w="2500" w:type="pct"/>
          </w:tcPr>
          <w:p w14:paraId="47D7C110" w14:textId="77777777" w:rsidR="00EF533A" w:rsidRDefault="00EF533A">
            <w:pPr>
              <w:suppressAutoHyphens/>
              <w:rPr>
                <w:rFonts w:eastAsia="맑은 고딕"/>
                <w:b/>
                <w:noProof/>
                <w:lang w:eastAsia="fr-FR"/>
              </w:rPr>
            </w:pPr>
            <w:r>
              <w:rPr>
                <w:b/>
                <w:noProof/>
              </w:rPr>
              <w:t>Slovenská republika</w:t>
            </w:r>
          </w:p>
          <w:p w14:paraId="3B166F3C" w14:textId="77777777" w:rsidR="00EF533A" w:rsidRDefault="00EF533A">
            <w:pPr>
              <w:tabs>
                <w:tab w:val="left" w:pos="-720"/>
              </w:tabs>
              <w:suppressAutoHyphens/>
              <w:rPr>
                <w:rFonts w:eastAsia="맑은 고딕"/>
                <w:noProof/>
                <w:lang w:eastAsia="fr-FR"/>
              </w:rPr>
            </w:pPr>
            <w:r>
              <w:rPr>
                <w:rFonts w:eastAsia="맑은 고딕"/>
                <w:noProof/>
                <w:lang w:eastAsia="fr-FR"/>
              </w:rPr>
              <w:t>Celltrion Healthcare Hungary Kft.</w:t>
            </w:r>
          </w:p>
          <w:p w14:paraId="66B62444" w14:textId="77777777" w:rsidR="00EF533A" w:rsidRDefault="00EF533A">
            <w:pPr>
              <w:suppressAutoHyphens/>
              <w:rPr>
                <w:rFonts w:eastAsia="맑은 고딕"/>
                <w:noProof/>
                <w:lang w:eastAsia="fr-FR"/>
              </w:rPr>
            </w:pPr>
            <w:r>
              <w:rPr>
                <w:rFonts w:eastAsia="맑은 고딕"/>
                <w:noProof/>
                <w:lang w:eastAsia="fr-FR"/>
              </w:rPr>
              <w:t>Tel: +36 1 231 0493</w:t>
            </w:r>
          </w:p>
          <w:p w14:paraId="749A2BE0" w14:textId="77777777" w:rsidR="00EF533A" w:rsidRDefault="00EF533A">
            <w:pPr>
              <w:suppressAutoHyphens/>
              <w:rPr>
                <w:rFonts w:eastAsia="맑은 고딕"/>
                <w:b/>
                <w:noProof/>
                <w:lang w:eastAsia="fr-FR"/>
              </w:rPr>
            </w:pPr>
          </w:p>
        </w:tc>
      </w:tr>
      <w:tr w:rsidR="009C440C" w:rsidRPr="00EF533A" w14:paraId="53B7C4F7" w14:textId="77777777">
        <w:trPr>
          <w:cantSplit/>
        </w:trPr>
        <w:tc>
          <w:tcPr>
            <w:tcW w:w="2500" w:type="pct"/>
          </w:tcPr>
          <w:p w14:paraId="590DC78C" w14:textId="77777777" w:rsidR="00EF533A" w:rsidRPr="00EF533A" w:rsidRDefault="00EF533A">
            <w:pPr>
              <w:suppressAutoHyphens/>
              <w:rPr>
                <w:noProof/>
                <w:lang w:eastAsia="fr-FR"/>
              </w:rPr>
            </w:pPr>
            <w:r>
              <w:rPr>
                <w:rFonts w:eastAsia="맑은 고딕"/>
                <w:b/>
                <w:noProof/>
                <w:lang w:eastAsia="fr-FR"/>
              </w:rPr>
              <w:t>Italia</w:t>
            </w:r>
          </w:p>
          <w:p w14:paraId="00AD3069" w14:textId="77777777" w:rsidR="00EF533A" w:rsidRDefault="00EF533A">
            <w:pPr>
              <w:suppressAutoHyphens/>
              <w:rPr>
                <w:rFonts w:eastAsia="맑은 고딕"/>
                <w:noProof/>
                <w:lang w:eastAsia="fr-FR"/>
              </w:rPr>
            </w:pPr>
            <w:r>
              <w:rPr>
                <w:rFonts w:eastAsia="맑은 고딕"/>
                <w:noProof/>
                <w:lang w:eastAsia="fr-FR"/>
              </w:rPr>
              <w:t>Celltrion Healthcare Italy S.r.l.</w:t>
            </w:r>
          </w:p>
          <w:p w14:paraId="0F26EADD" w14:textId="77777777" w:rsidR="00EF533A" w:rsidRDefault="00EF533A">
            <w:pPr>
              <w:suppressAutoHyphens/>
              <w:rPr>
                <w:rFonts w:eastAsia="맑은 고딕"/>
                <w:noProof/>
                <w:lang w:eastAsia="fr-FR"/>
              </w:rPr>
            </w:pPr>
            <w:r>
              <w:rPr>
                <w:rFonts w:eastAsia="맑은 고딕"/>
                <w:noProof/>
                <w:lang w:eastAsia="fr-FR"/>
              </w:rPr>
              <w:t>Tel: +39 02 47927040</w:t>
            </w:r>
          </w:p>
          <w:p w14:paraId="630CD509" w14:textId="77777777" w:rsidR="00EF533A" w:rsidRDefault="00EF533A">
            <w:pPr>
              <w:suppressAutoHyphens/>
              <w:rPr>
                <w:rFonts w:eastAsia="맑은 고딕"/>
                <w:noProof/>
                <w:lang w:eastAsia="fr-FR"/>
              </w:rPr>
            </w:pPr>
          </w:p>
        </w:tc>
        <w:tc>
          <w:tcPr>
            <w:tcW w:w="2500" w:type="pct"/>
          </w:tcPr>
          <w:p w14:paraId="7E559AD0" w14:textId="77777777" w:rsidR="00EF533A" w:rsidRPr="00EF533A" w:rsidRDefault="00EF533A">
            <w:pPr>
              <w:suppressAutoHyphens/>
              <w:rPr>
                <w:noProof/>
                <w:lang w:eastAsia="fr-FR"/>
              </w:rPr>
            </w:pPr>
            <w:r>
              <w:rPr>
                <w:rFonts w:eastAsia="맑은 고딕"/>
                <w:b/>
                <w:noProof/>
                <w:lang w:eastAsia="fr-FR"/>
              </w:rPr>
              <w:t>Suomi/Finland</w:t>
            </w:r>
          </w:p>
          <w:p w14:paraId="35210C4F" w14:textId="77777777" w:rsidR="00EF533A" w:rsidRDefault="00EF533A">
            <w:pPr>
              <w:tabs>
                <w:tab w:val="left" w:pos="-720"/>
              </w:tabs>
              <w:suppressAutoHyphens/>
              <w:rPr>
                <w:rFonts w:eastAsia="맑은 고딕"/>
                <w:noProof/>
                <w:lang w:eastAsia="fr-FR"/>
              </w:rPr>
            </w:pPr>
            <w:r>
              <w:rPr>
                <w:rFonts w:eastAsia="맑은 고딕"/>
                <w:noProof/>
                <w:lang w:eastAsia="fr-FR"/>
              </w:rPr>
              <w:t xml:space="preserve">Celltrion Healthcare Finland Oy. </w:t>
            </w:r>
          </w:p>
          <w:p w14:paraId="4FE1F828" w14:textId="6A935BD0" w:rsidR="00EF533A" w:rsidRDefault="00EF533A">
            <w:pPr>
              <w:suppressAutoHyphens/>
              <w:autoSpaceDE w:val="0"/>
              <w:autoSpaceDN w:val="0"/>
              <w:adjustRightInd w:val="0"/>
              <w:rPr>
                <w:rFonts w:eastAsia="맑은 고딕"/>
                <w:noProof/>
                <w:lang w:eastAsia="fr-FR"/>
              </w:rPr>
            </w:pPr>
            <w:r>
              <w:rPr>
                <w:rFonts w:eastAsia="맑은 고딕"/>
                <w:noProof/>
                <w:lang w:eastAsia="fr-FR"/>
              </w:rPr>
              <w:t>Tel: +358 29 170 7755</w:t>
            </w:r>
          </w:p>
          <w:p w14:paraId="560BF653" w14:textId="77777777" w:rsidR="00054925" w:rsidRDefault="00054925" w:rsidP="00054925">
            <w:pPr>
              <w:autoSpaceDE w:val="0"/>
              <w:autoSpaceDN w:val="0"/>
              <w:adjustRightInd w:val="0"/>
              <w:rPr>
                <w:rFonts w:eastAsia="맑은 고딕"/>
                <w:noProof/>
                <w:lang w:eastAsia="ko-KR"/>
              </w:rPr>
            </w:pPr>
            <w:r w:rsidRPr="006F04E0">
              <w:rPr>
                <w:rFonts w:eastAsia="맑은 고딕"/>
                <w:noProof/>
                <w:lang w:eastAsia="ko-KR"/>
              </w:rPr>
              <w:t>contact_fi@celltrionhc.com</w:t>
            </w:r>
          </w:p>
          <w:p w14:paraId="2AF9FEFC" w14:textId="77777777" w:rsidR="00EF533A" w:rsidRDefault="00EF533A">
            <w:pPr>
              <w:suppressAutoHyphens/>
              <w:autoSpaceDE w:val="0"/>
              <w:autoSpaceDN w:val="0"/>
              <w:adjustRightInd w:val="0"/>
              <w:rPr>
                <w:rFonts w:eastAsia="맑은 고딕"/>
                <w:noProof/>
                <w:lang w:val="sv-SE" w:eastAsia="ko-KR"/>
              </w:rPr>
            </w:pPr>
          </w:p>
        </w:tc>
      </w:tr>
      <w:tr w:rsidR="009C440C" w:rsidRPr="00A128A0" w14:paraId="4076B25E" w14:textId="77777777">
        <w:trPr>
          <w:cantSplit/>
        </w:trPr>
        <w:tc>
          <w:tcPr>
            <w:tcW w:w="2500" w:type="pct"/>
          </w:tcPr>
          <w:p w14:paraId="4C0C1324" w14:textId="77777777" w:rsidR="00EF533A" w:rsidRDefault="00EF533A">
            <w:pPr>
              <w:tabs>
                <w:tab w:val="left" w:pos="-720"/>
              </w:tabs>
              <w:suppressAutoHyphens/>
              <w:rPr>
                <w:b/>
                <w:bCs/>
                <w:noProof/>
                <w:lang w:val="es-ES" w:eastAsia="fr-FR"/>
              </w:rPr>
            </w:pPr>
            <w:r>
              <w:rPr>
                <w:b/>
                <w:noProof/>
              </w:rPr>
              <w:t>Κύπρος</w:t>
            </w:r>
          </w:p>
          <w:p w14:paraId="06473D00" w14:textId="77777777" w:rsidR="00EF533A" w:rsidRDefault="00EF533A">
            <w:pPr>
              <w:tabs>
                <w:tab w:val="left" w:pos="-720"/>
              </w:tabs>
              <w:suppressAutoHyphens/>
              <w:rPr>
                <w:rFonts w:eastAsia="맑은 고딕"/>
                <w:noProof/>
                <w:lang w:val="es-ES" w:eastAsia="ko-KR"/>
              </w:rPr>
            </w:pPr>
            <w:r>
              <w:rPr>
                <w:rFonts w:eastAsia="맑은 고딕"/>
                <w:noProof/>
                <w:lang w:val="es-ES" w:eastAsia="fr-FR"/>
              </w:rPr>
              <w:t>C.A. Papaellinas Ltd</w:t>
            </w:r>
          </w:p>
          <w:p w14:paraId="75FBD235" w14:textId="77777777" w:rsidR="00EF533A" w:rsidRDefault="00EF533A">
            <w:pPr>
              <w:suppressAutoHyphens/>
              <w:autoSpaceDE w:val="0"/>
              <w:autoSpaceDN w:val="0"/>
              <w:adjustRightInd w:val="0"/>
              <w:rPr>
                <w:rFonts w:eastAsia="맑은 고딕"/>
                <w:b/>
                <w:bCs/>
                <w:lang w:eastAsia="fr-FR"/>
              </w:rPr>
            </w:pPr>
            <w:r>
              <w:rPr>
                <w:noProof/>
              </w:rPr>
              <w:t>Τηλ</w:t>
            </w:r>
            <w:r w:rsidRPr="00EF533A">
              <w:rPr>
                <w:noProof/>
              </w:rPr>
              <w:t xml:space="preserve">: </w:t>
            </w:r>
            <w:r>
              <w:rPr>
                <w:rFonts w:eastAsia="맑은 고딕"/>
                <w:noProof/>
                <w:lang w:eastAsia="fr-FR"/>
              </w:rPr>
              <w:t>+357 22741741</w:t>
            </w:r>
          </w:p>
          <w:p w14:paraId="58BC37B5" w14:textId="77777777" w:rsidR="00EF533A" w:rsidRDefault="00EF533A">
            <w:pPr>
              <w:suppressAutoHyphens/>
              <w:autoSpaceDE w:val="0"/>
              <w:autoSpaceDN w:val="0"/>
              <w:adjustRightInd w:val="0"/>
              <w:rPr>
                <w:rFonts w:eastAsia="맑은 고딕"/>
                <w:b/>
                <w:noProof/>
                <w:lang w:eastAsia="fr-FR"/>
              </w:rPr>
            </w:pPr>
          </w:p>
        </w:tc>
        <w:tc>
          <w:tcPr>
            <w:tcW w:w="2500" w:type="pct"/>
          </w:tcPr>
          <w:p w14:paraId="47B20FB8" w14:textId="77777777" w:rsidR="00EF533A" w:rsidRPr="00E919A5" w:rsidRDefault="00EF533A">
            <w:pPr>
              <w:tabs>
                <w:tab w:val="left" w:pos="-720"/>
              </w:tabs>
              <w:suppressAutoHyphens/>
              <w:rPr>
                <w:b/>
                <w:noProof/>
                <w:lang w:val="sv-SE" w:eastAsia="fr-FR"/>
              </w:rPr>
            </w:pPr>
            <w:r w:rsidRPr="00E919A5">
              <w:rPr>
                <w:b/>
                <w:noProof/>
                <w:lang w:val="sv-SE"/>
              </w:rPr>
              <w:t>Sverige</w:t>
            </w:r>
          </w:p>
          <w:p w14:paraId="5E054CBF" w14:textId="77777777" w:rsidR="006E7FA8" w:rsidRDefault="006E7FA8" w:rsidP="006E7FA8">
            <w:pPr>
              <w:keepNext/>
              <w:rPr>
                <w:rFonts w:eastAsia="맑은 고딕"/>
                <w:lang w:val="sv-SE" w:eastAsia="ko-KR"/>
              </w:rPr>
            </w:pPr>
            <w:r w:rsidRPr="00E919A5">
              <w:rPr>
                <w:lang w:val="sv-SE"/>
              </w:rPr>
              <w:t>Celltrion Sweden AB</w:t>
            </w:r>
          </w:p>
          <w:p w14:paraId="0C5E11DC" w14:textId="61E72C00" w:rsidR="006E7FA8" w:rsidRPr="00E919A5" w:rsidRDefault="00054925" w:rsidP="00E919A5">
            <w:pPr>
              <w:tabs>
                <w:tab w:val="left" w:pos="-720"/>
              </w:tabs>
              <w:suppressAutoHyphens/>
              <w:rPr>
                <w:lang w:val="sv-SE"/>
              </w:rPr>
            </w:pPr>
            <w:r w:rsidRPr="002738BB">
              <w:rPr>
                <w:rFonts w:eastAsia="맑은 고딕"/>
                <w:noProof/>
                <w:lang w:eastAsia="fr-FR"/>
              </w:rPr>
              <w:t>Tel: +46 8 80 11 77</w:t>
            </w:r>
            <w:r>
              <w:rPr>
                <w:rFonts w:eastAsia="맑은 고딕"/>
                <w:lang w:val="sv-SE" w:eastAsia="ko-KR"/>
              </w:rPr>
              <w:br/>
            </w:r>
            <w:r>
              <w:rPr>
                <w:rFonts w:eastAsia="맑은 고딕" w:hint="eastAsia"/>
                <w:lang w:val="sv-SE" w:eastAsia="ko-KR"/>
              </w:rPr>
              <w:t>C</w:t>
            </w:r>
            <w:r w:rsidR="006E7FA8" w:rsidRPr="00E919A5">
              <w:rPr>
                <w:lang w:val="sv-SE"/>
              </w:rPr>
              <w:t>ontact_se@celltrionhc.com</w:t>
            </w:r>
          </w:p>
          <w:p w14:paraId="26EF2BF9" w14:textId="77777777" w:rsidR="00EF533A" w:rsidRPr="00E919A5" w:rsidRDefault="00EF533A">
            <w:pPr>
              <w:tabs>
                <w:tab w:val="left" w:pos="-720"/>
              </w:tabs>
              <w:suppressAutoHyphens/>
              <w:rPr>
                <w:rFonts w:eastAsia="맑은 고딕"/>
                <w:b/>
                <w:noProof/>
                <w:lang w:val="sv-SE" w:eastAsia="fr-FR"/>
              </w:rPr>
            </w:pPr>
          </w:p>
        </w:tc>
      </w:tr>
      <w:tr w:rsidR="009C440C" w:rsidRPr="001879E9" w14:paraId="02664D5D" w14:textId="77777777">
        <w:trPr>
          <w:cantSplit/>
        </w:trPr>
        <w:tc>
          <w:tcPr>
            <w:tcW w:w="2500" w:type="pct"/>
          </w:tcPr>
          <w:p w14:paraId="24A5A1DB" w14:textId="77777777" w:rsidR="00EF533A" w:rsidRDefault="00EF533A">
            <w:pPr>
              <w:suppressAutoHyphens/>
              <w:rPr>
                <w:rFonts w:eastAsia="맑은 고딕"/>
                <w:b/>
                <w:noProof/>
                <w:lang w:eastAsia="fr-FR"/>
              </w:rPr>
            </w:pPr>
            <w:r>
              <w:rPr>
                <w:rFonts w:eastAsia="맑은 고딕"/>
                <w:b/>
                <w:noProof/>
                <w:lang w:eastAsia="fr-FR"/>
              </w:rPr>
              <w:t>Latvija</w:t>
            </w:r>
          </w:p>
          <w:p w14:paraId="013F2302" w14:textId="77777777" w:rsidR="00EF533A" w:rsidRDefault="00EF533A">
            <w:pPr>
              <w:tabs>
                <w:tab w:val="left" w:pos="-720"/>
              </w:tabs>
              <w:suppressAutoHyphens/>
              <w:rPr>
                <w:rFonts w:eastAsia="맑은 고딕"/>
                <w:noProof/>
                <w:lang w:eastAsia="fr-FR"/>
              </w:rPr>
            </w:pPr>
            <w:r>
              <w:rPr>
                <w:rFonts w:eastAsia="맑은 고딕"/>
                <w:noProof/>
                <w:lang w:eastAsia="fr-FR"/>
              </w:rPr>
              <w:t>Celltrion Healthcare Hungary Kft.</w:t>
            </w:r>
          </w:p>
          <w:p w14:paraId="6E2EAC09" w14:textId="77777777" w:rsidR="00EF533A" w:rsidRDefault="00EF533A">
            <w:pPr>
              <w:suppressAutoHyphens/>
              <w:autoSpaceDE w:val="0"/>
              <w:autoSpaceDN w:val="0"/>
              <w:adjustRightInd w:val="0"/>
              <w:rPr>
                <w:rFonts w:eastAsia="맑은 고딕"/>
                <w:noProof/>
                <w:lang w:eastAsia="fr-FR"/>
              </w:rPr>
            </w:pPr>
            <w:r>
              <w:rPr>
                <w:rFonts w:eastAsia="맑은 고딕"/>
                <w:noProof/>
                <w:lang w:eastAsia="fr-FR"/>
              </w:rPr>
              <w:t>Tālr.: +36 1 231 0493</w:t>
            </w:r>
          </w:p>
          <w:p w14:paraId="0F8ACAD6" w14:textId="77777777" w:rsidR="00EF533A" w:rsidRDefault="00EF533A">
            <w:pPr>
              <w:suppressAutoHyphens/>
              <w:autoSpaceDE w:val="0"/>
              <w:autoSpaceDN w:val="0"/>
              <w:adjustRightInd w:val="0"/>
              <w:rPr>
                <w:rFonts w:eastAsia="맑은 고딕"/>
                <w:b/>
                <w:bCs/>
                <w:lang w:eastAsia="fr-FR"/>
              </w:rPr>
            </w:pPr>
          </w:p>
        </w:tc>
        <w:tc>
          <w:tcPr>
            <w:tcW w:w="2500" w:type="pct"/>
          </w:tcPr>
          <w:p w14:paraId="5A94329B" w14:textId="77777777" w:rsidR="00EF533A" w:rsidRDefault="00EF533A">
            <w:pPr>
              <w:tabs>
                <w:tab w:val="left" w:pos="-720"/>
              </w:tabs>
              <w:suppressAutoHyphens/>
              <w:rPr>
                <w:rFonts w:eastAsia="맑은 고딕"/>
                <w:b/>
                <w:noProof/>
                <w:lang w:eastAsia="fr-FR"/>
              </w:rPr>
            </w:pPr>
          </w:p>
        </w:tc>
      </w:tr>
    </w:tbl>
    <w:p w14:paraId="5B5FA24B" w14:textId="77777777" w:rsidR="003B7027" w:rsidRPr="009A3CB5" w:rsidRDefault="003B7027" w:rsidP="009A3CB5">
      <w:pPr>
        <w:rPr>
          <w:b/>
          <w:bCs/>
          <w:lang w:val="fi-FI"/>
        </w:rPr>
      </w:pPr>
    </w:p>
    <w:p w14:paraId="7EE20576" w14:textId="77777777" w:rsidR="00DB75D8" w:rsidRPr="009A3CB5" w:rsidRDefault="00296A74" w:rsidP="009A3CB5">
      <w:pPr>
        <w:rPr>
          <w:b/>
          <w:bCs/>
          <w:lang w:val="fi-FI"/>
        </w:rPr>
      </w:pPr>
      <w:r w:rsidRPr="009A3CB5">
        <w:rPr>
          <w:b/>
          <w:bCs/>
          <w:lang w:val="fi-FI"/>
        </w:rPr>
        <w:t>Tämä pakkausseloste on tarkistettu viimeksi</w:t>
      </w:r>
    </w:p>
    <w:p w14:paraId="3FF8877D" w14:textId="77777777" w:rsidR="00DB75D8" w:rsidRPr="009A3CB5" w:rsidRDefault="00DB75D8" w:rsidP="00DD705A">
      <w:pPr>
        <w:rPr>
          <w:b/>
          <w:bCs/>
          <w:lang w:val="fi-FI"/>
        </w:rPr>
      </w:pPr>
    </w:p>
    <w:p w14:paraId="3C72978F" w14:textId="77777777" w:rsidR="003B7027" w:rsidRPr="009A3CB5" w:rsidRDefault="00296A74" w:rsidP="009A3CB5">
      <w:pPr>
        <w:rPr>
          <w:b/>
          <w:bCs/>
          <w:lang w:val="fi-FI"/>
        </w:rPr>
      </w:pPr>
      <w:r w:rsidRPr="009A3CB5">
        <w:rPr>
          <w:b/>
          <w:bCs/>
          <w:lang w:val="fi-FI"/>
        </w:rPr>
        <w:t>Muut tiedonlähteet</w:t>
      </w:r>
    </w:p>
    <w:p w14:paraId="132D17ED" w14:textId="7422419C" w:rsidR="003B7027" w:rsidRPr="0028514E" w:rsidRDefault="00296A74" w:rsidP="006E5F9A">
      <w:pPr>
        <w:pStyle w:val="a4"/>
        <w:ind w:left="0"/>
      </w:pPr>
      <w:r w:rsidRPr="0028514E">
        <w:t xml:space="preserve">Lisätietoa tästä lääkevalmisteesta on saatavilla Euroopan lääkeviraston verkkosivulla </w:t>
      </w:r>
      <w:r w:rsidR="00084035">
        <w:fldChar w:fldCharType="begin"/>
      </w:r>
      <w:r w:rsidR="00084035">
        <w:instrText>HYPERLINK "https://www.ema.europa.eu."</w:instrText>
      </w:r>
      <w:r w:rsidR="00084035">
        <w:fldChar w:fldCharType="separate"/>
      </w:r>
      <w:r w:rsidR="00084035" w:rsidRPr="004A4AD4">
        <w:rPr>
          <w:rStyle w:val="ad"/>
        </w:rPr>
        <w:t>http</w:t>
      </w:r>
      <w:r w:rsidR="00084035" w:rsidRPr="004A4AD4">
        <w:rPr>
          <w:rStyle w:val="ad"/>
          <w:rFonts w:eastAsia="맑은 고딕" w:hint="eastAsia"/>
          <w:lang w:eastAsia="ko-KR"/>
        </w:rPr>
        <w:t>s</w:t>
      </w:r>
      <w:r w:rsidR="00084035" w:rsidRPr="004A4AD4">
        <w:rPr>
          <w:rStyle w:val="ad"/>
        </w:rPr>
        <w:t>://www.ema.europa.eu.</w:t>
      </w:r>
      <w:r w:rsidR="00084035">
        <w:fldChar w:fldCharType="end"/>
      </w:r>
    </w:p>
    <w:p w14:paraId="000AB3AB" w14:textId="77777777" w:rsidR="00EF533A" w:rsidRPr="00CA43F5" w:rsidRDefault="00EF533A" w:rsidP="00EF533A">
      <w:pPr>
        <w:keepNext/>
        <w:ind w:left="567" w:hanging="567"/>
        <w:rPr>
          <w:b/>
          <w:bCs/>
          <w:lang w:val="fi-FI"/>
        </w:rPr>
      </w:pPr>
      <w:r w:rsidRPr="00CA43F5">
        <w:rPr>
          <w:b/>
          <w:color w:val="231F20"/>
          <w:lang w:val="fi-FI"/>
        </w:rPr>
        <w:br w:type="page"/>
      </w:r>
      <w:r w:rsidRPr="00CA43F5">
        <w:rPr>
          <w:b/>
          <w:bCs/>
          <w:lang w:val="fi-FI"/>
        </w:rPr>
        <w:lastRenderedPageBreak/>
        <w:t>7.</w:t>
      </w:r>
      <w:r w:rsidRPr="00CA43F5">
        <w:rPr>
          <w:b/>
          <w:bCs/>
          <w:lang w:val="fi-FI"/>
        </w:rPr>
        <w:tab/>
        <w:t>Käyttöohjeet</w:t>
      </w:r>
    </w:p>
    <w:p w14:paraId="359B4937" w14:textId="77777777" w:rsidR="00EF533A" w:rsidRPr="00CA43F5" w:rsidRDefault="00EF533A" w:rsidP="00EF533A">
      <w:pPr>
        <w:keepNext/>
        <w:rPr>
          <w:lang w:val="fi-FI"/>
        </w:rPr>
      </w:pPr>
    </w:p>
    <w:p w14:paraId="21548F43" w14:textId="53F13980" w:rsidR="00EF533A" w:rsidRPr="00CA43F5" w:rsidRDefault="00EF533A" w:rsidP="00EF533A">
      <w:pPr>
        <w:rPr>
          <w:lang w:val="fi-FI"/>
        </w:rPr>
      </w:pPr>
      <w:r w:rsidRPr="00CA43F5">
        <w:rPr>
          <w:color w:val="231F20"/>
          <w:lang w:val="fi-FI"/>
        </w:rPr>
        <w:t xml:space="preserve">Lue esitäytetyn Avtozma-kynän pakkauksessa olevat käyttöohjeet ennen kuin aloitat </w:t>
      </w:r>
      <w:r w:rsidR="00371574">
        <w:rPr>
          <w:color w:val="231F20"/>
          <w:lang w:val="fi-FI"/>
        </w:rPr>
        <w:t>kynän</w:t>
      </w:r>
      <w:r w:rsidRPr="00CA43F5">
        <w:rPr>
          <w:color w:val="231F20"/>
          <w:lang w:val="fi-FI"/>
        </w:rPr>
        <w:t xml:space="preserve"> käyttämisen ja aina uuden pakkauksen yhteydessä, ja noudata niitä. Ohjeissa voi olla uutta tietoa. Ennen kuin käytät Avtozma-valmistetta ensimmäistä kertaa, varmista, että terveydenhuollon ammattilainen on opastanut sinulle, miten sitä käytetään oikein.</w:t>
      </w:r>
    </w:p>
    <w:p w14:paraId="4408BB02" w14:textId="77777777" w:rsidR="00EF533A" w:rsidRPr="00CA43F5" w:rsidRDefault="00EF533A" w:rsidP="00EF533A">
      <w:pPr>
        <w:rPr>
          <w:lang w:val="fi-FI"/>
        </w:rPr>
      </w:pPr>
    </w:p>
    <w:p w14:paraId="1DFB0203" w14:textId="77777777" w:rsidR="00EF533A" w:rsidRDefault="00EF533A" w:rsidP="00EF533A">
      <w:pPr>
        <w:keepNext/>
        <w:rPr>
          <w:b/>
          <w:bCs/>
        </w:rPr>
      </w:pPr>
      <w:proofErr w:type="spellStart"/>
      <w:r>
        <w:rPr>
          <w:b/>
          <w:bCs/>
        </w:rPr>
        <w:t>Tärkeää</w:t>
      </w:r>
      <w:proofErr w:type="spellEnd"/>
      <w:r>
        <w:rPr>
          <w:b/>
          <w:bCs/>
        </w:rPr>
        <w:t xml:space="preserve"> </w:t>
      </w:r>
      <w:proofErr w:type="spellStart"/>
      <w:r>
        <w:rPr>
          <w:b/>
          <w:bCs/>
        </w:rPr>
        <w:t>tietoa</w:t>
      </w:r>
      <w:proofErr w:type="spellEnd"/>
    </w:p>
    <w:p w14:paraId="4188EF1A" w14:textId="77777777" w:rsidR="00EF533A" w:rsidRPr="00C017D7" w:rsidRDefault="00EF533A" w:rsidP="00EF533A">
      <w:pPr>
        <w:keepNext/>
        <w:rPr>
          <w:b/>
          <w:bCs/>
        </w:rPr>
      </w:pPr>
    </w:p>
    <w:p w14:paraId="3D499342" w14:textId="77FC4C61" w:rsidR="00EF533A" w:rsidRPr="00CA43F5" w:rsidRDefault="00EF533A" w:rsidP="00EF533A">
      <w:pPr>
        <w:widowControl w:val="0"/>
        <w:numPr>
          <w:ilvl w:val="2"/>
          <w:numId w:val="36"/>
        </w:numPr>
        <w:tabs>
          <w:tab w:val="left" w:pos="567"/>
        </w:tabs>
        <w:ind w:left="567" w:hanging="567"/>
        <w:rPr>
          <w:rFonts w:eastAsia="Times New Roman"/>
          <w:bCs/>
          <w:lang w:val="fi-FI"/>
        </w:rPr>
      </w:pPr>
      <w:r w:rsidRPr="00CA43F5">
        <w:rPr>
          <w:b/>
          <w:bCs/>
          <w:lang w:val="fi-FI"/>
        </w:rPr>
        <w:t>Älä</w:t>
      </w:r>
      <w:r w:rsidRPr="00CA43F5">
        <w:rPr>
          <w:lang w:val="fi-FI"/>
        </w:rPr>
        <w:t xml:space="preserve"> poista esitäytetyn kynän suojakorkkia ennen kuin olet valmis pistämään Avtozma-pistoksen.</w:t>
      </w:r>
    </w:p>
    <w:p w14:paraId="4AA32A83" w14:textId="0FFEE569" w:rsidR="00EF533A" w:rsidRPr="003B2CC6" w:rsidRDefault="00EF533A" w:rsidP="009A3CB5">
      <w:pPr>
        <w:widowControl w:val="0"/>
        <w:numPr>
          <w:ilvl w:val="2"/>
          <w:numId w:val="36"/>
        </w:numPr>
        <w:tabs>
          <w:tab w:val="left" w:pos="567"/>
        </w:tabs>
        <w:ind w:left="567" w:hanging="567"/>
        <w:rPr>
          <w:b/>
          <w:bCs/>
          <w:lang w:val="fi-FI"/>
          <w:rPrChange w:id="58" w:author="만든 이">
            <w:rPr>
              <w:b/>
              <w:bCs/>
            </w:rPr>
          </w:rPrChange>
        </w:rPr>
      </w:pPr>
      <w:r w:rsidRPr="009A3CB5">
        <w:rPr>
          <w:b/>
          <w:bCs/>
          <w:lang w:val="fi-FI"/>
        </w:rPr>
        <w:t>Älä</w:t>
      </w:r>
      <w:r w:rsidRPr="003B2CC6">
        <w:rPr>
          <w:lang w:val="fi-FI"/>
          <w:rPrChange w:id="59" w:author="만든 이">
            <w:rPr/>
          </w:rPrChange>
        </w:rPr>
        <w:t xml:space="preserve"> koskaan yritä </w:t>
      </w:r>
      <w:r w:rsidR="007773B5" w:rsidRPr="003B2CC6">
        <w:rPr>
          <w:lang w:val="fi-FI"/>
          <w:rPrChange w:id="60" w:author="만든 이">
            <w:rPr/>
          </w:rPrChange>
        </w:rPr>
        <w:t>irrottaa</w:t>
      </w:r>
      <w:r w:rsidRPr="003B2CC6">
        <w:rPr>
          <w:lang w:val="fi-FI"/>
          <w:rPrChange w:id="61" w:author="만든 이">
            <w:rPr/>
          </w:rPrChange>
        </w:rPr>
        <w:t xml:space="preserve"> esitäytetyn kynän osi</w:t>
      </w:r>
      <w:r w:rsidR="007773B5" w:rsidRPr="003B2CC6">
        <w:rPr>
          <w:lang w:val="fi-FI"/>
          <w:rPrChange w:id="62" w:author="만든 이">
            <w:rPr/>
          </w:rPrChange>
        </w:rPr>
        <w:t>a</w:t>
      </w:r>
      <w:r w:rsidRPr="003B2CC6">
        <w:rPr>
          <w:lang w:val="fi-FI"/>
          <w:rPrChange w:id="63" w:author="만든 이">
            <w:rPr/>
          </w:rPrChange>
        </w:rPr>
        <w:t>.</w:t>
      </w:r>
    </w:p>
    <w:p w14:paraId="70A2ADC4" w14:textId="16ABE083" w:rsidR="00EF533A" w:rsidRPr="00CA43F5" w:rsidRDefault="00EF533A" w:rsidP="00EF533A">
      <w:pPr>
        <w:widowControl w:val="0"/>
        <w:numPr>
          <w:ilvl w:val="2"/>
          <w:numId w:val="36"/>
        </w:numPr>
        <w:tabs>
          <w:tab w:val="left" w:pos="567"/>
        </w:tabs>
        <w:ind w:left="567" w:hanging="567"/>
        <w:rPr>
          <w:rFonts w:eastAsia="Times New Roman"/>
          <w:bCs/>
          <w:lang w:val="fi-FI"/>
        </w:rPr>
      </w:pPr>
      <w:r w:rsidRPr="00CA43F5">
        <w:rPr>
          <w:b/>
          <w:bCs/>
          <w:lang w:val="fi-FI"/>
        </w:rPr>
        <w:t>Älä</w:t>
      </w:r>
      <w:r w:rsidRPr="00CA43F5">
        <w:rPr>
          <w:lang w:val="fi-FI"/>
        </w:rPr>
        <w:t xml:space="preserve"> käytä esitäytettyä kynää uudelleen.</w:t>
      </w:r>
    </w:p>
    <w:p w14:paraId="2BF131AA" w14:textId="278B7442" w:rsidR="00EF533A" w:rsidRPr="00A34EAB" w:rsidRDefault="00EF533A" w:rsidP="00EF533A">
      <w:pPr>
        <w:widowControl w:val="0"/>
        <w:numPr>
          <w:ilvl w:val="2"/>
          <w:numId w:val="36"/>
        </w:numPr>
        <w:tabs>
          <w:tab w:val="left" w:pos="567"/>
        </w:tabs>
        <w:ind w:left="567" w:hanging="567"/>
        <w:rPr>
          <w:rFonts w:eastAsia="Times New Roman"/>
          <w:lang w:val="fi-FI"/>
        </w:rPr>
      </w:pPr>
      <w:r w:rsidRPr="00A34EAB">
        <w:rPr>
          <w:b/>
          <w:lang w:val="fi-FI"/>
        </w:rPr>
        <w:t xml:space="preserve">Älä </w:t>
      </w:r>
      <w:r w:rsidRPr="00A34EAB">
        <w:rPr>
          <w:bCs/>
          <w:lang w:val="fi-FI"/>
        </w:rPr>
        <w:t>ravista esitäytettyä kynää.</w:t>
      </w:r>
    </w:p>
    <w:p w14:paraId="5F0B0B2A" w14:textId="631C2467" w:rsidR="00EF533A" w:rsidRPr="00CA43F5" w:rsidRDefault="00EF533A" w:rsidP="00EF533A">
      <w:pPr>
        <w:widowControl w:val="0"/>
        <w:numPr>
          <w:ilvl w:val="2"/>
          <w:numId w:val="36"/>
        </w:numPr>
        <w:tabs>
          <w:tab w:val="left" w:pos="567"/>
        </w:tabs>
        <w:ind w:left="567" w:hanging="567"/>
        <w:rPr>
          <w:rFonts w:eastAsia="Times New Roman"/>
          <w:lang w:val="fi-FI"/>
        </w:rPr>
      </w:pPr>
      <w:r w:rsidRPr="00CA43F5">
        <w:rPr>
          <w:b/>
          <w:lang w:val="fi-FI"/>
        </w:rPr>
        <w:t xml:space="preserve">Älä </w:t>
      </w:r>
      <w:r w:rsidRPr="00CA43F5">
        <w:rPr>
          <w:bCs/>
          <w:lang w:val="fi-FI"/>
        </w:rPr>
        <w:t>käytä esitäytettyä kynää, jos se on pudonnut tai viallinen.</w:t>
      </w:r>
    </w:p>
    <w:p w14:paraId="45B8443E" w14:textId="77777777" w:rsidR="00EF533A" w:rsidRPr="00491903" w:rsidRDefault="00EF533A" w:rsidP="00EF533A">
      <w:pPr>
        <w:widowControl w:val="0"/>
        <w:numPr>
          <w:ilvl w:val="2"/>
          <w:numId w:val="36"/>
        </w:numPr>
        <w:tabs>
          <w:tab w:val="left" w:pos="567"/>
        </w:tabs>
        <w:ind w:left="567" w:hanging="567"/>
        <w:rPr>
          <w:rFonts w:eastAsia="Times New Roman"/>
          <w:bCs/>
        </w:rPr>
      </w:pPr>
      <w:r w:rsidRPr="00CA43F5">
        <w:rPr>
          <w:b/>
          <w:color w:val="231F20"/>
          <w:lang w:val="fi-FI"/>
        </w:rPr>
        <w:t>Yliherkkyysreaktioita (anafylaksiaa) koskeva ohje potilaalle</w:t>
      </w:r>
      <w:r w:rsidRPr="00CA43F5">
        <w:rPr>
          <w:b/>
          <w:lang w:val="fi-FI"/>
        </w:rPr>
        <w:t xml:space="preserve">: </w:t>
      </w:r>
      <w:r w:rsidRPr="00CA43F5">
        <w:rPr>
          <w:color w:val="231F20"/>
          <w:lang w:val="fi-FI"/>
        </w:rPr>
        <w:t xml:space="preserve">Hakeudu välittömästi ensiapuun hoitoon, jos sinulle missä tahansa vaiheessa pistoksen jälkeen ilmaantuu seuraavia oireita: ihottuma, kutina, vilunväristykset, kasvojen, huulten, kielen tai nielun turpoaminen, rintakipu, hengityksen vinkuminen, hengitys- tai nielemisvaikeudet tai huimaus tai heikotuksen tunne. </w:t>
      </w:r>
      <w:proofErr w:type="spellStart"/>
      <w:r w:rsidRPr="00223242">
        <w:rPr>
          <w:color w:val="231F20"/>
        </w:rPr>
        <w:t>Myös</w:t>
      </w:r>
      <w:proofErr w:type="spellEnd"/>
      <w:r w:rsidRPr="00223242">
        <w:rPr>
          <w:color w:val="231F20"/>
        </w:rPr>
        <w:t xml:space="preserve"> </w:t>
      </w:r>
      <w:proofErr w:type="spellStart"/>
      <w:r w:rsidRPr="00223242">
        <w:rPr>
          <w:color w:val="231F20"/>
        </w:rPr>
        <w:t>muita</w:t>
      </w:r>
      <w:proofErr w:type="spellEnd"/>
      <w:r w:rsidRPr="00223242">
        <w:rPr>
          <w:color w:val="231F20"/>
        </w:rPr>
        <w:t xml:space="preserve"> </w:t>
      </w:r>
      <w:proofErr w:type="spellStart"/>
      <w:r w:rsidRPr="00223242">
        <w:rPr>
          <w:color w:val="231F20"/>
        </w:rPr>
        <w:t>oireita</w:t>
      </w:r>
      <w:proofErr w:type="spellEnd"/>
      <w:r w:rsidRPr="00223242">
        <w:rPr>
          <w:color w:val="231F20"/>
        </w:rPr>
        <w:t xml:space="preserve"> </w:t>
      </w:r>
      <w:proofErr w:type="spellStart"/>
      <w:r w:rsidRPr="00223242">
        <w:rPr>
          <w:color w:val="231F20"/>
        </w:rPr>
        <w:t>voi</w:t>
      </w:r>
      <w:proofErr w:type="spellEnd"/>
      <w:r w:rsidRPr="00223242">
        <w:rPr>
          <w:color w:val="231F20"/>
        </w:rPr>
        <w:t xml:space="preserve"> </w:t>
      </w:r>
      <w:proofErr w:type="spellStart"/>
      <w:r w:rsidRPr="00223242">
        <w:rPr>
          <w:color w:val="231F20"/>
        </w:rPr>
        <w:t>esiintyä</w:t>
      </w:r>
      <w:proofErr w:type="spellEnd"/>
      <w:r w:rsidRPr="00223242">
        <w:rPr>
          <w:color w:val="231F20"/>
        </w:rPr>
        <w:t>.</w:t>
      </w:r>
    </w:p>
    <w:p w14:paraId="491ECD46" w14:textId="77777777" w:rsidR="00EF533A" w:rsidRPr="00C017D7" w:rsidRDefault="00EF533A" w:rsidP="00EF533A">
      <w:pPr>
        <w:tabs>
          <w:tab w:val="left" w:pos="567"/>
        </w:tabs>
      </w:pPr>
    </w:p>
    <w:p w14:paraId="0276DF14" w14:textId="44C66BC7" w:rsidR="00EF533A" w:rsidRPr="00C017D7" w:rsidRDefault="00EF533A" w:rsidP="00EF533A">
      <w:pPr>
        <w:keepNext/>
        <w:tabs>
          <w:tab w:val="left" w:pos="567"/>
        </w:tabs>
        <w:rPr>
          <w:b/>
          <w:bCs/>
        </w:rPr>
      </w:pPr>
      <w:proofErr w:type="spellStart"/>
      <w:r w:rsidRPr="00C017D7">
        <w:rPr>
          <w:rFonts w:hint="eastAsia"/>
          <w:b/>
          <w:bCs/>
        </w:rPr>
        <w:t>Avtozma</w:t>
      </w:r>
      <w:r>
        <w:rPr>
          <w:b/>
          <w:bCs/>
        </w:rPr>
        <w:t>-valmisteen</w:t>
      </w:r>
      <w:proofErr w:type="spellEnd"/>
      <w:r>
        <w:rPr>
          <w:b/>
          <w:bCs/>
        </w:rPr>
        <w:t xml:space="preserve"> </w:t>
      </w:r>
      <w:proofErr w:type="spellStart"/>
      <w:r>
        <w:rPr>
          <w:b/>
          <w:bCs/>
        </w:rPr>
        <w:t>säilyttäminen</w:t>
      </w:r>
      <w:proofErr w:type="spellEnd"/>
    </w:p>
    <w:p w14:paraId="2558BF69" w14:textId="5A4DD57E" w:rsidR="00EF533A" w:rsidRPr="00491903" w:rsidRDefault="00EF533A" w:rsidP="00EF533A">
      <w:pPr>
        <w:pStyle w:val="a"/>
        <w:numPr>
          <w:ilvl w:val="0"/>
          <w:numId w:val="55"/>
        </w:numPr>
        <w:tabs>
          <w:tab w:val="left" w:pos="567"/>
        </w:tabs>
        <w:ind w:left="567" w:hanging="567"/>
        <w:contextualSpacing/>
      </w:pPr>
      <w:r w:rsidRPr="00A26AA2">
        <w:rPr>
          <w:color w:val="231F20"/>
        </w:rPr>
        <w:t xml:space="preserve">Pidä käyttämätön esitäytetty </w:t>
      </w:r>
      <w:r>
        <w:rPr>
          <w:color w:val="231F20"/>
        </w:rPr>
        <w:t>kynä</w:t>
      </w:r>
      <w:r w:rsidRPr="00A26AA2">
        <w:rPr>
          <w:color w:val="231F20"/>
        </w:rPr>
        <w:t xml:space="preserve"> alkuperäisessä kartonkikotelossa jääkaapissa 2–8</w:t>
      </w:r>
      <w:r w:rsidR="008B466A">
        <w:rPr>
          <w:color w:val="231F20"/>
        </w:rPr>
        <w:t> </w:t>
      </w:r>
      <w:r w:rsidRPr="00A26AA2">
        <w:rPr>
          <w:color w:val="231F20"/>
        </w:rPr>
        <w:t xml:space="preserve">°C:n lämpötilassa. </w:t>
      </w:r>
      <w:r w:rsidRPr="00A26AA2">
        <w:rPr>
          <w:b/>
          <w:color w:val="231F20"/>
        </w:rPr>
        <w:t xml:space="preserve">Ei saa </w:t>
      </w:r>
      <w:r w:rsidRPr="00A26AA2">
        <w:rPr>
          <w:color w:val="231F20"/>
        </w:rPr>
        <w:t>jäätyä.</w:t>
      </w:r>
    </w:p>
    <w:p w14:paraId="58B3DB03" w14:textId="57FD57D1" w:rsidR="00EF533A" w:rsidRPr="00A26AA2" w:rsidRDefault="00EF533A" w:rsidP="00EF533A">
      <w:pPr>
        <w:pStyle w:val="a"/>
        <w:numPr>
          <w:ilvl w:val="0"/>
          <w:numId w:val="55"/>
        </w:numPr>
        <w:tabs>
          <w:tab w:val="left" w:pos="567"/>
        </w:tabs>
        <w:ind w:left="567" w:hanging="567"/>
        <w:contextualSpacing/>
      </w:pPr>
      <w:r w:rsidRPr="00A26AA2">
        <w:t>Kun Avtozma on otettu jääkaapista, se voidaan säilyttää enintään 30 °C:n lämpötilassa korkeintaan 3</w:t>
      </w:r>
      <w:r w:rsidR="008B466A">
        <w:t> </w:t>
      </w:r>
      <w:r w:rsidRPr="00A26AA2">
        <w:t xml:space="preserve">viikkoa. Jos Avtozma-valmistetta ei käytetä </w:t>
      </w:r>
      <w:r w:rsidR="0052082D">
        <w:t>3</w:t>
      </w:r>
      <w:r w:rsidRPr="00A26AA2">
        <w:t xml:space="preserve"> viikon kuluessa, se on hävitettävä. </w:t>
      </w:r>
    </w:p>
    <w:p w14:paraId="06E5F7F5" w14:textId="60278B93" w:rsidR="00EF533A" w:rsidRPr="00C017D7" w:rsidRDefault="00EF533A" w:rsidP="00EF533A">
      <w:pPr>
        <w:pStyle w:val="a"/>
        <w:numPr>
          <w:ilvl w:val="0"/>
          <w:numId w:val="55"/>
        </w:numPr>
        <w:tabs>
          <w:tab w:val="left" w:pos="567"/>
        </w:tabs>
        <w:ind w:left="567" w:hanging="567"/>
        <w:contextualSpacing/>
      </w:pPr>
      <w:r w:rsidRPr="00491903">
        <w:rPr>
          <w:bCs/>
        </w:rPr>
        <w:t>Pidä</w:t>
      </w:r>
      <w:r w:rsidRPr="0028514E">
        <w:t xml:space="preserve"> esitäytetty </w:t>
      </w:r>
      <w:r>
        <w:t>kynä poissa</w:t>
      </w:r>
      <w:r w:rsidRPr="0028514E">
        <w:t xml:space="preserve"> suora</w:t>
      </w:r>
      <w:r>
        <w:t>sta</w:t>
      </w:r>
      <w:r w:rsidRPr="0028514E">
        <w:t xml:space="preserve"> auringonvalo</w:t>
      </w:r>
      <w:r>
        <w:t>sta</w:t>
      </w:r>
      <w:r w:rsidRPr="0028514E">
        <w:t>.</w:t>
      </w:r>
    </w:p>
    <w:p w14:paraId="3F661AC4" w14:textId="5CA2E925" w:rsidR="00EF533A" w:rsidRPr="00C017D7" w:rsidRDefault="00EF533A" w:rsidP="00EF533A">
      <w:pPr>
        <w:pStyle w:val="a"/>
        <w:numPr>
          <w:ilvl w:val="0"/>
          <w:numId w:val="55"/>
        </w:numPr>
        <w:tabs>
          <w:tab w:val="left" w:pos="567"/>
        </w:tabs>
        <w:ind w:left="567" w:hanging="567"/>
        <w:contextualSpacing/>
      </w:pPr>
      <w:r>
        <w:rPr>
          <w:b/>
          <w:bCs/>
        </w:rPr>
        <w:t xml:space="preserve">Älä </w:t>
      </w:r>
      <w:r>
        <w:t>poista esitäytettyä kynää alkuperäisestä kartonkikotelosta säilytyksen aikana.</w:t>
      </w:r>
    </w:p>
    <w:p w14:paraId="4B1DA3D9" w14:textId="64730635" w:rsidR="00EF533A" w:rsidRPr="004A2644" w:rsidRDefault="00EF533A" w:rsidP="00EF533A">
      <w:pPr>
        <w:pStyle w:val="a"/>
        <w:numPr>
          <w:ilvl w:val="0"/>
          <w:numId w:val="55"/>
        </w:numPr>
        <w:tabs>
          <w:tab w:val="left" w:pos="567"/>
        </w:tabs>
        <w:ind w:left="567" w:hanging="567"/>
        <w:contextualSpacing/>
        <w:rPr>
          <w:bCs/>
        </w:rPr>
      </w:pPr>
      <w:r w:rsidRPr="0028514E">
        <w:rPr>
          <w:b/>
        </w:rPr>
        <w:t xml:space="preserve">Älä </w:t>
      </w:r>
      <w:r w:rsidRPr="00491903">
        <w:rPr>
          <w:bCs/>
        </w:rPr>
        <w:t xml:space="preserve">jätä esitäytettyä </w:t>
      </w:r>
      <w:r>
        <w:rPr>
          <w:bCs/>
        </w:rPr>
        <w:t>kynää</w:t>
      </w:r>
      <w:r w:rsidRPr="00491903">
        <w:rPr>
          <w:bCs/>
        </w:rPr>
        <w:t xml:space="preserve"> ilman valvontaa.</w:t>
      </w:r>
    </w:p>
    <w:p w14:paraId="4B23A315" w14:textId="77777777" w:rsidR="00EF533A" w:rsidRPr="00C017D7" w:rsidRDefault="00EF533A" w:rsidP="00EF533A">
      <w:pPr>
        <w:pStyle w:val="a"/>
        <w:numPr>
          <w:ilvl w:val="0"/>
          <w:numId w:val="55"/>
        </w:numPr>
        <w:tabs>
          <w:tab w:val="left" w:pos="567"/>
        </w:tabs>
        <w:ind w:left="567" w:hanging="567"/>
        <w:contextualSpacing/>
      </w:pPr>
      <w:r>
        <w:t>Ei lasten ulottuville. Sisältää pieniä osia.</w:t>
      </w:r>
    </w:p>
    <w:p w14:paraId="2C851AF5" w14:textId="32471FEE" w:rsidR="00EF533A" w:rsidRPr="00CA43F5" w:rsidRDefault="00EF533A" w:rsidP="00EF533A">
      <w:pPr>
        <w:keepNext/>
        <w:rPr>
          <w:b/>
          <w:bCs/>
          <w:lang w:val="fi-FI"/>
        </w:rPr>
      </w:pPr>
      <w:r w:rsidRPr="00CA43F5">
        <w:rPr>
          <w:bCs/>
          <w:lang w:val="fi-FI" w:eastAsia="ko-KR"/>
        </w:rPr>
        <w:br w:type="page"/>
      </w:r>
      <w:r w:rsidR="004440FA" w:rsidRPr="00CA43F5">
        <w:rPr>
          <w:b/>
          <w:bCs/>
          <w:lang w:val="fi-FI"/>
        </w:rPr>
        <w:lastRenderedPageBreak/>
        <w:t>Esitäytetyn Avtozma-kynän osat (ks. kuva A).</w:t>
      </w:r>
    </w:p>
    <w:p w14:paraId="096802D9" w14:textId="7762F4D6" w:rsidR="00EF533A" w:rsidRPr="00CA43F5" w:rsidRDefault="0086716C" w:rsidP="00EF533A">
      <w:pPr>
        <w:keepNext/>
        <w:rPr>
          <w:lang w:val="fi-FI"/>
        </w:rPr>
      </w:pPr>
      <w:r>
        <w:rPr>
          <w:noProof/>
          <w:lang w:val="en-US" w:eastAsia="ko-KR"/>
        </w:rPr>
        <mc:AlternateContent>
          <mc:Choice Requires="wps">
            <w:drawing>
              <wp:anchor distT="45720" distB="45720" distL="114300" distR="114300" simplePos="0" relativeHeight="251658258" behindDoc="0" locked="1" layoutInCell="1" allowOverlap="1" wp14:anchorId="21CD8931" wp14:editId="6EB6D6FF">
                <wp:simplePos x="0" y="0"/>
                <wp:positionH relativeFrom="column">
                  <wp:posOffset>434975</wp:posOffset>
                </wp:positionH>
                <wp:positionV relativeFrom="paragraph">
                  <wp:posOffset>288925</wp:posOffset>
                </wp:positionV>
                <wp:extent cx="2294255" cy="422275"/>
                <wp:effectExtent l="0" t="0" r="0" b="0"/>
                <wp:wrapNone/>
                <wp:docPr id="48593910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2DB0E87A" w14:textId="2BCF7B7B" w:rsidR="00EF533A" w:rsidRPr="00EF1826" w:rsidRDefault="00E62019" w:rsidP="00EF533A">
                            <w:pPr>
                              <w:jc w:val="center"/>
                              <w:rPr>
                                <w:rFonts w:ascii="Arial" w:hAnsi="Arial" w:cs="Arial"/>
                                <w:b/>
                                <w:bCs/>
                                <w:sz w:val="36"/>
                                <w:szCs w:val="36"/>
                                <w:lang w:val="es-ES"/>
                              </w:rPr>
                            </w:pPr>
                            <w:r w:rsidRPr="00E62019">
                              <w:rPr>
                                <w:rFonts w:ascii="Arial" w:hAnsi="Arial" w:cs="Arial"/>
                                <w:b/>
                                <w:bCs/>
                                <w:sz w:val="36"/>
                                <w:szCs w:val="36"/>
                                <w:lang w:val="es-ES"/>
                              </w:rPr>
                              <w:t>Ennen käyttöä</w:t>
                            </w:r>
                          </w:p>
                          <w:p w14:paraId="76D351E1" w14:textId="77777777" w:rsidR="00EF533A" w:rsidRPr="00EF1826" w:rsidRDefault="00EF533A" w:rsidP="00EF533A">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D8931" id="Text Box 85" o:spid="_x0000_s1054" type="#_x0000_t202" style="position:absolute;margin-left:34.25pt;margin-top:22.75pt;width:180.65pt;height:33.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" filled="f" stroked="f">
                <v:textbox inset="0,0,0,0">
                  <w:txbxContent>
                    <w:p w14:paraId="2DB0E87A" w14:textId="2BCF7B7B" w:rsidR="00EF533A" w:rsidRPr="00EF1826" w:rsidRDefault="00E62019" w:rsidP="00EF533A">
                      <w:pPr>
                        <w:jc w:val="center"/>
                        <w:rPr>
                          <w:rFonts w:ascii="Arial" w:hAnsi="Arial" w:cs="Arial"/>
                          <w:b/>
                          <w:bCs/>
                          <w:sz w:val="36"/>
                          <w:szCs w:val="36"/>
                          <w:lang w:val="es-ES"/>
                        </w:rPr>
                      </w:pPr>
                      <w:r w:rsidRPr="00E62019">
                        <w:rPr>
                          <w:rFonts w:ascii="Arial" w:hAnsi="Arial" w:cs="Arial"/>
                          <w:b/>
                          <w:bCs/>
                          <w:sz w:val="36"/>
                          <w:szCs w:val="36"/>
                          <w:lang w:val="es-ES"/>
                        </w:rPr>
                        <w:t>Ennen käyttöä</w:t>
                      </w:r>
                    </w:p>
                    <w:p w14:paraId="76D351E1" w14:textId="77777777" w:rsidR="00EF533A" w:rsidRPr="00EF1826" w:rsidRDefault="00EF533A" w:rsidP="00EF533A">
                      <w:pPr>
                        <w:jc w:val="center"/>
                        <w:rPr>
                          <w:rFonts w:ascii="Arial" w:hAnsi="Arial" w:cs="Arial"/>
                          <w:b/>
                          <w:bCs/>
                          <w:sz w:val="36"/>
                          <w:szCs w:val="36"/>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59" behindDoc="0" locked="1" layoutInCell="1" allowOverlap="1" wp14:anchorId="4225F34E" wp14:editId="484DD5FA">
                <wp:simplePos x="0" y="0"/>
                <wp:positionH relativeFrom="margin">
                  <wp:posOffset>3952875</wp:posOffset>
                </wp:positionH>
                <wp:positionV relativeFrom="paragraph">
                  <wp:posOffset>301625</wp:posOffset>
                </wp:positionV>
                <wp:extent cx="2044065" cy="422275"/>
                <wp:effectExtent l="0" t="0" r="0" b="0"/>
                <wp:wrapNone/>
                <wp:docPr id="137452232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w="9525">
                          <a:noFill/>
                          <a:miter lim="800000"/>
                          <a:headEnd/>
                          <a:tailEnd/>
                        </a:ln>
                      </wps:spPr>
                      <wps:txbx>
                        <w:txbxContent>
                          <w:p w14:paraId="27AC27A4" w14:textId="3D2D23F1" w:rsidR="00EF533A" w:rsidRPr="00EF1826" w:rsidRDefault="00E62019" w:rsidP="00EF533A">
                            <w:pPr>
                              <w:jc w:val="center"/>
                              <w:rPr>
                                <w:rFonts w:ascii="Arial" w:hAnsi="Arial" w:cs="Arial"/>
                                <w:b/>
                                <w:bCs/>
                                <w:sz w:val="36"/>
                                <w:szCs w:val="36"/>
                                <w:lang w:val="es-ES"/>
                              </w:rPr>
                            </w:pPr>
                            <w:r w:rsidRPr="00E62019">
                              <w:rPr>
                                <w:rFonts w:ascii="Arial" w:hAnsi="Arial" w:cs="Arial"/>
                                <w:b/>
                                <w:bCs/>
                                <w:sz w:val="36"/>
                                <w:szCs w:val="36"/>
                                <w:lang w:val="es-ES"/>
                              </w:rPr>
                              <w:t>Käytön jälkeen</w:t>
                            </w:r>
                          </w:p>
                          <w:p w14:paraId="12799473" w14:textId="77777777" w:rsidR="00EF533A" w:rsidRPr="00EF1826" w:rsidRDefault="00EF533A" w:rsidP="00EF533A">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5F34E" id="Text Box 83" o:spid="_x0000_s1055" type="#_x0000_t202" style="position:absolute;margin-left:311.25pt;margin-top:23.75pt;width:160.95pt;height:33.2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" filled="f" stroked="f">
                <v:textbox inset="0,0,0,0">
                  <w:txbxContent>
                    <w:p w14:paraId="27AC27A4" w14:textId="3D2D23F1" w:rsidR="00EF533A" w:rsidRPr="00EF1826" w:rsidRDefault="00E62019" w:rsidP="00EF533A">
                      <w:pPr>
                        <w:jc w:val="center"/>
                        <w:rPr>
                          <w:rFonts w:ascii="Arial" w:hAnsi="Arial" w:cs="Arial"/>
                          <w:b/>
                          <w:bCs/>
                          <w:sz w:val="36"/>
                          <w:szCs w:val="36"/>
                          <w:lang w:val="es-ES"/>
                        </w:rPr>
                      </w:pPr>
                      <w:r w:rsidRPr="00E62019">
                        <w:rPr>
                          <w:rFonts w:ascii="Arial" w:hAnsi="Arial" w:cs="Arial"/>
                          <w:b/>
                          <w:bCs/>
                          <w:sz w:val="36"/>
                          <w:szCs w:val="36"/>
                          <w:lang w:val="es-ES"/>
                        </w:rPr>
                        <w:t>Käytön jälkeen</w:t>
                      </w:r>
                    </w:p>
                    <w:p w14:paraId="12799473" w14:textId="77777777" w:rsidR="00EF533A" w:rsidRPr="00EF1826" w:rsidRDefault="00EF533A" w:rsidP="00EF533A">
                      <w:pPr>
                        <w:jc w:val="center"/>
                        <w:rPr>
                          <w:rFonts w:ascii="Arial" w:hAnsi="Arial" w:cs="Arial"/>
                          <w:b/>
                          <w:bCs/>
                          <w:sz w:val="36"/>
                          <w:szCs w:val="36"/>
                          <w:lang w:val="es-ES"/>
                        </w:rPr>
                      </w:pP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58260" behindDoc="0" locked="1" layoutInCell="1" allowOverlap="1" wp14:anchorId="7FE1B6C5" wp14:editId="470AC921">
                <wp:simplePos x="0" y="0"/>
                <wp:positionH relativeFrom="column">
                  <wp:posOffset>1277620</wp:posOffset>
                </wp:positionH>
                <wp:positionV relativeFrom="paragraph">
                  <wp:posOffset>1900555</wp:posOffset>
                </wp:positionV>
                <wp:extent cx="715645" cy="422275"/>
                <wp:effectExtent l="0" t="0" r="0" b="0"/>
                <wp:wrapNone/>
                <wp:docPr id="16531903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22275"/>
                        </a:xfrm>
                        <a:prstGeom prst="rect">
                          <a:avLst/>
                        </a:prstGeom>
                        <a:noFill/>
                        <a:ln>
                          <a:noFill/>
                        </a:ln>
                      </wps:spPr>
                      <wps:txbx>
                        <w:txbxContent>
                          <w:p w14:paraId="17154BAF" w14:textId="66180ED6" w:rsidR="00EF533A" w:rsidRPr="00CA43F5" w:rsidRDefault="00E62019" w:rsidP="00EF533A">
                            <w:pPr>
                              <w:jc w:val="center"/>
                              <w:rPr>
                                <w:rFonts w:ascii="Arial" w:hAnsi="Arial" w:cs="Arial"/>
                                <w:sz w:val="28"/>
                                <w:szCs w:val="28"/>
                                <w:lang w:val="es-ES"/>
                              </w:rPr>
                            </w:pPr>
                            <w:r w:rsidRPr="00CA43F5">
                              <w:rPr>
                                <w:rFonts w:ascii="Arial" w:hAnsi="Arial" w:cs="Arial"/>
                                <w:sz w:val="28"/>
                                <w:szCs w:val="28"/>
                                <w:lang w:val="es-ES"/>
                              </w:rPr>
                              <w:t>Runko</w:t>
                            </w:r>
                          </w:p>
                          <w:p w14:paraId="270532F2" w14:textId="77777777" w:rsidR="00EF533A" w:rsidRPr="00EF1826" w:rsidRDefault="00EF533A" w:rsidP="00EF533A">
                            <w:pPr>
                              <w:jc w:val="center"/>
                              <w:rPr>
                                <w:rFonts w:ascii="Arial" w:hAnsi="Arial" w:cs="Arial"/>
                                <w:sz w:val="30"/>
                                <w:szCs w:val="3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B6C5" id="Text Box 81" o:spid="_x0000_s1056" type="#_x0000_t202" style="position:absolute;margin-left:100.6pt;margin-top:149.65pt;width:56.35pt;height:33.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" filled="f" stroked="f">
                <v:textbox inset="0,0,0,0">
                  <w:txbxContent>
                    <w:p w14:paraId="17154BAF" w14:textId="66180ED6" w:rsidR="00EF533A" w:rsidRPr="00CA43F5" w:rsidRDefault="00E62019" w:rsidP="00EF533A">
                      <w:pPr>
                        <w:jc w:val="center"/>
                        <w:rPr>
                          <w:rFonts w:ascii="Arial" w:hAnsi="Arial" w:cs="Arial"/>
                          <w:sz w:val="28"/>
                          <w:szCs w:val="28"/>
                          <w:lang w:val="es-ES"/>
                        </w:rPr>
                      </w:pPr>
                      <w:r w:rsidRPr="00CA43F5">
                        <w:rPr>
                          <w:rFonts w:ascii="Arial" w:hAnsi="Arial" w:cs="Arial"/>
                          <w:sz w:val="28"/>
                          <w:szCs w:val="28"/>
                          <w:lang w:val="es-ES"/>
                        </w:rPr>
                        <w:t>Runko</w:t>
                      </w:r>
                    </w:p>
                    <w:p w14:paraId="270532F2" w14:textId="77777777" w:rsidR="00EF533A" w:rsidRPr="00EF1826" w:rsidRDefault="00EF533A" w:rsidP="00EF533A">
                      <w:pPr>
                        <w:jc w:val="center"/>
                        <w:rPr>
                          <w:rFonts w:ascii="Arial" w:hAnsi="Arial" w:cs="Arial"/>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61" behindDoc="0" locked="1" layoutInCell="1" allowOverlap="1" wp14:anchorId="33D15683" wp14:editId="0076EE21">
                <wp:simplePos x="0" y="0"/>
                <wp:positionH relativeFrom="column">
                  <wp:posOffset>937895</wp:posOffset>
                </wp:positionH>
                <wp:positionV relativeFrom="paragraph">
                  <wp:posOffset>2872105</wp:posOffset>
                </wp:positionV>
                <wp:extent cx="1367155" cy="276225"/>
                <wp:effectExtent l="0" t="0" r="4445" b="9525"/>
                <wp:wrapNone/>
                <wp:docPr id="187782495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276225"/>
                        </a:xfrm>
                        <a:prstGeom prst="rect">
                          <a:avLst/>
                        </a:prstGeom>
                        <a:noFill/>
                        <a:ln w="9525">
                          <a:noFill/>
                          <a:miter lim="800000"/>
                          <a:headEnd/>
                          <a:tailEnd/>
                        </a:ln>
                      </wps:spPr>
                      <wps:txbx>
                        <w:txbxContent>
                          <w:p w14:paraId="3DD51282" w14:textId="063B2342" w:rsidR="00EF533A" w:rsidRPr="00CA43F5" w:rsidRDefault="00E62019" w:rsidP="00CA43F5">
                            <w:pPr>
                              <w:shd w:val="clear" w:color="auto" w:fill="FFFFFF"/>
                              <w:spacing w:line="264" w:lineRule="auto"/>
                              <w:jc w:val="center"/>
                              <w:rPr>
                                <w:rFonts w:ascii="Arial" w:hAnsi="Arial" w:cs="Arial"/>
                                <w:sz w:val="28"/>
                                <w:szCs w:val="28"/>
                                <w:lang w:val="es-ES"/>
                              </w:rPr>
                            </w:pPr>
                            <w:r w:rsidRPr="00CA43F5">
                              <w:rPr>
                                <w:rFonts w:ascii="Arial" w:hAnsi="Arial" w:cs="Arial"/>
                                <w:sz w:val="28"/>
                                <w:szCs w:val="28"/>
                                <w:lang w:val="es-ES"/>
                              </w:rPr>
                              <w:t>Tarkistusikkuna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15683" id="Text Box 79" o:spid="_x0000_s1057" type="#_x0000_t202" style="position:absolute;margin-left:73.85pt;margin-top:226.15pt;width:107.65pt;height:21.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" filled="f" stroked="f">
                <v:textbox inset="0,0,0,0">
                  <w:txbxContent>
                    <w:p w14:paraId="3DD51282" w14:textId="063B2342" w:rsidR="00EF533A" w:rsidRPr="00CA43F5" w:rsidRDefault="00E62019" w:rsidP="00CA43F5">
                      <w:pPr>
                        <w:shd w:val="clear" w:color="auto" w:fill="FFFFFF"/>
                        <w:spacing w:line="264" w:lineRule="auto"/>
                        <w:jc w:val="center"/>
                        <w:rPr>
                          <w:rFonts w:ascii="Arial" w:hAnsi="Arial" w:cs="Arial"/>
                          <w:sz w:val="28"/>
                          <w:szCs w:val="28"/>
                          <w:lang w:val="es-ES"/>
                        </w:rPr>
                      </w:pPr>
                      <w:r w:rsidRPr="00CA43F5">
                        <w:rPr>
                          <w:rFonts w:ascii="Arial" w:hAnsi="Arial" w:cs="Arial"/>
                          <w:sz w:val="28"/>
                          <w:szCs w:val="28"/>
                          <w:lang w:val="es-ES"/>
                        </w:rPr>
                        <w:t>Tarkistusikkuna</w:t>
                      </w:r>
                    </w:p>
                  </w:txbxContent>
                </v:textbox>
                <w10:anchorlock/>
              </v:shape>
            </w:pict>
          </mc:Fallback>
        </mc:AlternateContent>
      </w:r>
      <w:r>
        <w:rPr>
          <w:noProof/>
          <w:lang w:val="en-US" w:eastAsia="ko-KR"/>
        </w:rPr>
        <mc:AlternateContent>
          <mc:Choice Requires="wps">
            <w:drawing>
              <wp:anchor distT="45720" distB="45720" distL="114300" distR="114300" simplePos="0" relativeHeight="251658262" behindDoc="0" locked="1" layoutInCell="1" allowOverlap="1" wp14:anchorId="310094CD" wp14:editId="2E29A5C0">
                <wp:simplePos x="0" y="0"/>
                <wp:positionH relativeFrom="column">
                  <wp:posOffset>1102995</wp:posOffset>
                </wp:positionH>
                <wp:positionV relativeFrom="paragraph">
                  <wp:posOffset>3883660</wp:posOffset>
                </wp:positionV>
                <wp:extent cx="1129665" cy="955675"/>
                <wp:effectExtent l="0" t="0" r="0" b="0"/>
                <wp:wrapNone/>
                <wp:docPr id="12437376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955675"/>
                        </a:xfrm>
                        <a:prstGeom prst="rect">
                          <a:avLst/>
                        </a:prstGeom>
                        <a:noFill/>
                        <a:ln w="9525">
                          <a:noFill/>
                          <a:miter lim="800000"/>
                          <a:headEnd/>
                          <a:tailEnd/>
                        </a:ln>
                      </wps:spPr>
                      <wps:txbx>
                        <w:txbxContent>
                          <w:p w14:paraId="2954F3BA" w14:textId="43918AEF" w:rsidR="00EF533A" w:rsidRPr="00CA43F5" w:rsidRDefault="00E62019" w:rsidP="00987BC7">
                            <w:pPr>
                              <w:spacing w:line="252" w:lineRule="auto"/>
                              <w:jc w:val="center"/>
                              <w:rPr>
                                <w:rFonts w:ascii="Arial" w:hAnsi="Arial" w:cs="Arial"/>
                                <w:sz w:val="28"/>
                                <w:szCs w:val="28"/>
                                <w:lang w:val="es-ES"/>
                              </w:rPr>
                            </w:pPr>
                            <w:r w:rsidRPr="00CA43F5">
                              <w:rPr>
                                <w:rFonts w:ascii="Arial" w:hAnsi="Arial" w:cs="Arial"/>
                                <w:sz w:val="28"/>
                                <w:szCs w:val="28"/>
                                <w:lang w:val="es-ES"/>
                              </w:rPr>
                              <w:t>Sininen neulansuojus (neula sisällä)</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94CD" id="Text Box 77" o:spid="_x0000_s1058" type="#_x0000_t202" style="position:absolute;margin-left:86.85pt;margin-top:305.8pt;width:88.95pt;height:75.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" filled="f" stroked="f">
                <v:textbox inset="0,0,0,0">
                  <w:txbxContent>
                    <w:p w14:paraId="2954F3BA" w14:textId="43918AEF" w:rsidR="00EF533A" w:rsidRPr="00CA43F5" w:rsidRDefault="00E62019" w:rsidP="00987BC7">
                      <w:pPr>
                        <w:spacing w:line="252" w:lineRule="auto"/>
                        <w:jc w:val="center"/>
                        <w:rPr>
                          <w:rFonts w:ascii="Arial" w:hAnsi="Arial" w:cs="Arial"/>
                          <w:sz w:val="28"/>
                          <w:szCs w:val="28"/>
                          <w:lang w:val="es-ES"/>
                        </w:rPr>
                      </w:pPr>
                      <w:r w:rsidRPr="00CA43F5">
                        <w:rPr>
                          <w:rFonts w:ascii="Arial" w:hAnsi="Arial" w:cs="Arial"/>
                          <w:sz w:val="28"/>
                          <w:szCs w:val="28"/>
                          <w:lang w:val="es-ES"/>
                        </w:rPr>
                        <w:t>Sininen neulansuojus (neula sisällä)</w:t>
                      </w:r>
                    </w:p>
                  </w:txbxContent>
                </v:textbox>
                <w10:anchorlock/>
              </v:shape>
            </w:pict>
          </mc:Fallback>
        </mc:AlternateContent>
      </w:r>
      <w:r>
        <w:rPr>
          <w:noProof/>
          <w:lang w:val="en-US" w:eastAsia="ko-KR"/>
        </w:rPr>
        <mc:AlternateContent>
          <mc:Choice Requires="wps">
            <w:drawing>
              <wp:anchor distT="45720" distB="45720" distL="114300" distR="114300" simplePos="0" relativeHeight="251658263" behindDoc="0" locked="1" layoutInCell="1" allowOverlap="1" wp14:anchorId="47AEF690" wp14:editId="47365E24">
                <wp:simplePos x="0" y="0"/>
                <wp:positionH relativeFrom="column">
                  <wp:posOffset>1310640</wp:posOffset>
                </wp:positionH>
                <wp:positionV relativeFrom="paragraph">
                  <wp:posOffset>5137785</wp:posOffset>
                </wp:positionV>
                <wp:extent cx="715645" cy="492760"/>
                <wp:effectExtent l="0" t="0" r="0" b="0"/>
                <wp:wrapNone/>
                <wp:docPr id="10157933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92760"/>
                        </a:xfrm>
                        <a:prstGeom prst="rect">
                          <a:avLst/>
                        </a:prstGeom>
                        <a:noFill/>
                        <a:ln>
                          <a:noFill/>
                        </a:ln>
                      </wps:spPr>
                      <wps:txbx>
                        <w:txbxContent>
                          <w:p w14:paraId="04190AC4" w14:textId="402E7908" w:rsidR="00EF533A" w:rsidRPr="00CA43F5" w:rsidRDefault="00E62019" w:rsidP="00EF533A">
                            <w:pPr>
                              <w:spacing w:line="252" w:lineRule="auto"/>
                              <w:jc w:val="center"/>
                              <w:rPr>
                                <w:rFonts w:ascii="Arial" w:hAnsi="Arial" w:cs="Arial"/>
                                <w:sz w:val="28"/>
                                <w:szCs w:val="28"/>
                                <w:lang w:val="es-ES"/>
                              </w:rPr>
                            </w:pPr>
                            <w:r w:rsidRPr="00CA43F5">
                              <w:rPr>
                                <w:rFonts w:ascii="Arial" w:hAnsi="Arial" w:cs="Arial"/>
                                <w:sz w:val="28"/>
                                <w:szCs w:val="28"/>
                                <w:lang w:val="es-ES"/>
                              </w:rPr>
                              <w:t>Oranssi korkki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EF690" id="Text Box 75" o:spid="_x0000_s1059" type="#_x0000_t202" style="position:absolute;margin-left:103.2pt;margin-top:404.55pt;width:56.35pt;height:38.8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" filled="f" stroked="f">
                <v:textbox inset="0,0,0,0">
                  <w:txbxContent>
                    <w:p w14:paraId="04190AC4" w14:textId="402E7908" w:rsidR="00EF533A" w:rsidRPr="00CA43F5" w:rsidRDefault="00E62019" w:rsidP="00EF533A">
                      <w:pPr>
                        <w:spacing w:line="252" w:lineRule="auto"/>
                        <w:jc w:val="center"/>
                        <w:rPr>
                          <w:rFonts w:ascii="Arial" w:hAnsi="Arial" w:cs="Arial"/>
                          <w:sz w:val="28"/>
                          <w:szCs w:val="28"/>
                          <w:lang w:val="es-ES"/>
                        </w:rPr>
                      </w:pPr>
                      <w:r w:rsidRPr="00CA43F5">
                        <w:rPr>
                          <w:rFonts w:ascii="Arial" w:hAnsi="Arial" w:cs="Arial"/>
                          <w:sz w:val="28"/>
                          <w:szCs w:val="28"/>
                          <w:lang w:val="es-ES"/>
                        </w:rPr>
                        <w:t>Oranssi korkki</w:t>
                      </w:r>
                    </w:p>
                  </w:txbxContent>
                </v:textbox>
                <w10:anchorlock/>
              </v:shape>
            </w:pict>
          </mc:Fallback>
        </mc:AlternateContent>
      </w:r>
      <w:r>
        <w:rPr>
          <w:noProof/>
          <w:lang w:val="en-US" w:eastAsia="ko-KR"/>
        </w:rPr>
        <mc:AlternateContent>
          <mc:Choice Requires="wps">
            <w:drawing>
              <wp:anchor distT="45720" distB="45720" distL="114300" distR="114300" simplePos="0" relativeHeight="251658264" behindDoc="0" locked="1" layoutInCell="1" allowOverlap="1" wp14:anchorId="2FE819CE" wp14:editId="2DEB2CEA">
                <wp:simplePos x="0" y="0"/>
                <wp:positionH relativeFrom="column">
                  <wp:posOffset>2981325</wp:posOffset>
                </wp:positionH>
                <wp:positionV relativeFrom="paragraph">
                  <wp:posOffset>1520190</wp:posOffset>
                </wp:positionV>
                <wp:extent cx="1664970" cy="551815"/>
                <wp:effectExtent l="0" t="0" r="0" b="0"/>
                <wp:wrapNone/>
                <wp:docPr id="19324783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551815"/>
                        </a:xfrm>
                        <a:prstGeom prst="rect">
                          <a:avLst/>
                        </a:prstGeom>
                        <a:noFill/>
                        <a:ln w="9525">
                          <a:noFill/>
                          <a:miter lim="800000"/>
                          <a:headEnd/>
                          <a:tailEnd/>
                        </a:ln>
                      </wps:spPr>
                      <wps:txbx>
                        <w:txbxContent>
                          <w:p w14:paraId="602C667D" w14:textId="7ED0604E" w:rsidR="00EF533A" w:rsidRPr="00CA43F5" w:rsidRDefault="00E62019" w:rsidP="00987BC7">
                            <w:pPr>
                              <w:spacing w:line="264" w:lineRule="auto"/>
                              <w:jc w:val="center"/>
                              <w:rPr>
                                <w:rFonts w:ascii="Arial" w:hAnsi="Arial" w:cs="Arial"/>
                                <w:sz w:val="28"/>
                                <w:szCs w:val="28"/>
                                <w:lang w:val="es-ES"/>
                              </w:rPr>
                            </w:pPr>
                            <w:r w:rsidRPr="00CA43F5">
                              <w:rPr>
                                <w:rFonts w:ascii="Arial" w:hAnsi="Arial" w:cs="Arial"/>
                                <w:sz w:val="28"/>
                                <w:szCs w:val="28"/>
                                <w:lang w:val="es-ES"/>
                              </w:rPr>
                              <w:t>Viimeinen käyttöpäivämäärä</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19CE" id="Text Box 73" o:spid="_x0000_s1060" type="#_x0000_t202" style="position:absolute;margin-left:234.75pt;margin-top:119.7pt;width:131.1pt;height:43.4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" filled="f" stroked="f">
                <v:textbox inset="0,0,0,0">
                  <w:txbxContent>
                    <w:p w14:paraId="602C667D" w14:textId="7ED0604E" w:rsidR="00EF533A" w:rsidRPr="00CA43F5" w:rsidRDefault="00E62019" w:rsidP="00987BC7">
                      <w:pPr>
                        <w:spacing w:line="264" w:lineRule="auto"/>
                        <w:jc w:val="center"/>
                        <w:rPr>
                          <w:rFonts w:ascii="Arial" w:hAnsi="Arial" w:cs="Arial"/>
                          <w:sz w:val="28"/>
                          <w:szCs w:val="28"/>
                          <w:lang w:val="es-ES"/>
                        </w:rPr>
                      </w:pPr>
                      <w:r w:rsidRPr="00CA43F5">
                        <w:rPr>
                          <w:rFonts w:ascii="Arial" w:hAnsi="Arial" w:cs="Arial"/>
                          <w:sz w:val="28"/>
                          <w:szCs w:val="28"/>
                          <w:lang w:val="es-ES"/>
                        </w:rPr>
                        <w:t>Viimeinen käyttöpäivämäärä</w:t>
                      </w:r>
                    </w:p>
                  </w:txbxContent>
                </v:textbox>
                <w10:anchorlock/>
              </v:shape>
            </w:pict>
          </mc:Fallback>
        </mc:AlternateContent>
      </w:r>
      <w:r>
        <w:rPr>
          <w:noProof/>
          <w:lang w:val="en-US" w:eastAsia="ko-KR"/>
        </w:rPr>
        <mc:AlternateContent>
          <mc:Choice Requires="wps">
            <w:drawing>
              <wp:anchor distT="45720" distB="45720" distL="114300" distR="114300" simplePos="0" relativeHeight="251658265" behindDoc="0" locked="1" layoutInCell="1" allowOverlap="1" wp14:anchorId="75D0FD52" wp14:editId="452C6253">
                <wp:simplePos x="0" y="0"/>
                <wp:positionH relativeFrom="column">
                  <wp:posOffset>2981325</wp:posOffset>
                </wp:positionH>
                <wp:positionV relativeFrom="paragraph">
                  <wp:posOffset>2602230</wp:posOffset>
                </wp:positionV>
                <wp:extent cx="1664970" cy="721995"/>
                <wp:effectExtent l="0" t="0" r="0" b="0"/>
                <wp:wrapNone/>
                <wp:docPr id="10229904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721995"/>
                        </a:xfrm>
                        <a:prstGeom prst="rect">
                          <a:avLst/>
                        </a:prstGeom>
                        <a:noFill/>
                        <a:ln w="9525">
                          <a:noFill/>
                          <a:miter lim="800000"/>
                          <a:headEnd/>
                          <a:tailEnd/>
                        </a:ln>
                      </wps:spPr>
                      <wps:txbx>
                        <w:txbxContent>
                          <w:p w14:paraId="204C4815" w14:textId="6C478443" w:rsidR="00EF533A" w:rsidRPr="00CA43F5" w:rsidRDefault="00E62019" w:rsidP="00987BC7">
                            <w:pPr>
                              <w:spacing w:line="252" w:lineRule="auto"/>
                              <w:jc w:val="center"/>
                              <w:rPr>
                                <w:rFonts w:ascii="Arial" w:hAnsi="Arial" w:cs="Arial"/>
                                <w:b/>
                                <w:bCs/>
                                <w:sz w:val="28"/>
                                <w:szCs w:val="28"/>
                                <w:lang w:val="es-ES"/>
                              </w:rPr>
                            </w:pPr>
                            <w:r w:rsidRPr="00CA43F5">
                              <w:rPr>
                                <w:rFonts w:ascii="Arial" w:hAnsi="Arial" w:cs="Arial"/>
                                <w:sz w:val="28"/>
                                <w:szCs w:val="28"/>
                                <w:lang w:val="es-ES"/>
                              </w:rPr>
                              <w:t xml:space="preserve">Oranssi osoitin </w:t>
                            </w:r>
                            <w:r w:rsidRPr="00CA43F5">
                              <w:rPr>
                                <w:rFonts w:ascii="Arial" w:hAnsi="Arial" w:cs="Arial"/>
                                <w:b/>
                                <w:bCs/>
                                <w:sz w:val="28"/>
                                <w:szCs w:val="28"/>
                                <w:lang w:val="es-ES"/>
                              </w:rPr>
                              <w:t>”injektio annettu”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0FD52" id="Text Box 71" o:spid="_x0000_s1061" type="#_x0000_t202" style="position:absolute;margin-left:234.75pt;margin-top:204.9pt;width:131.1pt;height:56.8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" filled="f" stroked="f">
                <v:textbox inset="0,0,0,0">
                  <w:txbxContent>
                    <w:p w14:paraId="204C4815" w14:textId="6C478443" w:rsidR="00EF533A" w:rsidRPr="00CA43F5" w:rsidRDefault="00E62019" w:rsidP="00987BC7">
                      <w:pPr>
                        <w:spacing w:line="252" w:lineRule="auto"/>
                        <w:jc w:val="center"/>
                        <w:rPr>
                          <w:rFonts w:ascii="Arial" w:hAnsi="Arial" w:cs="Arial"/>
                          <w:b/>
                          <w:bCs/>
                          <w:sz w:val="28"/>
                          <w:szCs w:val="28"/>
                          <w:lang w:val="es-ES"/>
                        </w:rPr>
                      </w:pPr>
                      <w:r w:rsidRPr="00CA43F5">
                        <w:rPr>
                          <w:rFonts w:ascii="Arial" w:hAnsi="Arial" w:cs="Arial"/>
                          <w:sz w:val="28"/>
                          <w:szCs w:val="28"/>
                          <w:lang w:val="es-ES"/>
                        </w:rPr>
                        <w:t xml:space="preserve">Oranssi osoitin </w:t>
                      </w:r>
                      <w:r w:rsidRPr="00CA43F5">
                        <w:rPr>
                          <w:rFonts w:ascii="Arial" w:hAnsi="Arial" w:cs="Arial"/>
                          <w:b/>
                          <w:bCs/>
                          <w:sz w:val="28"/>
                          <w:szCs w:val="28"/>
                          <w:lang w:val="es-ES"/>
                        </w:rPr>
                        <w:t>”injektio annettu”</w:t>
                      </w:r>
                    </w:p>
                  </w:txbxContent>
                </v:textbox>
                <w10:anchorlock/>
              </v:shape>
            </w:pict>
          </mc:Fallback>
        </mc:AlternateContent>
      </w:r>
      <w:r>
        <w:rPr>
          <w:noProof/>
          <w:lang w:val="en-US" w:eastAsia="ko-KR"/>
        </w:rPr>
        <mc:AlternateContent>
          <mc:Choice Requires="wps">
            <w:drawing>
              <wp:anchor distT="45720" distB="45720" distL="114300" distR="114300" simplePos="0" relativeHeight="251658266" behindDoc="0" locked="1" layoutInCell="1" allowOverlap="1" wp14:anchorId="6717D294" wp14:editId="4B85F6A0">
                <wp:simplePos x="0" y="0"/>
                <wp:positionH relativeFrom="column">
                  <wp:posOffset>3218815</wp:posOffset>
                </wp:positionH>
                <wp:positionV relativeFrom="paragraph">
                  <wp:posOffset>3513455</wp:posOffset>
                </wp:positionV>
                <wp:extent cx="1344930" cy="1019175"/>
                <wp:effectExtent l="0" t="0" r="0" b="0"/>
                <wp:wrapNone/>
                <wp:docPr id="183395684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019175"/>
                        </a:xfrm>
                        <a:prstGeom prst="rect">
                          <a:avLst/>
                        </a:prstGeom>
                        <a:noFill/>
                        <a:ln w="9525">
                          <a:noFill/>
                          <a:miter lim="800000"/>
                          <a:headEnd/>
                          <a:tailEnd/>
                        </a:ln>
                      </wps:spPr>
                      <wps:txbx>
                        <w:txbxContent>
                          <w:p w14:paraId="48B1C2CB" w14:textId="722A2723" w:rsidR="00EF533A" w:rsidRPr="00CA43F5" w:rsidRDefault="00E62019" w:rsidP="00987BC7">
                            <w:pPr>
                              <w:spacing w:line="252" w:lineRule="auto"/>
                              <w:jc w:val="center"/>
                              <w:rPr>
                                <w:rFonts w:ascii="Arial" w:hAnsi="Arial" w:cs="Arial"/>
                                <w:sz w:val="28"/>
                                <w:szCs w:val="28"/>
                                <w:lang w:val="es-ES"/>
                              </w:rPr>
                            </w:pPr>
                            <w:r w:rsidRPr="00CA43F5">
                              <w:rPr>
                                <w:rFonts w:ascii="Arial" w:hAnsi="Arial" w:cs="Arial"/>
                                <w:sz w:val="28"/>
                                <w:szCs w:val="28"/>
                                <w:lang w:val="es-ES"/>
                              </w:rPr>
                              <w:t>Sininen neulansuojus (lukittunut &amp; neula sisällä)</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7D294" id="Text Box 69" o:spid="_x0000_s1062" type="#_x0000_t202" style="position:absolute;margin-left:253.45pt;margin-top:276.65pt;width:105.9pt;height:80.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" filled="f" stroked="f">
                <v:textbox inset="0,0,0,0">
                  <w:txbxContent>
                    <w:p w14:paraId="48B1C2CB" w14:textId="722A2723" w:rsidR="00EF533A" w:rsidRPr="00CA43F5" w:rsidRDefault="00E62019" w:rsidP="00987BC7">
                      <w:pPr>
                        <w:spacing w:line="252" w:lineRule="auto"/>
                        <w:jc w:val="center"/>
                        <w:rPr>
                          <w:rFonts w:ascii="Arial" w:hAnsi="Arial" w:cs="Arial"/>
                          <w:sz w:val="28"/>
                          <w:szCs w:val="28"/>
                          <w:lang w:val="es-ES"/>
                        </w:rPr>
                      </w:pPr>
                      <w:r w:rsidRPr="00CA43F5">
                        <w:rPr>
                          <w:rFonts w:ascii="Arial" w:hAnsi="Arial" w:cs="Arial"/>
                          <w:sz w:val="28"/>
                          <w:szCs w:val="28"/>
                          <w:lang w:val="es-ES"/>
                        </w:rPr>
                        <w:t>Sininen neulansuojus (lukittunut &amp; neula sisällä)</w:t>
                      </w:r>
                    </w:p>
                  </w:txbxContent>
                </v:textbox>
                <w10:anchorlock/>
              </v:shape>
            </w:pict>
          </mc:Fallback>
        </mc:AlternateContent>
      </w:r>
    </w:p>
    <w:p w14:paraId="7641EA23" w14:textId="6CAC3606" w:rsidR="00EF533A" w:rsidRPr="00DE67E9" w:rsidRDefault="0086716C" w:rsidP="00EF533A">
      <w:pPr>
        <w:spacing w:line="200" w:lineRule="atLeast"/>
        <w:ind w:left="316"/>
      </w:pPr>
      <w:r>
        <w:rPr>
          <w:rFonts w:eastAsia="Times New Roman"/>
          <w:noProof/>
          <w:sz w:val="20"/>
          <w:szCs w:val="20"/>
          <w:lang w:val="en-US" w:eastAsia="ko-KR"/>
        </w:rPr>
        <w:drawing>
          <wp:inline distT="0" distB="0" distL="0" distR="0" wp14:anchorId="5B41E243" wp14:editId="1C4E2FA4">
            <wp:extent cx="5454650" cy="5465445"/>
            <wp:effectExtent l="0" t="0" r="0" b="0"/>
            <wp:docPr id="21" name="그림 15"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텍스트, 스크린샷, 도표, 디자인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4650" cy="5465445"/>
                    </a:xfrm>
                    <a:prstGeom prst="rect">
                      <a:avLst/>
                    </a:prstGeom>
                    <a:noFill/>
                    <a:ln>
                      <a:noFill/>
                    </a:ln>
                  </pic:spPr>
                </pic:pic>
              </a:graphicData>
            </a:graphic>
          </wp:inline>
        </w:drawing>
      </w:r>
    </w:p>
    <w:p w14:paraId="59C04077" w14:textId="76D0B963" w:rsidR="00EF533A" w:rsidRPr="00DE67E9" w:rsidRDefault="004440FA" w:rsidP="00EF533A">
      <w:pPr>
        <w:jc w:val="center"/>
        <w:rPr>
          <w:b/>
          <w:bCs/>
        </w:rPr>
      </w:pPr>
      <w:r>
        <w:rPr>
          <w:b/>
          <w:bCs/>
        </w:rPr>
        <w:t>Kuva</w:t>
      </w:r>
      <w:r w:rsidR="00EF533A" w:rsidRPr="00DE67E9">
        <w:rPr>
          <w:b/>
          <w:bCs/>
        </w:rPr>
        <w:t xml:space="preserve"> A</w:t>
      </w:r>
    </w:p>
    <w:p w14:paraId="2E6668EA" w14:textId="0B11C286" w:rsidR="00EF533A" w:rsidRPr="00DE67E9" w:rsidRDefault="00EF533A" w:rsidP="006E6BB4">
      <w:pPr>
        <w:keepNext/>
        <w:rPr>
          <w:b/>
          <w:bCs/>
        </w:rPr>
      </w:pPr>
      <w:r w:rsidRPr="00DE67E9">
        <w:br w:type="page"/>
      </w:r>
      <w:proofErr w:type="spellStart"/>
      <w:r w:rsidR="004440FA">
        <w:rPr>
          <w:b/>
          <w:bCs/>
        </w:rPr>
        <w:lastRenderedPageBreak/>
        <w:t>Pistoksen</w:t>
      </w:r>
      <w:proofErr w:type="spellEnd"/>
      <w:r w:rsidR="004440FA">
        <w:rPr>
          <w:b/>
          <w:bCs/>
        </w:rPr>
        <w:t xml:space="preserve"> </w:t>
      </w:r>
      <w:proofErr w:type="spellStart"/>
      <w:r w:rsidR="004440FA">
        <w:rPr>
          <w:b/>
          <w:bCs/>
        </w:rPr>
        <w:t>valmistelu</w:t>
      </w:r>
      <w:proofErr w:type="spellEnd"/>
      <w:r w:rsidRPr="00DE67E9">
        <w:rPr>
          <w:b/>
          <w:bCs/>
        </w:rPr>
        <w:t xml:space="preserve"> </w:t>
      </w:r>
    </w:p>
    <w:p w14:paraId="29D3A0DE" w14:textId="77777777" w:rsidR="00EF533A" w:rsidRDefault="00EF533A" w:rsidP="00EF533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9C440C" w:rsidRPr="00BD6707" w14:paraId="1DBD1292" w14:textId="77777777">
        <w:trPr>
          <w:cantSplit/>
        </w:trPr>
        <w:tc>
          <w:tcPr>
            <w:tcW w:w="3539" w:type="dxa"/>
          </w:tcPr>
          <w:p w14:paraId="36CF1F8B" w14:textId="7C8FDB88" w:rsidR="00EF533A" w:rsidRPr="00E919A5" w:rsidRDefault="00A60945" w:rsidP="00A60945">
            <w:pPr>
              <w:suppressAutoHyphens/>
              <w:jc w:val="right"/>
              <w:rPr>
                <w:b/>
                <w:noProof/>
                <w:lang w:val="en-US" w:eastAsia="ko-KR"/>
              </w:rPr>
            </w:pPr>
            <w:bookmarkStart w:id="64" w:name="_Hlk197595726"/>
            <w:r w:rsidRPr="00A60945">
              <w:rPr>
                <w:b/>
                <w:noProof/>
                <w:lang w:val="en-US" w:eastAsia="ko-KR"/>
              </w:rPr>
              <w:drawing>
                <wp:inline distT="0" distB="0" distL="0" distR="0" wp14:anchorId="487CB2AB" wp14:editId="4CCE34DF">
                  <wp:extent cx="2110105" cy="2635857"/>
                  <wp:effectExtent l="0" t="0" r="4445" b="0"/>
                  <wp:docPr id="832136177"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5881" cy="2643072"/>
                          </a:xfrm>
                          <a:prstGeom prst="rect">
                            <a:avLst/>
                          </a:prstGeom>
                          <a:noFill/>
                          <a:ln>
                            <a:noFill/>
                          </a:ln>
                        </pic:spPr>
                      </pic:pic>
                    </a:graphicData>
                  </a:graphic>
                </wp:inline>
              </w:drawing>
            </w:r>
          </w:p>
          <w:p w14:paraId="42F9E87E" w14:textId="38379F20" w:rsidR="00EF533A" w:rsidRDefault="0086716C">
            <w:pPr>
              <w:suppressAutoHyphens/>
              <w:jc w:val="right"/>
              <w:rPr>
                <w:b/>
                <w:bCs/>
                <w:noProof/>
              </w:rPr>
            </w:pPr>
            <w:r>
              <w:rPr>
                <w:b/>
                <w:bCs/>
                <w:noProof/>
                <w:lang w:val="en-US" w:eastAsia="ko-KR"/>
              </w:rPr>
              <mc:AlternateContent>
                <mc:Choice Requires="wps">
                  <w:drawing>
                    <wp:anchor distT="45720" distB="45720" distL="114300" distR="114300" simplePos="0" relativeHeight="251658267" behindDoc="0" locked="1" layoutInCell="1" allowOverlap="1" wp14:anchorId="02218420" wp14:editId="6D5D8802">
                      <wp:simplePos x="0" y="0"/>
                      <wp:positionH relativeFrom="column">
                        <wp:posOffset>1116330</wp:posOffset>
                      </wp:positionH>
                      <wp:positionV relativeFrom="page">
                        <wp:posOffset>699770</wp:posOffset>
                      </wp:positionV>
                      <wp:extent cx="967105" cy="564515"/>
                      <wp:effectExtent l="0" t="0" r="0" b="0"/>
                      <wp:wrapNone/>
                      <wp:docPr id="8548295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564515"/>
                              </a:xfrm>
                              <a:prstGeom prst="rect">
                                <a:avLst/>
                              </a:prstGeom>
                              <a:noFill/>
                              <a:ln>
                                <a:noFill/>
                              </a:ln>
                            </wps:spPr>
                            <wps:txbx>
                              <w:txbxContent>
                                <w:p w14:paraId="7FC0A631" w14:textId="69B76E87" w:rsidR="00EF533A" w:rsidRPr="00EF533A" w:rsidRDefault="00E62019" w:rsidP="00EF533A">
                                  <w:pPr>
                                    <w:spacing w:line="260" w:lineRule="exact"/>
                                    <w:jc w:val="center"/>
                                    <w:rPr>
                                      <w:rFonts w:ascii="Arial" w:hAnsi="Arial"/>
                                      <w:color w:val="595959"/>
                                      <w:sz w:val="20"/>
                                      <w:szCs w:val="20"/>
                                    </w:rPr>
                                  </w:pPr>
                                  <w:r w:rsidRPr="00E62019">
                                    <w:rPr>
                                      <w:rFonts w:ascii="Arial" w:hAnsi="Arial"/>
                                      <w:color w:val="595959"/>
                                      <w:sz w:val="20"/>
                                      <w:szCs w:val="20"/>
                                    </w:rPr>
                                    <w:t>Pumpulituppo tai harsotaitos ja desinfiointipyyhe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18420" id="Text Box 67" o:spid="_x0000_s1063" type="#_x0000_t202" style="position:absolute;left:0;text-align:left;margin-left:87.9pt;margin-top:55.1pt;width:76.15pt;height:44.4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" filled="f" stroked="f">
                      <v:textbox inset="0,0,0,0">
                        <w:txbxContent>
                          <w:p w14:paraId="7FC0A631" w14:textId="69B76E87" w:rsidR="00EF533A" w:rsidRPr="00EF533A" w:rsidRDefault="00E62019" w:rsidP="00EF533A">
                            <w:pPr>
                              <w:spacing w:line="260" w:lineRule="exact"/>
                              <w:jc w:val="center"/>
                              <w:rPr>
                                <w:rFonts w:ascii="Arial" w:hAnsi="Arial"/>
                                <w:color w:val="595959"/>
                                <w:sz w:val="20"/>
                                <w:szCs w:val="20"/>
                              </w:rPr>
                            </w:pPr>
                            <w:r w:rsidRPr="00E62019">
                              <w:rPr>
                                <w:rFonts w:ascii="Arial" w:hAnsi="Arial"/>
                                <w:color w:val="595959"/>
                                <w:sz w:val="20"/>
                                <w:szCs w:val="20"/>
                              </w:rPr>
                              <w:t>Pumpulituppo tai harsotaitos ja desinfiointipyyhe</w:t>
                            </w:r>
                          </w:p>
                        </w:txbxContent>
                      </v:textbox>
                      <w10:wrap anchory="page"/>
                      <w10:anchorlock/>
                    </v:shape>
                  </w:pict>
                </mc:Fallback>
              </mc:AlternateContent>
            </w:r>
            <w:r>
              <w:rPr>
                <w:b/>
                <w:bCs/>
                <w:noProof/>
                <w:lang w:val="en-US" w:eastAsia="ko-KR"/>
              </w:rPr>
              <mc:AlternateContent>
                <mc:Choice Requires="wps">
                  <w:drawing>
                    <wp:anchor distT="45720" distB="45720" distL="114300" distR="114300" simplePos="0" relativeHeight="251658268" behindDoc="0" locked="1" layoutInCell="1" allowOverlap="1" wp14:anchorId="4A6CAEA7" wp14:editId="30817AB1">
                      <wp:simplePos x="0" y="0"/>
                      <wp:positionH relativeFrom="column">
                        <wp:posOffset>1001395</wp:posOffset>
                      </wp:positionH>
                      <wp:positionV relativeFrom="page">
                        <wp:posOffset>2025015</wp:posOffset>
                      </wp:positionV>
                      <wp:extent cx="1011555" cy="564515"/>
                      <wp:effectExtent l="0" t="0" r="0" b="0"/>
                      <wp:wrapNone/>
                      <wp:docPr id="143278193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574BDD63" w14:textId="2207C509" w:rsidR="00EF533A" w:rsidRPr="00237A3E" w:rsidRDefault="00E62019" w:rsidP="00EF533A">
                                  <w:pPr>
                                    <w:spacing w:line="260" w:lineRule="exact"/>
                                    <w:jc w:val="center"/>
                                    <w:rPr>
                                      <w:rFonts w:ascii="Arial" w:hAnsi="Arial"/>
                                      <w:color w:val="595959"/>
                                      <w:sz w:val="20"/>
                                      <w:szCs w:val="20"/>
                                      <w:lang w:val="fi-FI"/>
                                    </w:rPr>
                                  </w:pPr>
                                  <w:r w:rsidRPr="00237A3E">
                                    <w:rPr>
                                      <w:rFonts w:ascii="Arial" w:hAnsi="Arial"/>
                                      <w:color w:val="595959"/>
                                      <w:sz w:val="20"/>
                                      <w:szCs w:val="20"/>
                                      <w:lang w:val="fi-FI"/>
                                    </w:rPr>
                                    <w:t>Pistävälle ja viiltävälle jätteelle tarkoitettu astia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CAEA7" id="Text Box 65" o:spid="_x0000_s1064" type="#_x0000_t202" style="position:absolute;left:0;text-align:left;margin-left:78.85pt;margin-top:159.45pt;width:79.65pt;height:44.4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" filled="f" stroked="f">
                      <v:textbox inset="0,0,0,0">
                        <w:txbxContent>
                          <w:p w14:paraId="574BDD63" w14:textId="2207C509" w:rsidR="00EF533A" w:rsidRPr="00237A3E" w:rsidRDefault="00E62019" w:rsidP="00EF533A">
                            <w:pPr>
                              <w:spacing w:line="260" w:lineRule="exact"/>
                              <w:jc w:val="center"/>
                              <w:rPr>
                                <w:rFonts w:ascii="Arial" w:hAnsi="Arial"/>
                                <w:color w:val="595959"/>
                                <w:sz w:val="20"/>
                                <w:szCs w:val="20"/>
                                <w:lang w:val="fi-FI"/>
                              </w:rPr>
                            </w:pPr>
                            <w:r w:rsidRPr="00237A3E">
                              <w:rPr>
                                <w:rFonts w:ascii="Arial" w:hAnsi="Arial"/>
                                <w:color w:val="595959"/>
                                <w:sz w:val="20"/>
                                <w:szCs w:val="20"/>
                                <w:lang w:val="fi-FI"/>
                              </w:rPr>
                              <w:t>Pistävälle ja viiltävälle jätteelle tarkoitettu astia</w:t>
                            </w:r>
                          </w:p>
                        </w:txbxContent>
                      </v:textbox>
                      <w10:wrap anchory="page"/>
                      <w10:anchorlock/>
                    </v:shape>
                  </w:pict>
                </mc:Fallback>
              </mc:AlternateContent>
            </w:r>
            <w:r>
              <w:rPr>
                <w:b/>
                <w:bCs/>
                <w:noProof/>
                <w:lang w:val="en-US" w:eastAsia="ko-KR"/>
              </w:rPr>
              <mc:AlternateContent>
                <mc:Choice Requires="wps">
                  <w:drawing>
                    <wp:anchor distT="45720" distB="45720" distL="114300" distR="114300" simplePos="0" relativeHeight="251658269" behindDoc="0" locked="1" layoutInCell="1" allowOverlap="1" wp14:anchorId="0362ED47" wp14:editId="43B8D07E">
                      <wp:simplePos x="0" y="0"/>
                      <wp:positionH relativeFrom="column">
                        <wp:posOffset>-4445</wp:posOffset>
                      </wp:positionH>
                      <wp:positionV relativeFrom="page">
                        <wp:posOffset>762000</wp:posOffset>
                      </wp:positionV>
                      <wp:extent cx="1186815" cy="668020"/>
                      <wp:effectExtent l="0" t="0" r="0" b="0"/>
                      <wp:wrapNone/>
                      <wp:docPr id="127661257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668020"/>
                              </a:xfrm>
                              <a:prstGeom prst="rect">
                                <a:avLst/>
                              </a:prstGeom>
                              <a:noFill/>
                              <a:ln>
                                <a:noFill/>
                              </a:ln>
                            </wps:spPr>
                            <wps:txbx>
                              <w:txbxContent>
                                <w:p w14:paraId="716F1E4C" w14:textId="34EC74CF" w:rsidR="00EF533A" w:rsidRPr="00EF533A" w:rsidRDefault="00E62019" w:rsidP="00EF533A">
                                  <w:pPr>
                                    <w:spacing w:line="260" w:lineRule="exact"/>
                                    <w:jc w:val="center"/>
                                    <w:rPr>
                                      <w:rFonts w:ascii="Arial" w:hAnsi="Arial"/>
                                      <w:color w:val="595959"/>
                                      <w:sz w:val="20"/>
                                      <w:szCs w:val="20"/>
                                    </w:rPr>
                                  </w:pPr>
                                  <w:r w:rsidRPr="00E62019">
                                    <w:rPr>
                                      <w:rFonts w:ascii="Arial" w:hAnsi="Arial"/>
                                      <w:color w:val="595959"/>
                                      <w:sz w:val="20"/>
                                      <w:szCs w:val="20"/>
                                    </w:rPr>
                                    <w:t>Esitäytetyn Avtozma-ruiskun sisältävä kartonkikotelo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2ED47" id="Text Box 63" o:spid="_x0000_s1065" type="#_x0000_t202" style="position:absolute;left:0;text-align:left;margin-left:-.35pt;margin-top:60pt;width:93.45pt;height:52.6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" filled="f" stroked="f">
                      <v:textbox inset="0,0,0,0">
                        <w:txbxContent>
                          <w:p w14:paraId="716F1E4C" w14:textId="34EC74CF" w:rsidR="00EF533A" w:rsidRPr="00EF533A" w:rsidRDefault="00E62019" w:rsidP="00EF533A">
                            <w:pPr>
                              <w:spacing w:line="260" w:lineRule="exact"/>
                              <w:jc w:val="center"/>
                              <w:rPr>
                                <w:rFonts w:ascii="Arial" w:hAnsi="Arial"/>
                                <w:color w:val="595959"/>
                                <w:sz w:val="20"/>
                                <w:szCs w:val="20"/>
                              </w:rPr>
                            </w:pPr>
                            <w:r w:rsidRPr="00E62019">
                              <w:rPr>
                                <w:rFonts w:ascii="Arial" w:hAnsi="Arial"/>
                                <w:color w:val="595959"/>
                                <w:sz w:val="20"/>
                                <w:szCs w:val="20"/>
                              </w:rPr>
                              <w:t>Esitäytetyn Avtozma-ruiskun sisältävä kartonkikotelo</w:t>
                            </w:r>
                          </w:p>
                        </w:txbxContent>
                      </v:textbox>
                      <w10:wrap anchory="page"/>
                      <w10:anchorlock/>
                    </v:shape>
                  </w:pict>
                </mc:Fallback>
              </mc:AlternateContent>
            </w:r>
            <w:r>
              <w:rPr>
                <w:b/>
                <w:bCs/>
                <w:noProof/>
                <w:lang w:val="en-US" w:eastAsia="ko-KR"/>
              </w:rPr>
              <mc:AlternateContent>
                <mc:Choice Requires="wps">
                  <w:drawing>
                    <wp:anchor distT="45720" distB="45720" distL="114300" distR="114300" simplePos="0" relativeHeight="251658270" behindDoc="0" locked="1" layoutInCell="1" allowOverlap="1" wp14:anchorId="4E698D5E" wp14:editId="068EE0EE">
                      <wp:simplePos x="0" y="0"/>
                      <wp:positionH relativeFrom="column">
                        <wp:posOffset>85725</wp:posOffset>
                      </wp:positionH>
                      <wp:positionV relativeFrom="page">
                        <wp:posOffset>2024380</wp:posOffset>
                      </wp:positionV>
                      <wp:extent cx="862965" cy="294005"/>
                      <wp:effectExtent l="0" t="0" r="0" b="0"/>
                      <wp:wrapNone/>
                      <wp:docPr id="15614220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94005"/>
                              </a:xfrm>
                              <a:prstGeom prst="rect">
                                <a:avLst/>
                              </a:prstGeom>
                              <a:noFill/>
                              <a:ln>
                                <a:noFill/>
                              </a:ln>
                            </wps:spPr>
                            <wps:txbx>
                              <w:txbxContent>
                                <w:p w14:paraId="08AC4C74" w14:textId="42081BEB" w:rsidR="00EF533A" w:rsidRPr="00EF533A" w:rsidRDefault="00E62019" w:rsidP="00EF533A">
                                  <w:pPr>
                                    <w:spacing w:line="260" w:lineRule="exact"/>
                                    <w:jc w:val="center"/>
                                    <w:rPr>
                                      <w:rFonts w:ascii="Arial" w:hAnsi="Arial"/>
                                      <w:color w:val="595959"/>
                                      <w:sz w:val="20"/>
                                      <w:szCs w:val="20"/>
                                    </w:rPr>
                                  </w:pPr>
                                  <w:r w:rsidRPr="00E62019">
                                    <w:rPr>
                                      <w:rFonts w:ascii="Arial" w:hAnsi="Arial"/>
                                      <w:color w:val="595959"/>
                                      <w:sz w:val="20"/>
                                      <w:szCs w:val="20"/>
                                    </w:rPr>
                                    <w:t>Laastari</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98D5E" id="Text Box 61" o:spid="_x0000_s1066" type="#_x0000_t202" style="position:absolute;left:0;text-align:left;margin-left:6.75pt;margin-top:159.4pt;width:67.95pt;height:23.1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" filled="f" stroked="f">
                      <v:textbox inset="0,0,0,0">
                        <w:txbxContent>
                          <w:p w14:paraId="08AC4C74" w14:textId="42081BEB" w:rsidR="00EF533A" w:rsidRPr="00EF533A" w:rsidRDefault="00E62019" w:rsidP="00EF533A">
                            <w:pPr>
                              <w:spacing w:line="260" w:lineRule="exact"/>
                              <w:jc w:val="center"/>
                              <w:rPr>
                                <w:rFonts w:ascii="Arial" w:hAnsi="Arial"/>
                                <w:color w:val="595959"/>
                                <w:sz w:val="20"/>
                                <w:szCs w:val="20"/>
                              </w:rPr>
                            </w:pPr>
                            <w:r w:rsidRPr="00E62019">
                              <w:rPr>
                                <w:rFonts w:ascii="Arial" w:hAnsi="Arial"/>
                                <w:color w:val="595959"/>
                                <w:sz w:val="20"/>
                                <w:szCs w:val="20"/>
                              </w:rPr>
                              <w:t>Laastari</w:t>
                            </w:r>
                          </w:p>
                        </w:txbxContent>
                      </v:textbox>
                      <w10:wrap anchory="page"/>
                      <w10:anchorlock/>
                    </v:shape>
                  </w:pict>
                </mc:Fallback>
              </mc:AlternateContent>
            </w:r>
            <w:r w:rsidR="00FD25B0">
              <w:rPr>
                <w:b/>
                <w:bCs/>
                <w:noProof/>
              </w:rPr>
              <w:t>Kuva</w:t>
            </w:r>
            <w:r w:rsidR="00EF533A">
              <w:rPr>
                <w:b/>
                <w:bCs/>
                <w:noProof/>
              </w:rPr>
              <w:t xml:space="preserve"> B</w:t>
            </w:r>
          </w:p>
        </w:tc>
        <w:tc>
          <w:tcPr>
            <w:tcW w:w="5517" w:type="dxa"/>
          </w:tcPr>
          <w:p w14:paraId="0859112E" w14:textId="3AB28E9A" w:rsidR="00EF533A" w:rsidRDefault="004440FA">
            <w:pPr>
              <w:pStyle w:val="a4"/>
              <w:widowControl w:val="0"/>
              <w:numPr>
                <w:ilvl w:val="0"/>
                <w:numId w:val="57"/>
              </w:numPr>
              <w:ind w:left="567" w:hanging="567"/>
              <w:rPr>
                <w:b/>
              </w:rPr>
            </w:pPr>
            <w:r>
              <w:rPr>
                <w:b/>
                <w:lang w:val="en-US"/>
              </w:rPr>
              <w:t xml:space="preserve">Ota </w:t>
            </w:r>
            <w:proofErr w:type="spellStart"/>
            <w:r>
              <w:rPr>
                <w:b/>
                <w:lang w:val="en-US"/>
              </w:rPr>
              <w:t>pistostarvikkeet</w:t>
            </w:r>
            <w:proofErr w:type="spellEnd"/>
            <w:r>
              <w:rPr>
                <w:b/>
                <w:lang w:val="en-US"/>
              </w:rPr>
              <w:t xml:space="preserve"> </w:t>
            </w:r>
            <w:proofErr w:type="spellStart"/>
            <w:r>
              <w:rPr>
                <w:b/>
                <w:lang w:val="en-US"/>
              </w:rPr>
              <w:t>esille</w:t>
            </w:r>
            <w:proofErr w:type="spellEnd"/>
            <w:r w:rsidR="00EF533A">
              <w:rPr>
                <w:b/>
              </w:rPr>
              <w:t>.</w:t>
            </w:r>
          </w:p>
          <w:p w14:paraId="5BF4B84C" w14:textId="77777777" w:rsidR="00EF533A" w:rsidRDefault="00EF533A">
            <w:pPr>
              <w:pStyle w:val="a4"/>
              <w:ind w:left="567" w:hanging="567"/>
              <w:rPr>
                <w:b/>
              </w:rPr>
            </w:pPr>
          </w:p>
          <w:p w14:paraId="564F2A5A" w14:textId="13F877EC" w:rsidR="00EF533A" w:rsidRDefault="004440FA" w:rsidP="00070CF8">
            <w:pPr>
              <w:pStyle w:val="a4"/>
              <w:widowControl w:val="0"/>
              <w:numPr>
                <w:ilvl w:val="0"/>
                <w:numId w:val="58"/>
              </w:numPr>
              <w:ind w:left="567" w:hanging="567"/>
              <w:rPr>
                <w:bCs/>
              </w:rPr>
            </w:pPr>
            <w:r>
              <w:t>Valmistele puhdas, tasainen ja hyvin valaistu työskentelyalusta, kuten pöytä tai muu vastaava taso</w:t>
            </w:r>
            <w:r w:rsidR="00EF533A">
              <w:rPr>
                <w:bCs/>
              </w:rPr>
              <w:t>.</w:t>
            </w:r>
          </w:p>
          <w:p w14:paraId="3618AA5E" w14:textId="67E8E849" w:rsidR="00EF533A" w:rsidRDefault="004440FA" w:rsidP="00A05ED4">
            <w:pPr>
              <w:pStyle w:val="a4"/>
              <w:widowControl w:val="0"/>
              <w:numPr>
                <w:ilvl w:val="0"/>
                <w:numId w:val="58"/>
              </w:numPr>
              <w:ind w:left="567" w:hanging="567"/>
              <w:rPr>
                <w:bCs/>
              </w:rPr>
            </w:pPr>
            <w:r>
              <w:t xml:space="preserve">Ota esitäytetyn kynän sisältävä </w:t>
            </w:r>
            <w:r w:rsidR="0038520F">
              <w:t>kartonkikotelo</w:t>
            </w:r>
            <w:r>
              <w:t xml:space="preserve"> pois jääkaapista</w:t>
            </w:r>
            <w:r w:rsidR="00EF533A">
              <w:rPr>
                <w:bCs/>
              </w:rPr>
              <w:t>.</w:t>
            </w:r>
          </w:p>
          <w:p w14:paraId="6B4CB2A9" w14:textId="3C19B536" w:rsidR="00EF533A" w:rsidRDefault="004440FA" w:rsidP="00A05ED4">
            <w:pPr>
              <w:pStyle w:val="a4"/>
              <w:widowControl w:val="0"/>
              <w:numPr>
                <w:ilvl w:val="0"/>
                <w:numId w:val="58"/>
              </w:numPr>
              <w:ind w:left="567" w:hanging="567"/>
              <w:rPr>
                <w:bCs/>
              </w:rPr>
            </w:pPr>
            <w:r>
              <w:t>Varmista, että sinulla on seuraavat tarvikkeet</w:t>
            </w:r>
            <w:r w:rsidRPr="00491903">
              <w:t xml:space="preserve"> (</w:t>
            </w:r>
            <w:r>
              <w:t>ks.</w:t>
            </w:r>
            <w:r w:rsidRPr="00491903">
              <w:t xml:space="preserve"> </w:t>
            </w:r>
            <w:r>
              <w:rPr>
                <w:b/>
                <w:bCs/>
              </w:rPr>
              <w:t>kuva B</w:t>
            </w:r>
            <w:r w:rsidRPr="00491903">
              <w:t>)</w:t>
            </w:r>
            <w:r>
              <w:t>:</w:t>
            </w:r>
          </w:p>
          <w:p w14:paraId="786EE76A" w14:textId="45F5002B" w:rsidR="00EF533A" w:rsidRPr="00DE67E9" w:rsidRDefault="00EF533A">
            <w:pPr>
              <w:pStyle w:val="a4"/>
              <w:ind w:left="567" w:hanging="567"/>
              <w:rPr>
                <w:lang w:eastAsia="ko-KR"/>
              </w:rPr>
            </w:pPr>
            <w:r w:rsidRPr="00DE67E9">
              <w:rPr>
                <w:lang w:eastAsia="ko-KR"/>
              </w:rPr>
              <w:t xml:space="preserve">- </w:t>
            </w:r>
            <w:r w:rsidR="004440FA">
              <w:t>Esitäytetyn Avtozma-kynän sisältävä kartonkikotelo</w:t>
            </w:r>
          </w:p>
          <w:p w14:paraId="51B0CE9C" w14:textId="77777777" w:rsidR="00EF533A" w:rsidRPr="00DE67E9" w:rsidRDefault="00EF533A">
            <w:pPr>
              <w:pStyle w:val="a4"/>
              <w:ind w:left="567" w:hanging="567"/>
              <w:rPr>
                <w:lang w:eastAsia="ko-KR"/>
              </w:rPr>
            </w:pPr>
          </w:p>
          <w:p w14:paraId="1860C40B" w14:textId="77777777" w:rsidR="004440FA" w:rsidRPr="00CA43F5" w:rsidRDefault="004440FA">
            <w:pPr>
              <w:widowControl w:val="0"/>
              <w:suppressAutoHyphens/>
              <w:rPr>
                <w:rFonts w:eastAsia="Times New Roman"/>
                <w:b/>
                <w:lang w:val="fi-FI" w:eastAsia="ko-KR"/>
              </w:rPr>
            </w:pPr>
            <w:r w:rsidRPr="00CA43F5">
              <w:rPr>
                <w:b/>
                <w:bCs/>
                <w:lang w:val="fi-FI"/>
              </w:rPr>
              <w:t>Ei mukana pakkauksessa</w:t>
            </w:r>
            <w:r w:rsidRPr="00CA43F5">
              <w:rPr>
                <w:rFonts w:eastAsia="Times New Roman"/>
                <w:b/>
                <w:lang w:val="fi-FI" w:eastAsia="ko-KR"/>
              </w:rPr>
              <w:t>:</w:t>
            </w:r>
          </w:p>
          <w:p w14:paraId="534DAB4B" w14:textId="77777777" w:rsidR="004440FA" w:rsidRPr="00CA43F5" w:rsidRDefault="004440FA">
            <w:pPr>
              <w:widowControl w:val="0"/>
              <w:suppressAutoHyphens/>
              <w:rPr>
                <w:rFonts w:eastAsia="Times New Roman"/>
                <w:lang w:val="fi-FI" w:eastAsia="ko-KR"/>
              </w:rPr>
            </w:pPr>
            <w:r w:rsidRPr="00CA43F5">
              <w:rPr>
                <w:rFonts w:eastAsia="Times New Roman"/>
                <w:lang w:val="fi-FI" w:eastAsia="ko-KR"/>
              </w:rPr>
              <w:t xml:space="preserve">- </w:t>
            </w:r>
            <w:r w:rsidRPr="00CA43F5">
              <w:rPr>
                <w:lang w:val="fi-FI"/>
              </w:rPr>
              <w:t>Pumpulituppo tai harsotaitos</w:t>
            </w:r>
          </w:p>
          <w:p w14:paraId="65B13928" w14:textId="77777777" w:rsidR="004440FA" w:rsidRPr="00CA43F5" w:rsidRDefault="004440FA">
            <w:pPr>
              <w:widowControl w:val="0"/>
              <w:suppressAutoHyphens/>
              <w:rPr>
                <w:rFonts w:eastAsia="Times New Roman"/>
                <w:lang w:val="fi-FI" w:eastAsia="ko-KR"/>
              </w:rPr>
            </w:pPr>
            <w:r w:rsidRPr="00CA43F5">
              <w:rPr>
                <w:rFonts w:eastAsia="Times New Roman"/>
                <w:lang w:val="fi-FI" w:eastAsia="ko-KR"/>
              </w:rPr>
              <w:t>- Laastari</w:t>
            </w:r>
          </w:p>
          <w:p w14:paraId="5AEA965C" w14:textId="77777777" w:rsidR="004440FA" w:rsidRPr="00CA43F5" w:rsidRDefault="004440FA">
            <w:pPr>
              <w:widowControl w:val="0"/>
              <w:suppressAutoHyphens/>
              <w:rPr>
                <w:rFonts w:eastAsia="Times New Roman"/>
                <w:lang w:val="fi-FI" w:eastAsia="ko-KR"/>
              </w:rPr>
            </w:pPr>
            <w:r w:rsidRPr="00CA43F5">
              <w:rPr>
                <w:rFonts w:eastAsia="Times New Roman"/>
                <w:lang w:val="fi-FI" w:eastAsia="ko-KR"/>
              </w:rPr>
              <w:t xml:space="preserve">- </w:t>
            </w:r>
            <w:r w:rsidRPr="00CA43F5">
              <w:rPr>
                <w:color w:val="231F20"/>
                <w:lang w:val="fi-FI"/>
              </w:rPr>
              <w:t>Pistävälle ja viiltävälle jätteelle tarkoitettu astia</w:t>
            </w:r>
          </w:p>
          <w:p w14:paraId="483C08BE" w14:textId="749737A9" w:rsidR="00EF533A" w:rsidRPr="00DE67E9" w:rsidRDefault="004440FA">
            <w:pPr>
              <w:pStyle w:val="a4"/>
              <w:ind w:left="567" w:hanging="567"/>
              <w:rPr>
                <w:lang w:eastAsia="ko-KR"/>
              </w:rPr>
            </w:pPr>
            <w:r>
              <w:rPr>
                <w:lang w:val="en-US" w:eastAsia="ko-KR"/>
              </w:rPr>
              <w:t xml:space="preserve">- </w:t>
            </w:r>
            <w:r>
              <w:t>D</w:t>
            </w:r>
            <w:r w:rsidRPr="0028514E">
              <w:t>esinfiointipyyhe</w:t>
            </w:r>
          </w:p>
          <w:p w14:paraId="422843C7" w14:textId="77777777" w:rsidR="00EF533A" w:rsidRPr="00DE67E9" w:rsidRDefault="00EF533A" w:rsidP="00940778"/>
        </w:tc>
      </w:tr>
      <w:bookmarkEnd w:id="64"/>
      <w:tr w:rsidR="009C440C" w:rsidRPr="00BB5A61" w14:paraId="173C812C" w14:textId="77777777">
        <w:trPr>
          <w:cantSplit/>
        </w:trPr>
        <w:tc>
          <w:tcPr>
            <w:tcW w:w="3539" w:type="dxa"/>
          </w:tcPr>
          <w:p w14:paraId="797E2661" w14:textId="2F5C0E0A" w:rsidR="00EF533A" w:rsidRDefault="0086716C">
            <w:pPr>
              <w:suppressAutoHyphens/>
              <w:jc w:val="right"/>
              <w:rPr>
                <w:b/>
                <w:noProof/>
                <w:lang w:eastAsia="ko-KR"/>
              </w:rPr>
            </w:pPr>
            <w:r>
              <w:rPr>
                <w:rFonts w:eastAsia="Times New Roman"/>
                <w:b/>
                <w:noProof/>
                <w:lang w:val="en-US" w:eastAsia="ko-KR"/>
              </w:rPr>
              <w:drawing>
                <wp:inline distT="0" distB="0" distL="0" distR="0" wp14:anchorId="5F7C47FD" wp14:editId="6F0509F6">
                  <wp:extent cx="2062480" cy="2573020"/>
                  <wp:effectExtent l="19050" t="19050" r="0" b="0"/>
                  <wp:docPr id="23" name="그림 13"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텍스트, 스케치, 도표, 원이(가) 표시된 사진&#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2480" cy="2573020"/>
                          </a:xfrm>
                          <a:prstGeom prst="rect">
                            <a:avLst/>
                          </a:prstGeom>
                          <a:noFill/>
                          <a:ln w="9525" cmpd="sng">
                            <a:solidFill>
                              <a:srgbClr val="000000"/>
                            </a:solidFill>
                            <a:miter lim="800000"/>
                            <a:headEnd/>
                            <a:tailEnd/>
                          </a:ln>
                          <a:effectLst/>
                        </pic:spPr>
                      </pic:pic>
                    </a:graphicData>
                  </a:graphic>
                </wp:inline>
              </w:drawing>
            </w:r>
          </w:p>
          <w:p w14:paraId="7793520B" w14:textId="5073BABC" w:rsidR="00EF533A" w:rsidRDefault="0086716C">
            <w:pPr>
              <w:suppressAutoHyphens/>
              <w:jc w:val="right"/>
              <w:rPr>
                <w:b/>
                <w:noProof/>
                <w:lang w:eastAsia="ko-KR"/>
              </w:rPr>
            </w:pPr>
            <w:r>
              <w:rPr>
                <w:b/>
                <w:bCs/>
                <w:noProof/>
                <w:lang w:val="en-US" w:eastAsia="ko-KR"/>
              </w:rPr>
              <mc:AlternateContent>
                <mc:Choice Requires="wps">
                  <w:drawing>
                    <wp:anchor distT="45720" distB="45720" distL="114300" distR="114300" simplePos="0" relativeHeight="251658271" behindDoc="0" locked="1" layoutInCell="1" allowOverlap="1" wp14:anchorId="33AABD05" wp14:editId="0E899DB4">
                      <wp:simplePos x="0" y="0"/>
                      <wp:positionH relativeFrom="column">
                        <wp:posOffset>1058545</wp:posOffset>
                      </wp:positionH>
                      <wp:positionV relativeFrom="paragraph">
                        <wp:posOffset>-1686560</wp:posOffset>
                      </wp:positionV>
                      <wp:extent cx="673100" cy="233045"/>
                      <wp:effectExtent l="19050" t="38100" r="0" b="35560"/>
                      <wp:wrapNone/>
                      <wp:docPr id="196193387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wps:spPr>
                            <wps:txbx>
                              <w:txbxContent>
                                <w:p w14:paraId="270449A4" w14:textId="71505A34" w:rsidR="00EF533A" w:rsidRPr="00F32F95" w:rsidRDefault="00E62019" w:rsidP="00EF533A">
                                  <w:pPr>
                                    <w:jc w:val="center"/>
                                    <w:rPr>
                                      <w:rFonts w:ascii="Arial Narrow" w:hAnsi="Arial Narrow"/>
                                      <w:b/>
                                      <w:bCs/>
                                      <w:sz w:val="16"/>
                                      <w:szCs w:val="16"/>
                                    </w:rPr>
                                  </w:pPr>
                                  <w:r w:rsidRPr="00E62019">
                                    <w:rPr>
                                      <w:rFonts w:ascii="Arial Narrow" w:hAnsi="Arial Narrow"/>
                                      <w:b/>
                                      <w:bCs/>
                                      <w:sz w:val="16"/>
                                      <w:szCs w:val="16"/>
                                    </w:rPr>
                                    <w:t>EXP: KK VVVV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3AABD05" id="Text Box 59" o:spid="_x0000_s1067" type="#_x0000_t202" style="position:absolute;left:0;text-align:left;margin-left:83.35pt;margin-top:-132.8pt;width:53pt;height:18.35pt;rotation:-448334fd;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" filled="f" stroked="f">
                      <v:textbox style="mso-fit-shape-to-text:t" inset="0,0,0,0">
                        <w:txbxContent>
                          <w:p w14:paraId="270449A4" w14:textId="71505A34" w:rsidR="00EF533A" w:rsidRPr="00F32F95" w:rsidRDefault="00E62019" w:rsidP="00EF533A">
                            <w:pPr>
                              <w:jc w:val="center"/>
                              <w:rPr>
                                <w:rFonts w:ascii="Arial Narrow" w:hAnsi="Arial Narrow"/>
                                <w:b/>
                                <w:bCs/>
                                <w:sz w:val="16"/>
                                <w:szCs w:val="16"/>
                              </w:rPr>
                            </w:pPr>
                            <w:r w:rsidRPr="00E62019">
                              <w:rPr>
                                <w:rFonts w:ascii="Arial Narrow" w:hAnsi="Arial Narrow"/>
                                <w:b/>
                                <w:bCs/>
                                <w:sz w:val="16"/>
                                <w:szCs w:val="16"/>
                              </w:rPr>
                              <w:t>EXP: KK VVVV</w:t>
                            </w:r>
                          </w:p>
                        </w:txbxContent>
                      </v:textbox>
                      <w10:anchorlock/>
                    </v:shape>
                  </w:pict>
                </mc:Fallback>
              </mc:AlternateContent>
            </w:r>
            <w:r>
              <w:rPr>
                <w:b/>
                <w:bCs/>
                <w:noProof/>
                <w:lang w:val="en-US" w:eastAsia="ko-KR"/>
              </w:rPr>
              <mc:AlternateContent>
                <mc:Choice Requires="wps">
                  <w:drawing>
                    <wp:anchor distT="45720" distB="45720" distL="114300" distR="114300" simplePos="0" relativeHeight="251658272" behindDoc="0" locked="1" layoutInCell="1" allowOverlap="1" wp14:anchorId="480912F2" wp14:editId="214B16AD">
                      <wp:simplePos x="0" y="0"/>
                      <wp:positionH relativeFrom="column">
                        <wp:posOffset>1437640</wp:posOffset>
                      </wp:positionH>
                      <wp:positionV relativeFrom="paragraph">
                        <wp:posOffset>-659765</wp:posOffset>
                      </wp:positionV>
                      <wp:extent cx="673100" cy="87630"/>
                      <wp:effectExtent l="19050" t="38100" r="0" b="26670"/>
                      <wp:wrapNone/>
                      <wp:docPr id="14687335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87630"/>
                              </a:xfrm>
                              <a:prstGeom prst="rect">
                                <a:avLst/>
                              </a:prstGeom>
                              <a:noFill/>
                              <a:ln>
                                <a:noFill/>
                              </a:ln>
                            </wps:spPr>
                            <wps:txbx>
                              <w:txbxContent>
                                <w:p w14:paraId="55925D56" w14:textId="508ED585" w:rsidR="00EF533A" w:rsidRPr="00F32F95" w:rsidRDefault="00E62019" w:rsidP="00EF533A">
                                  <w:pPr>
                                    <w:rPr>
                                      <w:rFonts w:ascii="Arial Narrow" w:hAnsi="Arial Narrow"/>
                                      <w:b/>
                                      <w:bCs/>
                                      <w:sz w:val="12"/>
                                      <w:szCs w:val="12"/>
                                    </w:rPr>
                                  </w:pPr>
                                  <w:r w:rsidRPr="00E62019">
                                    <w:rPr>
                                      <w:rFonts w:ascii="Arial Narrow" w:hAnsi="Arial Narrow"/>
                                      <w:b/>
                                      <w:bCs/>
                                      <w:sz w:val="12"/>
                                      <w:szCs w:val="12"/>
                                    </w:rPr>
                                    <w:t>EXP: KK VVVV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80912F2" id="Text Box 57" o:spid="_x0000_s1068" type="#_x0000_t202" style="position:absolute;left:0;text-align:left;margin-left:113.2pt;margin-top:-51.95pt;width:53pt;height:6.9pt;rotation:-535127fd;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" filled="f" stroked="f">
                      <v:textbox style="mso-fit-shape-to-text:t" inset="0,0,0,0">
                        <w:txbxContent>
                          <w:p w14:paraId="55925D56" w14:textId="508ED585" w:rsidR="00EF533A" w:rsidRPr="00F32F95" w:rsidRDefault="00E62019" w:rsidP="00EF533A">
                            <w:pPr>
                              <w:rPr>
                                <w:rFonts w:ascii="Arial Narrow" w:hAnsi="Arial Narrow"/>
                                <w:b/>
                                <w:bCs/>
                                <w:sz w:val="12"/>
                                <w:szCs w:val="12"/>
                              </w:rPr>
                            </w:pPr>
                            <w:r w:rsidRPr="00E62019">
                              <w:rPr>
                                <w:rFonts w:ascii="Arial Narrow" w:hAnsi="Arial Narrow"/>
                                <w:b/>
                                <w:bCs/>
                                <w:sz w:val="12"/>
                                <w:szCs w:val="12"/>
                              </w:rPr>
                              <w:t>EXP: KK VVVV</w:t>
                            </w:r>
                          </w:p>
                        </w:txbxContent>
                      </v:textbox>
                      <w10:anchorlock/>
                    </v:shape>
                  </w:pict>
                </mc:Fallback>
              </mc:AlternateContent>
            </w:r>
            <w:r w:rsidR="00FD25B0">
              <w:rPr>
                <w:b/>
                <w:bCs/>
                <w:noProof/>
              </w:rPr>
              <w:t>Kuva</w:t>
            </w:r>
            <w:r w:rsidR="00EF533A">
              <w:rPr>
                <w:b/>
                <w:noProof/>
                <w:lang w:eastAsia="ko-KR"/>
              </w:rPr>
              <w:t xml:space="preserve"> C</w:t>
            </w:r>
          </w:p>
        </w:tc>
        <w:tc>
          <w:tcPr>
            <w:tcW w:w="5517" w:type="dxa"/>
          </w:tcPr>
          <w:p w14:paraId="69BF651B" w14:textId="6E49EDEB" w:rsidR="00EF533A" w:rsidRDefault="004440FA">
            <w:pPr>
              <w:pStyle w:val="a4"/>
              <w:widowControl w:val="0"/>
              <w:numPr>
                <w:ilvl w:val="0"/>
                <w:numId w:val="57"/>
              </w:numPr>
              <w:ind w:left="567" w:hanging="567"/>
              <w:rPr>
                <w:b/>
              </w:rPr>
            </w:pPr>
            <w:r>
              <w:rPr>
                <w:b/>
                <w:bCs/>
              </w:rPr>
              <w:t>Tarkista kartonkikotelo.</w:t>
            </w:r>
          </w:p>
          <w:p w14:paraId="6E96B969" w14:textId="77777777" w:rsidR="00EF533A" w:rsidRDefault="00EF533A">
            <w:pPr>
              <w:pStyle w:val="a4"/>
              <w:ind w:left="567" w:hanging="567"/>
              <w:rPr>
                <w:b/>
              </w:rPr>
            </w:pPr>
          </w:p>
          <w:p w14:paraId="2753F3F9" w14:textId="3EA904BD" w:rsidR="00EF533A" w:rsidRDefault="004440FA">
            <w:pPr>
              <w:pStyle w:val="a4"/>
              <w:widowControl w:val="0"/>
              <w:numPr>
                <w:ilvl w:val="0"/>
                <w:numId w:val="59"/>
              </w:numPr>
              <w:ind w:left="567" w:hanging="567"/>
              <w:rPr>
                <w:bCs/>
              </w:rPr>
            </w:pPr>
            <w:r w:rsidRPr="00CA43F5">
              <w:rPr>
                <w:rFonts w:cs="Arial"/>
                <w:bCs/>
              </w:rPr>
              <w:t>Tarkista kartonkikotelosta, että kyseessä on oikea lääke ja annosvahvuus (Avtozma).</w:t>
            </w:r>
          </w:p>
          <w:p w14:paraId="5AC350A0" w14:textId="4E8E1659" w:rsidR="00EF533A" w:rsidRDefault="004440FA">
            <w:pPr>
              <w:pStyle w:val="a4"/>
              <w:widowControl w:val="0"/>
              <w:numPr>
                <w:ilvl w:val="0"/>
                <w:numId w:val="59"/>
              </w:numPr>
              <w:ind w:left="567" w:hanging="567"/>
              <w:rPr>
                <w:bCs/>
              </w:rPr>
            </w:pPr>
            <w:r w:rsidRPr="00480A32">
              <w:t xml:space="preserve">Tarkista viimeinen käyttöpäivämäärä kartonkikotelosta varmistaaksesi, ettei päivämäärä ole </w:t>
            </w:r>
            <w:r w:rsidRPr="00FD25B0">
              <w:t>umpeutunut</w:t>
            </w:r>
            <w:r w:rsidRPr="00CA43F5">
              <w:rPr>
                <w:rFonts w:cs="Arial"/>
                <w:bCs/>
              </w:rPr>
              <w:t>.</w:t>
            </w:r>
          </w:p>
          <w:p w14:paraId="17B54538" w14:textId="77777777" w:rsidR="00EF533A" w:rsidRDefault="00EF533A">
            <w:pPr>
              <w:pStyle w:val="a4"/>
              <w:ind w:left="0"/>
              <w:rPr>
                <w:b/>
                <w:lang w:eastAsia="ko-KR"/>
              </w:rPr>
            </w:pPr>
          </w:p>
          <w:p w14:paraId="202D39AE" w14:textId="36D616D7" w:rsidR="00EF533A" w:rsidRDefault="004440FA" w:rsidP="00CA43F5">
            <w:pPr>
              <w:pStyle w:val="a4"/>
              <w:widowControl w:val="0"/>
              <w:numPr>
                <w:ilvl w:val="0"/>
                <w:numId w:val="38"/>
              </w:numPr>
              <w:ind w:left="1134" w:hanging="567"/>
              <w:rPr>
                <w:lang w:eastAsia="ko-KR"/>
              </w:rPr>
            </w:pPr>
            <w:r>
              <w:rPr>
                <w:b/>
                <w:bCs/>
              </w:rPr>
              <w:t>Älä</w:t>
            </w:r>
            <w:r w:rsidRPr="00FD25B0">
              <w:t xml:space="preserve"> käytä esitäytettyä kynää, jos viimeinen käyttöpäivämäärä on ohitettu.</w:t>
            </w:r>
          </w:p>
          <w:p w14:paraId="020A94DE" w14:textId="489FEEFC" w:rsidR="00EF533A" w:rsidRPr="00FD25B0" w:rsidRDefault="004440FA" w:rsidP="00CA43F5">
            <w:pPr>
              <w:pStyle w:val="a4"/>
              <w:widowControl w:val="0"/>
              <w:numPr>
                <w:ilvl w:val="0"/>
                <w:numId w:val="38"/>
              </w:numPr>
              <w:ind w:left="1134" w:hanging="567"/>
            </w:pPr>
            <w:r w:rsidRPr="00FD25B0">
              <w:t>Jos avaat kartonkikotelon ensimmäistä kertaa, tarkista, että se on asianmukaisesti sinetöity</w:t>
            </w:r>
            <w:r w:rsidR="00EF533A" w:rsidRPr="00FD25B0">
              <w:rPr>
                <w:lang w:eastAsia="ko-KR"/>
              </w:rPr>
              <w:t xml:space="preserve">. </w:t>
            </w:r>
          </w:p>
          <w:p w14:paraId="6AFDB527" w14:textId="2829E99C" w:rsidR="00EF533A" w:rsidRPr="00FD25B0" w:rsidRDefault="00FD25B0" w:rsidP="00CA43F5">
            <w:pPr>
              <w:pStyle w:val="a4"/>
              <w:widowControl w:val="0"/>
              <w:numPr>
                <w:ilvl w:val="0"/>
                <w:numId w:val="38"/>
              </w:numPr>
              <w:ind w:left="1134" w:hanging="567"/>
              <w:rPr>
                <w:lang w:eastAsia="ko-KR"/>
              </w:rPr>
            </w:pPr>
            <w:r>
              <w:rPr>
                <w:b/>
              </w:rPr>
              <w:t xml:space="preserve">Älä </w:t>
            </w:r>
            <w:r w:rsidRPr="00FD25B0">
              <w:t>käytä esitäytettyä kynää</w:t>
            </w:r>
            <w:r>
              <w:t>,</w:t>
            </w:r>
            <w:r w:rsidRPr="00FD25B0">
              <w:t xml:space="preserve"> </w:t>
            </w:r>
            <w:r>
              <w:t>j</w:t>
            </w:r>
            <w:r w:rsidR="004440FA" w:rsidRPr="00FD25B0">
              <w:t>os kartonkikotelo vaikuttaa siltä, että se on jo avattu tai se on vahingoittunut.</w:t>
            </w:r>
          </w:p>
          <w:p w14:paraId="221B9554" w14:textId="77777777" w:rsidR="00EF533A" w:rsidRPr="00CA43F5" w:rsidRDefault="00EF533A" w:rsidP="00940778">
            <w:pPr>
              <w:rPr>
                <w:lang w:val="fi-FI"/>
              </w:rPr>
            </w:pPr>
          </w:p>
        </w:tc>
      </w:tr>
      <w:tr w:rsidR="009C440C" w:rsidRPr="00ED6BAC" w14:paraId="7579B330" w14:textId="77777777">
        <w:trPr>
          <w:cantSplit/>
        </w:trPr>
        <w:tc>
          <w:tcPr>
            <w:tcW w:w="3539" w:type="dxa"/>
          </w:tcPr>
          <w:p w14:paraId="07343DAB" w14:textId="1FCFBAF1" w:rsidR="00EF533A" w:rsidRDefault="0086716C">
            <w:pPr>
              <w:suppressAutoHyphens/>
              <w:jc w:val="right"/>
              <w:rPr>
                <w:rFonts w:eastAsia="Times New Roman"/>
                <w:b/>
                <w:noProof/>
              </w:rPr>
            </w:pPr>
            <w:r>
              <w:rPr>
                <w:noProof/>
                <w:lang w:val="en-US" w:eastAsia="ko-KR"/>
              </w:rPr>
              <w:drawing>
                <wp:inline distT="0" distB="0" distL="0" distR="0" wp14:anchorId="603DB3EA" wp14:editId="35628687">
                  <wp:extent cx="2084070" cy="2573020"/>
                  <wp:effectExtent l="19050" t="19050" r="0" b="0"/>
                  <wp:docPr id="24" name="그림 12"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휴대 전화, 스케치, 드라이브, 디자인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4070" cy="2573020"/>
                          </a:xfrm>
                          <a:prstGeom prst="rect">
                            <a:avLst/>
                          </a:prstGeom>
                          <a:noFill/>
                          <a:ln w="9525" cmpd="sng">
                            <a:solidFill>
                              <a:srgbClr val="000000"/>
                            </a:solidFill>
                            <a:miter lim="800000"/>
                            <a:headEnd/>
                            <a:tailEnd/>
                          </a:ln>
                          <a:effectLst/>
                        </pic:spPr>
                      </pic:pic>
                    </a:graphicData>
                  </a:graphic>
                </wp:inline>
              </w:drawing>
            </w:r>
          </w:p>
          <w:p w14:paraId="7A2E83F0" w14:textId="281E77C8" w:rsidR="00EF533A" w:rsidRDefault="00987BC7" w:rsidP="00987BC7">
            <w:pPr>
              <w:tabs>
                <w:tab w:val="left" w:pos="1002"/>
                <w:tab w:val="right" w:pos="3323"/>
              </w:tabs>
              <w:suppressAutoHyphens/>
              <w:rPr>
                <w:rFonts w:eastAsia="Times New Roman"/>
                <w:b/>
                <w:noProof/>
              </w:rPr>
            </w:pPr>
            <w:r>
              <w:rPr>
                <w:b/>
                <w:bCs/>
                <w:noProof/>
              </w:rPr>
              <w:tab/>
            </w:r>
            <w:r>
              <w:rPr>
                <w:b/>
                <w:bCs/>
                <w:noProof/>
              </w:rPr>
              <w:tab/>
            </w:r>
            <w:r w:rsidR="0086716C">
              <w:rPr>
                <w:b/>
                <w:bCs/>
                <w:noProof/>
                <w:lang w:val="en-US" w:eastAsia="ko-KR"/>
              </w:rPr>
              <mc:AlternateContent>
                <mc:Choice Requires="wps">
                  <w:drawing>
                    <wp:anchor distT="45720" distB="45720" distL="114300" distR="114300" simplePos="0" relativeHeight="251658273" behindDoc="0" locked="1" layoutInCell="1" allowOverlap="1" wp14:anchorId="40A575EE" wp14:editId="5D8DE887">
                      <wp:simplePos x="0" y="0"/>
                      <wp:positionH relativeFrom="column">
                        <wp:posOffset>951230</wp:posOffset>
                      </wp:positionH>
                      <wp:positionV relativeFrom="paragraph">
                        <wp:posOffset>-2036445</wp:posOffset>
                      </wp:positionV>
                      <wp:extent cx="1007110" cy="564515"/>
                      <wp:effectExtent l="0" t="0" r="0" b="0"/>
                      <wp:wrapNone/>
                      <wp:docPr id="17723576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564515"/>
                              </a:xfrm>
                              <a:prstGeom prst="rect">
                                <a:avLst/>
                              </a:prstGeom>
                              <a:noFill/>
                              <a:ln>
                                <a:noFill/>
                              </a:ln>
                            </wps:spPr>
                            <wps:txbx>
                              <w:txbxContent>
                                <w:p w14:paraId="69AF26E8" w14:textId="00502D0C" w:rsidR="00EF533A" w:rsidRPr="00EF533A" w:rsidRDefault="00E62019" w:rsidP="00EF533A">
                                  <w:pPr>
                                    <w:spacing w:line="260" w:lineRule="exact"/>
                                    <w:jc w:val="center"/>
                                    <w:rPr>
                                      <w:rFonts w:cs="Aptos"/>
                                      <w:b/>
                                      <w:bCs/>
                                      <w:sz w:val="20"/>
                                      <w:szCs w:val="20"/>
                                    </w:rPr>
                                  </w:pPr>
                                  <w:r w:rsidRPr="00E62019">
                                    <w:rPr>
                                      <w:rFonts w:cs="Aptos"/>
                                      <w:b/>
                                      <w:bCs/>
                                      <w:sz w:val="20"/>
                                      <w:szCs w:val="20"/>
                                    </w:rPr>
                                    <w:t>EXP: KK VVVV</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575EE" id="Text Box 55" o:spid="_x0000_s1069" type="#_x0000_t202" style="position:absolute;margin-left:74.9pt;margin-top:-160.35pt;width:79.3pt;height:44.4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" filled="f" stroked="f">
                      <v:textbox inset="0,0,0,0">
                        <w:txbxContent>
                          <w:p w14:paraId="69AF26E8" w14:textId="00502D0C" w:rsidR="00EF533A" w:rsidRPr="00EF533A" w:rsidRDefault="00E62019" w:rsidP="00EF533A">
                            <w:pPr>
                              <w:spacing w:line="260" w:lineRule="exact"/>
                              <w:jc w:val="center"/>
                              <w:rPr>
                                <w:rFonts w:cs="Aptos"/>
                                <w:b/>
                                <w:bCs/>
                                <w:sz w:val="20"/>
                                <w:szCs w:val="20"/>
                              </w:rPr>
                            </w:pPr>
                            <w:r w:rsidRPr="00E62019">
                              <w:rPr>
                                <w:rFonts w:cs="Aptos"/>
                                <w:b/>
                                <w:bCs/>
                                <w:sz w:val="20"/>
                                <w:szCs w:val="20"/>
                              </w:rPr>
                              <w:t>EXP: KK VVVV</w:t>
                            </w:r>
                          </w:p>
                        </w:txbxContent>
                      </v:textbox>
                      <w10:anchorlock/>
                    </v:shape>
                  </w:pict>
                </mc:Fallback>
              </mc:AlternateContent>
            </w:r>
            <w:r w:rsidR="00FD25B0">
              <w:rPr>
                <w:b/>
                <w:bCs/>
                <w:noProof/>
              </w:rPr>
              <w:t>Kuva</w:t>
            </w:r>
            <w:r w:rsidR="00EF533A">
              <w:rPr>
                <w:rFonts w:eastAsia="Times New Roman"/>
                <w:b/>
                <w:noProof/>
              </w:rPr>
              <w:t xml:space="preserve"> D</w:t>
            </w:r>
          </w:p>
        </w:tc>
        <w:tc>
          <w:tcPr>
            <w:tcW w:w="5517" w:type="dxa"/>
          </w:tcPr>
          <w:p w14:paraId="65887E94" w14:textId="6BCB7F3A" w:rsidR="00EF533A" w:rsidRDefault="00FD25B0">
            <w:pPr>
              <w:pStyle w:val="a4"/>
              <w:widowControl w:val="0"/>
              <w:numPr>
                <w:ilvl w:val="0"/>
                <w:numId w:val="57"/>
              </w:numPr>
              <w:ind w:left="567" w:hanging="567"/>
              <w:rPr>
                <w:b/>
              </w:rPr>
            </w:pPr>
            <w:r>
              <w:rPr>
                <w:b/>
              </w:rPr>
              <w:t>Tarkista esitäytetty kynä</w:t>
            </w:r>
            <w:r w:rsidR="00EF533A">
              <w:rPr>
                <w:b/>
              </w:rPr>
              <w:t>.</w:t>
            </w:r>
          </w:p>
          <w:p w14:paraId="406CDF4A" w14:textId="77777777" w:rsidR="00EF533A" w:rsidRDefault="00EF533A">
            <w:pPr>
              <w:ind w:left="567" w:hanging="567"/>
              <w:rPr>
                <w:bCs/>
              </w:rPr>
            </w:pPr>
          </w:p>
          <w:p w14:paraId="2BBEE676" w14:textId="532D7BD9" w:rsidR="00EF533A" w:rsidRDefault="00FD25B0">
            <w:pPr>
              <w:pStyle w:val="a4"/>
              <w:widowControl w:val="0"/>
              <w:numPr>
                <w:ilvl w:val="0"/>
                <w:numId w:val="60"/>
              </w:numPr>
              <w:ind w:left="567" w:hanging="567"/>
            </w:pPr>
            <w:r w:rsidRPr="00BC55CA">
              <w:t>Avaa kartonkikotelo ja ota kotelosta yksi kertakäyttöön tarkoitettu esitäytetty kynä.</w:t>
            </w:r>
            <w:r>
              <w:rPr>
                <w:bCs/>
              </w:rPr>
              <w:t xml:space="preserve"> </w:t>
            </w:r>
            <w:r w:rsidRPr="00BC55CA">
              <w:t>Laita loput esitäytetyt Avtozma-kynät kotelossa jääkaappiin</w:t>
            </w:r>
            <w:r w:rsidR="00EF533A">
              <w:t>.</w:t>
            </w:r>
          </w:p>
          <w:p w14:paraId="559C08C5" w14:textId="2CCF618E" w:rsidR="00EF533A" w:rsidRDefault="00FD25B0">
            <w:pPr>
              <w:pStyle w:val="a4"/>
              <w:widowControl w:val="0"/>
              <w:numPr>
                <w:ilvl w:val="0"/>
                <w:numId w:val="60"/>
              </w:numPr>
              <w:ind w:left="567" w:hanging="567"/>
              <w:rPr>
                <w:bCs/>
              </w:rPr>
            </w:pPr>
            <w:r>
              <w:rPr>
                <w:bCs/>
              </w:rPr>
              <w:t>Tarkista esitäytetyn Avtozma-kynän viimeinen käyttöpäivämäärä (</w:t>
            </w:r>
            <w:r>
              <w:rPr>
                <w:b/>
              </w:rPr>
              <w:t>ks. kuva D</w:t>
            </w:r>
            <w:r>
              <w:rPr>
                <w:bCs/>
              </w:rPr>
              <w:t>)</w:t>
            </w:r>
            <w:r w:rsidR="00EF533A">
              <w:rPr>
                <w:bCs/>
              </w:rPr>
              <w:t>.</w:t>
            </w:r>
          </w:p>
          <w:p w14:paraId="5E09477B" w14:textId="470FAE65" w:rsidR="00EF533A" w:rsidRDefault="00FD25B0" w:rsidP="00CA43F5">
            <w:pPr>
              <w:pStyle w:val="a4"/>
              <w:widowControl w:val="0"/>
              <w:numPr>
                <w:ilvl w:val="0"/>
                <w:numId w:val="38"/>
              </w:numPr>
              <w:ind w:left="1134" w:hanging="567"/>
            </w:pPr>
            <w:r w:rsidRPr="00BC55CA">
              <w:t xml:space="preserve">Jos viimeinen käyttöpäivämäärä on ohitettu, </w:t>
            </w:r>
            <w:r>
              <w:rPr>
                <w:b/>
              </w:rPr>
              <w:t xml:space="preserve">älä </w:t>
            </w:r>
            <w:r w:rsidRPr="00BC55CA">
              <w:t>käytä esitäytettyä kynää. Jos viimeinen käyttöpäivämäärä on ohitettu, hävitä esitäytetty kynä turvallisesti laittamalla se pistävälle ja viiltävälle jätteelle tarkoitettuun astiaan ja ota käyttöön uusi esitäytetty kynä</w:t>
            </w:r>
            <w:r w:rsidR="00EF533A">
              <w:t>.</w:t>
            </w:r>
          </w:p>
          <w:p w14:paraId="25081253" w14:textId="7C346AAB" w:rsidR="00EF533A" w:rsidRDefault="00FD25B0">
            <w:pPr>
              <w:pStyle w:val="a4"/>
              <w:widowControl w:val="0"/>
              <w:numPr>
                <w:ilvl w:val="0"/>
                <w:numId w:val="60"/>
              </w:numPr>
              <w:ind w:left="567" w:hanging="567"/>
              <w:rPr>
                <w:bCs/>
              </w:rPr>
            </w:pPr>
            <w:r>
              <w:rPr>
                <w:bCs/>
              </w:rPr>
              <w:t>Tarkista, ettei esitäytetty kynä ole viallinen tai vuoda</w:t>
            </w:r>
            <w:r w:rsidR="00EF533A" w:rsidRPr="00BC55CA">
              <w:t>.</w:t>
            </w:r>
          </w:p>
          <w:p w14:paraId="41B3CF6C" w14:textId="7A562BB2" w:rsidR="00EF533A" w:rsidRPr="00BC55CA" w:rsidRDefault="00FD25B0" w:rsidP="00CA43F5">
            <w:pPr>
              <w:pStyle w:val="a4"/>
              <w:widowControl w:val="0"/>
              <w:numPr>
                <w:ilvl w:val="0"/>
                <w:numId w:val="38"/>
              </w:numPr>
              <w:ind w:left="1134" w:hanging="567"/>
            </w:pPr>
            <w:r>
              <w:rPr>
                <w:b/>
              </w:rPr>
              <w:t>Älä</w:t>
            </w:r>
            <w:r>
              <w:rPr>
                <w:bCs/>
              </w:rPr>
              <w:t xml:space="preserve"> käytä esitäytettyä kynää, jos se on pudonnut, viallinen tai vuotaa</w:t>
            </w:r>
            <w:r w:rsidR="00EF533A" w:rsidRPr="00BC55CA">
              <w:t>.</w:t>
            </w:r>
          </w:p>
          <w:p w14:paraId="2A2930D6" w14:textId="4BF7B631" w:rsidR="00EF533A" w:rsidRDefault="00FD25B0">
            <w:pPr>
              <w:pStyle w:val="a4"/>
              <w:ind w:left="567"/>
              <w:rPr>
                <w:bCs/>
                <w:noProof/>
                <w:lang w:eastAsia="ko-KR"/>
              </w:rPr>
            </w:pPr>
            <w:r>
              <w:rPr>
                <w:bCs/>
                <w:i/>
                <w:iCs/>
                <w:noProof/>
                <w:lang w:eastAsia="ko-KR"/>
              </w:rPr>
              <w:t>Huomautus</w:t>
            </w:r>
            <w:r w:rsidR="00EF533A">
              <w:rPr>
                <w:bCs/>
                <w:noProof/>
                <w:lang w:eastAsia="ko-KR"/>
              </w:rPr>
              <w:t>:</w:t>
            </w:r>
            <w:r w:rsidR="00D90ADB">
              <w:rPr>
                <w:bCs/>
                <w:noProof/>
                <w:lang w:eastAsia="ko-KR"/>
              </w:rPr>
              <w:t xml:space="preserve"> On normaalia, että</w:t>
            </w:r>
            <w:r>
              <w:rPr>
                <w:bCs/>
                <w:noProof/>
                <w:lang w:eastAsia="ko-KR"/>
              </w:rPr>
              <w:t xml:space="preserve"> oranssin korkin ja injektorin runko-osan välillä on </w:t>
            </w:r>
            <w:r w:rsidR="00D90ADB">
              <w:rPr>
                <w:bCs/>
                <w:noProof/>
                <w:lang w:eastAsia="ko-KR"/>
              </w:rPr>
              <w:t>pieni rako</w:t>
            </w:r>
            <w:r w:rsidR="00EF533A">
              <w:rPr>
                <w:bCs/>
                <w:noProof/>
                <w:lang w:eastAsia="ko-KR"/>
              </w:rPr>
              <w:t>.</w:t>
            </w:r>
          </w:p>
          <w:p w14:paraId="094349FA" w14:textId="77777777" w:rsidR="00EF533A" w:rsidRPr="00CA43F5" w:rsidRDefault="00EF533A" w:rsidP="00940778">
            <w:pPr>
              <w:rPr>
                <w:lang w:val="fi-FI"/>
              </w:rPr>
            </w:pPr>
          </w:p>
        </w:tc>
      </w:tr>
      <w:tr w:rsidR="009C440C" w:rsidRPr="00BB5A61" w14:paraId="36B02AC9" w14:textId="77777777">
        <w:trPr>
          <w:cantSplit/>
        </w:trPr>
        <w:tc>
          <w:tcPr>
            <w:tcW w:w="3539" w:type="dxa"/>
          </w:tcPr>
          <w:p w14:paraId="58DC418E" w14:textId="66233924" w:rsidR="00EF533A" w:rsidRDefault="0086716C">
            <w:pPr>
              <w:suppressAutoHyphens/>
              <w:jc w:val="right"/>
              <w:rPr>
                <w:noProof/>
              </w:rPr>
            </w:pPr>
            <w:r>
              <w:rPr>
                <w:noProof/>
                <w:lang w:val="en-US" w:eastAsia="ko-KR"/>
              </w:rPr>
              <w:lastRenderedPageBreak/>
              <w:drawing>
                <wp:inline distT="0" distB="0" distL="0" distR="0" wp14:anchorId="03988355" wp14:editId="5D7ED7A2">
                  <wp:extent cx="2062480" cy="2604770"/>
                  <wp:effectExtent l="19050" t="19050" r="0" b="5080"/>
                  <wp:docPr id="25" name="그림 11"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텍스트, 스크린샷, 원, 디자인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2480" cy="2604770"/>
                          </a:xfrm>
                          <a:prstGeom prst="rect">
                            <a:avLst/>
                          </a:prstGeom>
                          <a:noFill/>
                          <a:ln w="9525" cmpd="sng">
                            <a:solidFill>
                              <a:srgbClr val="000000"/>
                            </a:solidFill>
                            <a:miter lim="800000"/>
                            <a:headEnd/>
                            <a:tailEnd/>
                          </a:ln>
                          <a:effectLst/>
                        </pic:spPr>
                      </pic:pic>
                    </a:graphicData>
                  </a:graphic>
                </wp:inline>
              </w:drawing>
            </w:r>
          </w:p>
          <w:p w14:paraId="14CBCE03" w14:textId="24420BD8" w:rsidR="00EF533A" w:rsidRDefault="0086716C">
            <w:pPr>
              <w:suppressAutoHyphens/>
              <w:jc w:val="right"/>
              <w:rPr>
                <w:b/>
                <w:bCs/>
                <w:noProof/>
              </w:rPr>
            </w:pPr>
            <w:r>
              <w:rPr>
                <w:b/>
                <w:bCs/>
                <w:noProof/>
                <w:lang w:val="en-US" w:eastAsia="ko-KR"/>
              </w:rPr>
              <mc:AlternateContent>
                <mc:Choice Requires="wps">
                  <w:drawing>
                    <wp:anchor distT="45720" distB="45720" distL="114300" distR="114300" simplePos="0" relativeHeight="251658274" behindDoc="0" locked="1" layoutInCell="1" allowOverlap="1" wp14:anchorId="06A5B168" wp14:editId="6732D5D4">
                      <wp:simplePos x="0" y="0"/>
                      <wp:positionH relativeFrom="column">
                        <wp:posOffset>369570</wp:posOffset>
                      </wp:positionH>
                      <wp:positionV relativeFrom="paragraph">
                        <wp:posOffset>-2183130</wp:posOffset>
                      </wp:positionV>
                      <wp:extent cx="805180" cy="489585"/>
                      <wp:effectExtent l="0" t="0" r="0" b="0"/>
                      <wp:wrapNone/>
                      <wp:docPr id="14439874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489585"/>
                              </a:xfrm>
                              <a:prstGeom prst="rect">
                                <a:avLst/>
                              </a:prstGeom>
                              <a:noFill/>
                              <a:ln>
                                <a:noFill/>
                              </a:ln>
                            </wps:spPr>
                            <wps:txbx>
                              <w:txbxContent>
                                <w:p w14:paraId="2F435673" w14:textId="4E92BFDB" w:rsidR="00EF533A" w:rsidRPr="00CA43F5" w:rsidRDefault="00E62019" w:rsidP="00EF533A">
                                  <w:pPr>
                                    <w:spacing w:line="216" w:lineRule="auto"/>
                                    <w:jc w:val="center"/>
                                    <w:rPr>
                                      <w:rFonts w:ascii="Arial" w:hAnsi="Arial" w:cs="Arial"/>
                                      <w:b/>
                                      <w:bCs/>
                                      <w:sz w:val="26"/>
                                      <w:szCs w:val="26"/>
                                    </w:rPr>
                                  </w:pPr>
                                  <w:r w:rsidRPr="00CA43F5">
                                    <w:rPr>
                                      <w:rFonts w:ascii="Arial" w:hAnsi="Arial" w:cs="Arial"/>
                                      <w:b/>
                                      <w:bCs/>
                                      <w:sz w:val="26"/>
                                      <w:szCs w:val="26"/>
                                    </w:rPr>
                                    <w:t>45 minuuttia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A5B168" id="Text Box 53" o:spid="_x0000_s1070" type="#_x0000_t202" style="position:absolute;left:0;text-align:left;margin-left:29.1pt;margin-top:-171.9pt;width:63.4pt;height:38.5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" filled="f" stroked="f">
                      <v:textbox inset="0,0,0,0">
                        <w:txbxContent>
                          <w:p w14:paraId="2F435673" w14:textId="4E92BFDB" w:rsidR="00EF533A" w:rsidRPr="00CA43F5" w:rsidRDefault="00E62019" w:rsidP="00EF533A">
                            <w:pPr>
                              <w:spacing w:line="216" w:lineRule="auto"/>
                              <w:jc w:val="center"/>
                              <w:rPr>
                                <w:rFonts w:ascii="Arial" w:hAnsi="Arial" w:cs="Arial"/>
                                <w:b/>
                                <w:bCs/>
                                <w:sz w:val="26"/>
                                <w:szCs w:val="26"/>
                              </w:rPr>
                            </w:pPr>
                            <w:r w:rsidRPr="00CA43F5">
                              <w:rPr>
                                <w:rFonts w:ascii="Arial" w:hAnsi="Arial" w:cs="Arial"/>
                                <w:b/>
                                <w:bCs/>
                                <w:sz w:val="26"/>
                                <w:szCs w:val="26"/>
                              </w:rPr>
                              <w:t>45 minuuttia</w:t>
                            </w:r>
                          </w:p>
                        </w:txbxContent>
                      </v:textbox>
                      <w10:anchorlock/>
                    </v:shape>
                  </w:pict>
                </mc:Fallback>
              </mc:AlternateContent>
            </w:r>
            <w:r w:rsidR="00A237F8">
              <w:rPr>
                <w:b/>
                <w:bCs/>
                <w:noProof/>
              </w:rPr>
              <w:t>Kuva</w:t>
            </w:r>
            <w:r w:rsidR="00EF533A">
              <w:rPr>
                <w:b/>
                <w:bCs/>
                <w:noProof/>
              </w:rPr>
              <w:t xml:space="preserve"> E</w:t>
            </w:r>
          </w:p>
        </w:tc>
        <w:tc>
          <w:tcPr>
            <w:tcW w:w="5517" w:type="dxa"/>
          </w:tcPr>
          <w:p w14:paraId="69AB125E" w14:textId="6B9E83BE" w:rsidR="00EF533A" w:rsidRDefault="00AC0B57" w:rsidP="00070CF8">
            <w:pPr>
              <w:pStyle w:val="a4"/>
              <w:widowControl w:val="0"/>
              <w:numPr>
                <w:ilvl w:val="0"/>
                <w:numId w:val="57"/>
              </w:numPr>
              <w:ind w:left="567" w:hanging="567"/>
              <w:rPr>
                <w:b/>
              </w:rPr>
            </w:pPr>
            <w:r>
              <w:rPr>
                <w:b/>
              </w:rPr>
              <w:t>Odota 45 minuuttia</w:t>
            </w:r>
            <w:r w:rsidR="00EF533A">
              <w:rPr>
                <w:b/>
              </w:rPr>
              <w:t>.</w:t>
            </w:r>
          </w:p>
          <w:p w14:paraId="62EC92B6" w14:textId="77777777" w:rsidR="00EF533A" w:rsidRDefault="00EF533A">
            <w:pPr>
              <w:pStyle w:val="Default"/>
              <w:ind w:left="567" w:hanging="567"/>
              <w:rPr>
                <w:rFonts w:ascii="Times New Roman" w:hAnsi="Times New Roman" w:cs="Times New Roman"/>
                <w:sz w:val="22"/>
                <w:szCs w:val="22"/>
              </w:rPr>
            </w:pPr>
          </w:p>
          <w:p w14:paraId="28C545E8" w14:textId="63F4F67E" w:rsidR="00EF533A" w:rsidRPr="00DE67E9" w:rsidRDefault="00A237F8">
            <w:pPr>
              <w:pStyle w:val="a4"/>
              <w:widowControl w:val="0"/>
              <w:numPr>
                <w:ilvl w:val="0"/>
                <w:numId w:val="61"/>
              </w:numPr>
              <w:ind w:left="567" w:hanging="567"/>
            </w:pPr>
            <w:r w:rsidRPr="0065335D">
              <w:t>Jätä pakkauksesta otettu esitäytetty ruisku huoneenlämpöön (</w:t>
            </w:r>
            <w:r w:rsidR="00D43D49">
              <w:rPr>
                <w:rFonts w:eastAsia="맑은 고딕" w:hint="eastAsia"/>
                <w:lang w:eastAsia="ko-KR"/>
              </w:rPr>
              <w:t>18</w:t>
            </w:r>
            <w:r w:rsidRPr="0065335D">
              <w:t>–</w:t>
            </w:r>
            <w:r w:rsidR="00D43D49" w:rsidRPr="0065335D">
              <w:t>2</w:t>
            </w:r>
            <w:r w:rsidR="00D43D49">
              <w:rPr>
                <w:rFonts w:eastAsia="맑은 고딕" w:hint="eastAsia"/>
                <w:lang w:eastAsia="ko-KR"/>
              </w:rPr>
              <w:t>8</w:t>
            </w:r>
            <w:r w:rsidR="00D43D49" w:rsidRPr="0065335D">
              <w:t> </w:t>
            </w:r>
            <w:r w:rsidRPr="0065335D">
              <w:t xml:space="preserve">°C) </w:t>
            </w:r>
            <w:r>
              <w:t>45</w:t>
            </w:r>
            <w:r w:rsidRPr="0065335D">
              <w:t> minuutiksi</w:t>
            </w:r>
            <w:r>
              <w:rPr>
                <w:rFonts w:eastAsia="DengXian"/>
                <w:noProof/>
              </w:rPr>
              <w:t xml:space="preserve"> (ks. </w:t>
            </w:r>
            <w:r>
              <w:rPr>
                <w:rFonts w:eastAsia="DengXian"/>
                <w:b/>
                <w:bCs/>
                <w:noProof/>
              </w:rPr>
              <w:t>kuva E</w:t>
            </w:r>
            <w:r>
              <w:rPr>
                <w:rFonts w:eastAsia="DengXian"/>
                <w:noProof/>
              </w:rPr>
              <w:t>).</w:t>
            </w:r>
          </w:p>
          <w:p w14:paraId="183F37C3" w14:textId="35FF25EE" w:rsidR="00A237F8" w:rsidRDefault="00A237F8" w:rsidP="00CA43F5">
            <w:pPr>
              <w:pStyle w:val="a4"/>
              <w:widowControl w:val="0"/>
              <w:numPr>
                <w:ilvl w:val="0"/>
                <w:numId w:val="38"/>
              </w:numPr>
              <w:suppressAutoHyphens/>
              <w:ind w:left="1134" w:hanging="567"/>
              <w:rPr>
                <w:rFonts w:eastAsia="DengXian"/>
                <w:noProof/>
              </w:rPr>
            </w:pPr>
            <w:r>
              <w:rPr>
                <w:rFonts w:eastAsia="DengXian"/>
                <w:b/>
                <w:bCs/>
                <w:noProof/>
              </w:rPr>
              <w:t>Älä</w:t>
            </w:r>
            <w:r>
              <w:rPr>
                <w:rFonts w:eastAsia="DengXian"/>
                <w:noProof/>
              </w:rPr>
              <w:t xml:space="preserve"> lämmitä esitäytettyä kynää millään lämmönlähteellä, kuten kuumalla vedellä tai mikroaaltouunissa.</w:t>
            </w:r>
          </w:p>
          <w:p w14:paraId="4C4AE0A6" w14:textId="09498462" w:rsidR="00A237F8" w:rsidRDefault="00A237F8" w:rsidP="00CA43F5">
            <w:pPr>
              <w:pStyle w:val="a4"/>
              <w:widowControl w:val="0"/>
              <w:numPr>
                <w:ilvl w:val="0"/>
                <w:numId w:val="38"/>
              </w:numPr>
              <w:suppressAutoHyphens/>
              <w:ind w:left="1134" w:hanging="567"/>
              <w:rPr>
                <w:rFonts w:eastAsia="DengXian"/>
                <w:noProof/>
              </w:rPr>
            </w:pPr>
            <w:r>
              <w:rPr>
                <w:b/>
              </w:rPr>
              <w:t xml:space="preserve">Älä </w:t>
            </w:r>
            <w:r w:rsidRPr="0065335D">
              <w:t xml:space="preserve">jätä esitäytettyä </w:t>
            </w:r>
            <w:r>
              <w:t>kynää</w:t>
            </w:r>
            <w:r w:rsidRPr="0065335D">
              <w:t xml:space="preserve"> suoraan auringonvaloon</w:t>
            </w:r>
            <w:r w:rsidR="00704B34">
              <w:t>.</w:t>
            </w:r>
          </w:p>
          <w:p w14:paraId="6F990B9B" w14:textId="46F836E1" w:rsidR="00A237F8" w:rsidRDefault="00A237F8" w:rsidP="00CA43F5">
            <w:pPr>
              <w:pStyle w:val="a4"/>
              <w:widowControl w:val="0"/>
              <w:numPr>
                <w:ilvl w:val="0"/>
                <w:numId w:val="38"/>
              </w:numPr>
              <w:suppressAutoHyphens/>
              <w:ind w:left="1134" w:hanging="567"/>
              <w:rPr>
                <w:rFonts w:eastAsia="DengXian"/>
                <w:noProof/>
              </w:rPr>
            </w:pPr>
            <w:r>
              <w:rPr>
                <w:rFonts w:eastAsia="DengXian"/>
                <w:b/>
                <w:bCs/>
                <w:noProof/>
              </w:rPr>
              <w:t xml:space="preserve">Älä </w:t>
            </w:r>
            <w:r>
              <w:rPr>
                <w:rFonts w:eastAsia="DengXian"/>
                <w:noProof/>
              </w:rPr>
              <w:t>poista korkkia vielä, kun esitäytetty kynä lämpenee huoneenlämpöiseksi.</w:t>
            </w:r>
          </w:p>
          <w:p w14:paraId="16A6EF5B" w14:textId="5D5F2833" w:rsidR="00EF533A" w:rsidRPr="00DE67E9" w:rsidRDefault="00A237F8" w:rsidP="00CA43F5">
            <w:pPr>
              <w:pStyle w:val="a4"/>
              <w:widowControl w:val="0"/>
              <w:numPr>
                <w:ilvl w:val="0"/>
                <w:numId w:val="38"/>
              </w:numPr>
              <w:ind w:left="1134" w:hanging="567"/>
            </w:pPr>
            <w:r w:rsidRPr="0065335D">
              <w:t xml:space="preserve">Jos esitäytetty kynä ei ole huoneenlämpöinen, </w:t>
            </w:r>
            <w:r w:rsidRPr="0028514E">
              <w:t>pistos saattaa tuntua epämiellyttävältä</w:t>
            </w:r>
            <w:r w:rsidR="00EF533A" w:rsidRPr="00DE67E9">
              <w:t>.</w:t>
            </w:r>
          </w:p>
          <w:p w14:paraId="1D3934ED" w14:textId="77777777" w:rsidR="00EF533A" w:rsidRPr="00CA43F5" w:rsidRDefault="00EF533A" w:rsidP="00940778">
            <w:pPr>
              <w:rPr>
                <w:lang w:val="fi-FI"/>
              </w:rPr>
            </w:pPr>
          </w:p>
        </w:tc>
      </w:tr>
      <w:tr w:rsidR="009C440C" w:rsidRPr="00BD6707" w14:paraId="7F0AB75F" w14:textId="77777777">
        <w:trPr>
          <w:cantSplit/>
        </w:trPr>
        <w:tc>
          <w:tcPr>
            <w:tcW w:w="3539" w:type="dxa"/>
          </w:tcPr>
          <w:p w14:paraId="1F662DD3" w14:textId="7883D0CB" w:rsidR="00EF533A" w:rsidRDefault="0086716C">
            <w:pPr>
              <w:suppressAutoHyphens/>
              <w:jc w:val="right"/>
              <w:rPr>
                <w:noProof/>
              </w:rPr>
            </w:pPr>
            <w:r>
              <w:rPr>
                <w:noProof/>
                <w:lang w:val="en-US" w:eastAsia="ko-KR"/>
              </w:rPr>
              <w:drawing>
                <wp:inline distT="0" distB="0" distL="0" distR="0" wp14:anchorId="5A3DA761" wp14:editId="7418DA83">
                  <wp:extent cx="2094865" cy="2594610"/>
                  <wp:effectExtent l="19050" t="19050" r="635" b="0"/>
                  <wp:docPr id="26" name="그림 10"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스케치, 그림, 일러스트레이션, 디자인이(가) 표시된 사진&#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4865" cy="2594610"/>
                          </a:xfrm>
                          <a:prstGeom prst="rect">
                            <a:avLst/>
                          </a:prstGeom>
                          <a:noFill/>
                          <a:ln w="9525" cmpd="sng">
                            <a:solidFill>
                              <a:srgbClr val="000000"/>
                            </a:solidFill>
                            <a:miter lim="800000"/>
                            <a:headEnd/>
                            <a:tailEnd/>
                          </a:ln>
                          <a:effectLst/>
                        </pic:spPr>
                      </pic:pic>
                    </a:graphicData>
                  </a:graphic>
                </wp:inline>
              </w:drawing>
            </w:r>
          </w:p>
          <w:p w14:paraId="2DF8B219" w14:textId="6A087258" w:rsidR="00EF533A" w:rsidRDefault="00A237F8">
            <w:pPr>
              <w:suppressAutoHyphens/>
              <w:jc w:val="right"/>
              <w:rPr>
                <w:b/>
                <w:bCs/>
                <w:noProof/>
              </w:rPr>
            </w:pPr>
            <w:r>
              <w:rPr>
                <w:b/>
                <w:bCs/>
                <w:noProof/>
              </w:rPr>
              <w:t>Kuva</w:t>
            </w:r>
            <w:r w:rsidR="00EF533A">
              <w:rPr>
                <w:b/>
                <w:bCs/>
                <w:noProof/>
              </w:rPr>
              <w:t xml:space="preserve"> F</w:t>
            </w:r>
          </w:p>
        </w:tc>
        <w:tc>
          <w:tcPr>
            <w:tcW w:w="5517" w:type="dxa"/>
          </w:tcPr>
          <w:p w14:paraId="38D536A2" w14:textId="42D61BDF" w:rsidR="00EF533A" w:rsidRDefault="00A237F8">
            <w:pPr>
              <w:pStyle w:val="a4"/>
              <w:widowControl w:val="0"/>
              <w:numPr>
                <w:ilvl w:val="0"/>
                <w:numId w:val="57"/>
              </w:numPr>
              <w:ind w:left="567" w:hanging="567"/>
              <w:rPr>
                <w:b/>
              </w:rPr>
            </w:pPr>
            <w:r>
              <w:rPr>
                <w:b/>
              </w:rPr>
              <w:t>Tarkasta lääke</w:t>
            </w:r>
            <w:r w:rsidR="00EF533A">
              <w:rPr>
                <w:b/>
              </w:rPr>
              <w:t>.</w:t>
            </w:r>
          </w:p>
          <w:p w14:paraId="669DBE9D" w14:textId="77777777" w:rsidR="00EF533A" w:rsidRDefault="00EF533A">
            <w:pPr>
              <w:pStyle w:val="Default"/>
              <w:ind w:left="567" w:hanging="567"/>
              <w:rPr>
                <w:rFonts w:ascii="Times New Roman" w:hAnsi="Times New Roman" w:cs="Times New Roman"/>
                <w:sz w:val="22"/>
                <w:szCs w:val="22"/>
              </w:rPr>
            </w:pPr>
          </w:p>
          <w:p w14:paraId="4CA67E1A" w14:textId="5B084CB3" w:rsidR="00EF533A" w:rsidRDefault="00A237F8" w:rsidP="00070CF8">
            <w:pPr>
              <w:pStyle w:val="a4"/>
              <w:widowControl w:val="0"/>
              <w:numPr>
                <w:ilvl w:val="0"/>
                <w:numId w:val="66"/>
              </w:numPr>
              <w:ind w:left="567" w:hanging="567"/>
              <w:rPr>
                <w:bCs/>
              </w:rPr>
            </w:pPr>
            <w:r>
              <w:rPr>
                <w:rFonts w:eastAsia="DengXian"/>
                <w:noProof/>
              </w:rPr>
              <w:t>Pitele Avtozma-kynää korkki alaspäin</w:t>
            </w:r>
            <w:r w:rsidR="00EF533A">
              <w:rPr>
                <w:bCs/>
              </w:rPr>
              <w:t>.</w:t>
            </w:r>
          </w:p>
          <w:p w14:paraId="2A4088F5" w14:textId="6326267C" w:rsidR="00EF533A" w:rsidRDefault="00A237F8" w:rsidP="00A05ED4">
            <w:pPr>
              <w:pStyle w:val="a4"/>
              <w:widowControl w:val="0"/>
              <w:numPr>
                <w:ilvl w:val="0"/>
                <w:numId w:val="66"/>
              </w:numPr>
              <w:ind w:left="567" w:hanging="567"/>
              <w:rPr>
                <w:bCs/>
              </w:rPr>
            </w:pPr>
            <w:r>
              <w:rPr>
                <w:rFonts w:eastAsia="DengXian"/>
                <w:noProof/>
              </w:rPr>
              <w:t xml:space="preserve">Katso lääkettä ja varmista, että neste on kirkasta tai hieman opaalinhohtoista ja väritöntä tai keltaista eikä sisällä hiukkasia tai saostumia (ks. </w:t>
            </w:r>
            <w:r>
              <w:rPr>
                <w:rFonts w:eastAsia="DengXian"/>
                <w:b/>
                <w:bCs/>
                <w:noProof/>
              </w:rPr>
              <w:t>kuva F</w:t>
            </w:r>
            <w:r>
              <w:rPr>
                <w:rFonts w:eastAsia="DengXian"/>
                <w:noProof/>
              </w:rPr>
              <w:t>).</w:t>
            </w:r>
          </w:p>
          <w:p w14:paraId="0BE8DA74" w14:textId="1EA48354" w:rsidR="00A237F8" w:rsidRDefault="00A237F8" w:rsidP="00CA43F5">
            <w:pPr>
              <w:pStyle w:val="a4"/>
              <w:widowControl w:val="0"/>
              <w:numPr>
                <w:ilvl w:val="0"/>
                <w:numId w:val="38"/>
              </w:numPr>
              <w:suppressAutoHyphens/>
              <w:ind w:left="1134" w:hanging="567"/>
              <w:rPr>
                <w:rFonts w:eastAsia="DengXian"/>
                <w:noProof/>
              </w:rPr>
            </w:pPr>
            <w:r>
              <w:rPr>
                <w:rFonts w:eastAsia="DengXian"/>
                <w:b/>
                <w:bCs/>
                <w:noProof/>
              </w:rPr>
              <w:t xml:space="preserve">Älä </w:t>
            </w:r>
            <w:r>
              <w:t>käytä esitäytettyä kynää, jos neste on värjääntynyttä tai sameaa tai jos siinä on hiukkasia tai saostumia</w:t>
            </w:r>
            <w:r>
              <w:rPr>
                <w:rFonts w:eastAsia="DengXian"/>
                <w:noProof/>
              </w:rPr>
              <w:t xml:space="preserve">. </w:t>
            </w:r>
            <w:r>
              <w:t>H</w:t>
            </w:r>
            <w:r w:rsidRPr="00A35894">
              <w:t xml:space="preserve">ävitä esitäytetty </w:t>
            </w:r>
            <w:r>
              <w:t>kynä</w:t>
            </w:r>
            <w:r w:rsidRPr="00A35894">
              <w:t xml:space="preserve"> turvallisesti laittamalla se pistävälle ja viiltävälle jätteelle tarkoitettuun astiaan ja ota käyttöön uusi esitäytetty </w:t>
            </w:r>
            <w:r>
              <w:t>kynä</w:t>
            </w:r>
            <w:r>
              <w:rPr>
                <w:rFonts w:eastAsia="DengXian"/>
                <w:noProof/>
              </w:rPr>
              <w:t>.</w:t>
            </w:r>
          </w:p>
          <w:p w14:paraId="1ED55CD6" w14:textId="7F114571" w:rsidR="00EF533A" w:rsidRDefault="00A237F8" w:rsidP="00CA43F5">
            <w:pPr>
              <w:pStyle w:val="a4"/>
              <w:widowControl w:val="0"/>
              <w:numPr>
                <w:ilvl w:val="0"/>
                <w:numId w:val="38"/>
              </w:numPr>
              <w:ind w:left="1134" w:hanging="567"/>
              <w:rPr>
                <w:bCs/>
              </w:rPr>
            </w:pPr>
            <w:r>
              <w:rPr>
                <w:rFonts w:eastAsia="DengXian"/>
                <w:noProof/>
              </w:rPr>
              <w:t>Ilmakuplat ovat normaaleja</w:t>
            </w:r>
            <w:r w:rsidR="00EF533A">
              <w:rPr>
                <w:bCs/>
              </w:rPr>
              <w:t>.</w:t>
            </w:r>
          </w:p>
          <w:p w14:paraId="7A5737F5" w14:textId="77777777" w:rsidR="00EF533A" w:rsidRPr="00DE67E9" w:rsidRDefault="00EF533A" w:rsidP="00940778"/>
        </w:tc>
      </w:tr>
      <w:tr w:rsidR="009C440C" w:rsidRPr="00ED6BAC" w14:paraId="1C356F3F" w14:textId="77777777">
        <w:trPr>
          <w:cantSplit/>
        </w:trPr>
        <w:tc>
          <w:tcPr>
            <w:tcW w:w="3539" w:type="dxa"/>
          </w:tcPr>
          <w:p w14:paraId="5929C400" w14:textId="22185480" w:rsidR="00EF533A" w:rsidRDefault="0086716C">
            <w:pPr>
              <w:suppressAutoHyphens/>
              <w:jc w:val="right"/>
              <w:rPr>
                <w:noProof/>
              </w:rPr>
            </w:pPr>
            <w:r>
              <w:rPr>
                <w:noProof/>
                <w:lang w:val="en-US" w:eastAsia="ko-KR"/>
              </w:rPr>
              <w:drawing>
                <wp:inline distT="0" distB="0" distL="0" distR="0" wp14:anchorId="37DA29D1" wp14:editId="6F260EF2">
                  <wp:extent cx="2084070" cy="2573020"/>
                  <wp:effectExtent l="19050" t="19050" r="0" b="0"/>
                  <wp:docPr id="27" name="그림 9"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스케치, 그림, 라인 아트, 아동 미술이(가) 표시된 사진&#10;&#10;자동 생성된 설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4070" cy="2573020"/>
                          </a:xfrm>
                          <a:prstGeom prst="rect">
                            <a:avLst/>
                          </a:prstGeom>
                          <a:noFill/>
                          <a:ln w="9525" cmpd="sng">
                            <a:solidFill>
                              <a:srgbClr val="000000"/>
                            </a:solidFill>
                            <a:miter lim="800000"/>
                            <a:headEnd/>
                            <a:tailEnd/>
                          </a:ln>
                          <a:effectLst/>
                        </pic:spPr>
                      </pic:pic>
                    </a:graphicData>
                  </a:graphic>
                </wp:inline>
              </w:drawing>
            </w:r>
          </w:p>
          <w:p w14:paraId="32512405" w14:textId="196A5254" w:rsidR="00EF533A" w:rsidRDefault="00A237F8">
            <w:pPr>
              <w:suppressAutoHyphens/>
              <w:jc w:val="right"/>
              <w:rPr>
                <w:b/>
                <w:bCs/>
                <w:noProof/>
              </w:rPr>
            </w:pPr>
            <w:r>
              <w:rPr>
                <w:b/>
                <w:bCs/>
                <w:noProof/>
              </w:rPr>
              <w:t>Kuva</w:t>
            </w:r>
            <w:r w:rsidR="00EF533A">
              <w:rPr>
                <w:b/>
                <w:bCs/>
                <w:noProof/>
              </w:rPr>
              <w:t xml:space="preserve"> G</w:t>
            </w:r>
          </w:p>
        </w:tc>
        <w:tc>
          <w:tcPr>
            <w:tcW w:w="5517" w:type="dxa"/>
          </w:tcPr>
          <w:p w14:paraId="6DDF9C7F" w14:textId="46316FEA" w:rsidR="00EF533A" w:rsidRDefault="00A237F8">
            <w:pPr>
              <w:pStyle w:val="a4"/>
              <w:widowControl w:val="0"/>
              <w:numPr>
                <w:ilvl w:val="0"/>
                <w:numId w:val="57"/>
              </w:numPr>
              <w:ind w:left="567" w:hanging="567"/>
              <w:rPr>
                <w:b/>
              </w:rPr>
            </w:pPr>
            <w:r>
              <w:rPr>
                <w:b/>
              </w:rPr>
              <w:t>Pese kädet</w:t>
            </w:r>
            <w:r w:rsidR="00EF533A">
              <w:rPr>
                <w:b/>
              </w:rPr>
              <w:t>.</w:t>
            </w:r>
          </w:p>
          <w:p w14:paraId="36839552" w14:textId="77777777" w:rsidR="00EF533A" w:rsidRDefault="00EF533A">
            <w:pPr>
              <w:pStyle w:val="Default"/>
              <w:ind w:left="567" w:hanging="567"/>
              <w:rPr>
                <w:rFonts w:ascii="Times New Roman" w:hAnsi="Times New Roman" w:cs="Times New Roman"/>
                <w:sz w:val="22"/>
                <w:szCs w:val="22"/>
              </w:rPr>
            </w:pPr>
          </w:p>
          <w:p w14:paraId="710434E4" w14:textId="3E6491CA" w:rsidR="00EF533A" w:rsidRDefault="00A237F8" w:rsidP="00070CF8">
            <w:pPr>
              <w:pStyle w:val="a4"/>
              <w:widowControl w:val="0"/>
              <w:numPr>
                <w:ilvl w:val="0"/>
                <w:numId w:val="62"/>
              </w:numPr>
              <w:ind w:left="567" w:hanging="567"/>
              <w:rPr>
                <w:bCs/>
              </w:rPr>
            </w:pPr>
            <w:r w:rsidRPr="00B27317">
              <w:t>Pese kädet vedellä ja saippualla ja kuivaa ne huolellisesti</w:t>
            </w:r>
            <w:r>
              <w:rPr>
                <w:rFonts w:eastAsia="DengXian"/>
                <w:noProof/>
              </w:rPr>
              <w:t xml:space="preserve"> (ks. </w:t>
            </w:r>
            <w:r>
              <w:rPr>
                <w:rFonts w:eastAsia="DengXian"/>
                <w:b/>
                <w:bCs/>
                <w:noProof/>
              </w:rPr>
              <w:t>kuva G</w:t>
            </w:r>
            <w:r>
              <w:rPr>
                <w:rFonts w:eastAsia="DengXian"/>
                <w:noProof/>
              </w:rPr>
              <w:t>)</w:t>
            </w:r>
            <w:r w:rsidR="00EF533A">
              <w:rPr>
                <w:color w:val="231F20"/>
              </w:rPr>
              <w:t>.</w:t>
            </w:r>
          </w:p>
          <w:p w14:paraId="496E0151" w14:textId="77777777" w:rsidR="00EF533A" w:rsidRPr="00CA43F5" w:rsidRDefault="00EF533A" w:rsidP="00940778">
            <w:pPr>
              <w:rPr>
                <w:lang w:val="fi-FI"/>
              </w:rPr>
            </w:pPr>
          </w:p>
        </w:tc>
      </w:tr>
      <w:tr w:rsidR="009C440C" w:rsidRPr="00BB5A61" w14:paraId="3A907365" w14:textId="77777777">
        <w:trPr>
          <w:cantSplit/>
        </w:trPr>
        <w:tc>
          <w:tcPr>
            <w:tcW w:w="3539" w:type="dxa"/>
          </w:tcPr>
          <w:p w14:paraId="48F9902A" w14:textId="70C7D1C2" w:rsidR="00EF533A" w:rsidRDefault="0086716C">
            <w:pPr>
              <w:suppressAutoHyphens/>
              <w:jc w:val="right"/>
              <w:rPr>
                <w:noProof/>
              </w:rPr>
            </w:pPr>
            <w:r>
              <w:rPr>
                <w:noProof/>
                <w:lang w:val="en-US" w:eastAsia="ko-KR"/>
              </w:rPr>
              <w:lastRenderedPageBreak/>
              <w:drawing>
                <wp:inline distT="0" distB="0" distL="0" distR="0" wp14:anchorId="7D8D3DAA" wp14:editId="23899938">
                  <wp:extent cx="2073275" cy="3572510"/>
                  <wp:effectExtent l="19050" t="19050" r="3175" b="8890"/>
                  <wp:docPr id="28" name="그림 8"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스케치, 화이트, 그림, 텍스트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3275" cy="3572510"/>
                          </a:xfrm>
                          <a:prstGeom prst="rect">
                            <a:avLst/>
                          </a:prstGeom>
                          <a:noFill/>
                          <a:ln w="9525" cmpd="sng">
                            <a:solidFill>
                              <a:srgbClr val="000000"/>
                            </a:solidFill>
                            <a:miter lim="800000"/>
                            <a:headEnd/>
                            <a:tailEnd/>
                          </a:ln>
                          <a:effectLst/>
                        </pic:spPr>
                      </pic:pic>
                    </a:graphicData>
                  </a:graphic>
                </wp:inline>
              </w:drawing>
            </w:r>
          </w:p>
          <w:p w14:paraId="291C71A7" w14:textId="50877D10" w:rsidR="00EF533A" w:rsidRDefault="0086716C">
            <w:pPr>
              <w:suppressAutoHyphens/>
              <w:jc w:val="right"/>
              <w:rPr>
                <w:b/>
                <w:bCs/>
                <w:noProof/>
              </w:rPr>
            </w:pPr>
            <w:r>
              <w:rPr>
                <w:b/>
                <w:bCs/>
                <w:noProof/>
                <w:lang w:val="en-US" w:eastAsia="ko-KR"/>
              </w:rPr>
              <mc:AlternateContent>
                <mc:Choice Requires="wps">
                  <w:drawing>
                    <wp:anchor distT="45720" distB="45720" distL="114300" distR="114300" simplePos="0" relativeHeight="251658275" behindDoc="0" locked="1" layoutInCell="1" allowOverlap="1" wp14:anchorId="6CD90AB7" wp14:editId="44F6F0FA">
                      <wp:simplePos x="0" y="0"/>
                      <wp:positionH relativeFrom="column">
                        <wp:posOffset>605155</wp:posOffset>
                      </wp:positionH>
                      <wp:positionV relativeFrom="paragraph">
                        <wp:posOffset>-1169670</wp:posOffset>
                      </wp:positionV>
                      <wp:extent cx="1543685" cy="655320"/>
                      <wp:effectExtent l="0" t="0" r="0" b="0"/>
                      <wp:wrapNone/>
                      <wp:docPr id="17587417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55320"/>
                              </a:xfrm>
                              <a:prstGeom prst="rect">
                                <a:avLst/>
                              </a:prstGeom>
                              <a:noFill/>
                              <a:ln>
                                <a:noFill/>
                              </a:ln>
                            </wps:spPr>
                            <wps:txbx>
                              <w:txbxContent>
                                <w:p w14:paraId="4034A7F7" w14:textId="06735CC5" w:rsidR="00EF533A" w:rsidRPr="00987BC7" w:rsidRDefault="00E62019" w:rsidP="00987BC7">
                                  <w:pPr>
                                    <w:spacing w:line="264" w:lineRule="auto"/>
                                    <w:rPr>
                                      <w:rFonts w:ascii="Arial" w:hAnsi="Arial" w:cs="Arial"/>
                                      <w:b/>
                                      <w:bCs/>
                                      <w:sz w:val="18"/>
                                      <w:szCs w:val="18"/>
                                      <w:lang w:val="es-ES"/>
                                    </w:rPr>
                                  </w:pPr>
                                  <w:r w:rsidRPr="00E62019">
                                    <w:rPr>
                                      <w:rFonts w:ascii="Arial" w:hAnsi="Arial" w:cs="Arial"/>
                                      <w:b/>
                                      <w:bCs/>
                                      <w:sz w:val="18"/>
                                      <w:szCs w:val="18"/>
                                      <w:lang w:val="es-ES"/>
                                    </w:rPr>
                                    <w:t>Potilas itse, potilasta hoitava henkilö ja terveydenhuollon ammattilainen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90AB7" id="Text Box 51" o:spid="_x0000_s1071" type="#_x0000_t202" style="position:absolute;left:0;text-align:left;margin-left:47.65pt;margin-top:-92.1pt;width:121.55pt;height:51.6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" filled="f" stroked="f">
                      <v:textbox inset="0,0,0,0">
                        <w:txbxContent>
                          <w:p w14:paraId="4034A7F7" w14:textId="06735CC5" w:rsidR="00EF533A" w:rsidRPr="00987BC7" w:rsidRDefault="00E62019" w:rsidP="00987BC7">
                            <w:pPr>
                              <w:spacing w:line="264" w:lineRule="auto"/>
                              <w:rPr>
                                <w:rFonts w:ascii="Arial" w:hAnsi="Arial" w:cs="Arial"/>
                                <w:b/>
                                <w:bCs/>
                                <w:sz w:val="18"/>
                                <w:szCs w:val="18"/>
                                <w:lang w:val="es-ES"/>
                              </w:rPr>
                            </w:pPr>
                            <w:r w:rsidRPr="00E62019">
                              <w:rPr>
                                <w:rFonts w:ascii="Arial" w:hAnsi="Arial" w:cs="Arial"/>
                                <w:b/>
                                <w:bCs/>
                                <w:sz w:val="18"/>
                                <w:szCs w:val="18"/>
                                <w:lang w:val="es-ES"/>
                              </w:rPr>
                              <w:t>Potilas itse, potilasta hoitava henkilö ja terveydenhuollon ammattilainen</w:t>
                            </w:r>
                          </w:p>
                        </w:txbxContent>
                      </v:textbox>
                      <w10:anchorlock/>
                    </v:shape>
                  </w:pict>
                </mc:Fallback>
              </mc:AlternateContent>
            </w:r>
            <w:r>
              <w:rPr>
                <w:b/>
                <w:bCs/>
                <w:noProof/>
                <w:lang w:val="en-US" w:eastAsia="ko-KR"/>
              </w:rPr>
              <mc:AlternateContent>
                <mc:Choice Requires="wps">
                  <w:drawing>
                    <wp:anchor distT="45720" distB="45720" distL="114300" distR="114300" simplePos="0" relativeHeight="251658276" behindDoc="0" locked="1" layoutInCell="1" allowOverlap="1" wp14:anchorId="0A366E16" wp14:editId="75313335">
                      <wp:simplePos x="0" y="0"/>
                      <wp:positionH relativeFrom="column">
                        <wp:posOffset>598170</wp:posOffset>
                      </wp:positionH>
                      <wp:positionV relativeFrom="paragraph">
                        <wp:posOffset>-527050</wp:posOffset>
                      </wp:positionV>
                      <wp:extent cx="1543685" cy="482600"/>
                      <wp:effectExtent l="0" t="0" r="0" b="0"/>
                      <wp:wrapNone/>
                      <wp:docPr id="111349636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82600"/>
                              </a:xfrm>
                              <a:prstGeom prst="rect">
                                <a:avLst/>
                              </a:prstGeom>
                              <a:noFill/>
                              <a:ln>
                                <a:noFill/>
                              </a:ln>
                            </wps:spPr>
                            <wps:txbx>
                              <w:txbxContent>
                                <w:p w14:paraId="03E2D2B2" w14:textId="6E0DCD0F" w:rsidR="00EF533A" w:rsidRPr="00987BC7" w:rsidRDefault="00D42483" w:rsidP="00987BC7">
                                  <w:pPr>
                                    <w:spacing w:line="264" w:lineRule="auto"/>
                                    <w:rPr>
                                      <w:rFonts w:ascii="Arial" w:hAnsi="Arial" w:cs="Arial"/>
                                      <w:b/>
                                      <w:bCs/>
                                      <w:spacing w:val="-2"/>
                                      <w:sz w:val="18"/>
                                      <w:szCs w:val="18"/>
                                      <w:lang w:val="es-ES"/>
                                    </w:rPr>
                                  </w:pPr>
                                  <w:r w:rsidRPr="00D42483">
                                    <w:rPr>
                                      <w:rFonts w:ascii="Arial" w:hAnsi="Arial" w:cs="Arial"/>
                                      <w:b/>
                                      <w:bCs/>
                                      <w:spacing w:val="-2"/>
                                      <w:sz w:val="18"/>
                                      <w:szCs w:val="18"/>
                                      <w:lang w:val="es-ES"/>
                                    </w:rPr>
                                    <w:t>VAIN potilasta hoitava henkilö ja terveydenhuollon ammattilainen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66E16" id="Text Box 49" o:spid="_x0000_s1072" type="#_x0000_t202" style="position:absolute;left:0;text-align:left;margin-left:47.1pt;margin-top:-41.5pt;width:121.55pt;height:38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" filled="f" stroked="f">
                      <v:textbox inset="0,0,0,0">
                        <w:txbxContent>
                          <w:p w14:paraId="03E2D2B2" w14:textId="6E0DCD0F" w:rsidR="00EF533A" w:rsidRPr="00987BC7" w:rsidRDefault="00D42483" w:rsidP="00987BC7">
                            <w:pPr>
                              <w:spacing w:line="264" w:lineRule="auto"/>
                              <w:rPr>
                                <w:rFonts w:ascii="Arial" w:hAnsi="Arial" w:cs="Arial"/>
                                <w:b/>
                                <w:bCs/>
                                <w:spacing w:val="-2"/>
                                <w:sz w:val="18"/>
                                <w:szCs w:val="18"/>
                                <w:lang w:val="es-ES"/>
                              </w:rPr>
                            </w:pPr>
                            <w:r w:rsidRPr="00D42483">
                              <w:rPr>
                                <w:rFonts w:ascii="Arial" w:hAnsi="Arial" w:cs="Arial"/>
                                <w:b/>
                                <w:bCs/>
                                <w:spacing w:val="-2"/>
                                <w:sz w:val="18"/>
                                <w:szCs w:val="18"/>
                                <w:lang w:val="es-ES"/>
                              </w:rPr>
                              <w:t>VAIN potilasta hoitava henkilö ja terveydenhuollon ammattilainen</w:t>
                            </w:r>
                          </w:p>
                        </w:txbxContent>
                      </v:textbox>
                      <w10:anchorlock/>
                    </v:shape>
                  </w:pict>
                </mc:Fallback>
              </mc:AlternateContent>
            </w:r>
            <w:r w:rsidR="00A237F8">
              <w:rPr>
                <w:b/>
                <w:bCs/>
                <w:noProof/>
              </w:rPr>
              <w:t>Kuva</w:t>
            </w:r>
            <w:r w:rsidR="00EF533A">
              <w:rPr>
                <w:b/>
                <w:bCs/>
                <w:noProof/>
              </w:rPr>
              <w:t xml:space="preserve"> H</w:t>
            </w:r>
          </w:p>
        </w:tc>
        <w:tc>
          <w:tcPr>
            <w:tcW w:w="5517" w:type="dxa"/>
          </w:tcPr>
          <w:p w14:paraId="4340D7B4" w14:textId="1B02C79A" w:rsidR="00EF533A" w:rsidRDefault="00A237F8">
            <w:pPr>
              <w:pStyle w:val="a4"/>
              <w:widowControl w:val="0"/>
              <w:numPr>
                <w:ilvl w:val="0"/>
                <w:numId w:val="57"/>
              </w:numPr>
              <w:ind w:left="567" w:hanging="567"/>
              <w:rPr>
                <w:b/>
              </w:rPr>
            </w:pPr>
            <w:r>
              <w:rPr>
                <w:b/>
              </w:rPr>
              <w:t>Valitse sopiva pistoskohta (ks. kuva H)</w:t>
            </w:r>
            <w:r w:rsidR="00EF533A">
              <w:rPr>
                <w:b/>
              </w:rPr>
              <w:t>.</w:t>
            </w:r>
          </w:p>
          <w:p w14:paraId="299FEB89" w14:textId="77777777" w:rsidR="00EF533A" w:rsidRPr="00CA43F5" w:rsidRDefault="00EF533A">
            <w:pPr>
              <w:pStyle w:val="Default"/>
              <w:ind w:left="567" w:hanging="567"/>
              <w:rPr>
                <w:rFonts w:ascii="Times New Roman" w:hAnsi="Times New Roman" w:cs="Times New Roman"/>
                <w:bCs/>
                <w:sz w:val="22"/>
                <w:szCs w:val="22"/>
                <w:lang w:val="fi-FI"/>
              </w:rPr>
            </w:pPr>
          </w:p>
          <w:p w14:paraId="771BA3C2" w14:textId="3C863E3D" w:rsidR="00EF533A" w:rsidRDefault="00A237F8">
            <w:pPr>
              <w:pStyle w:val="a4"/>
              <w:widowControl w:val="0"/>
              <w:numPr>
                <w:ilvl w:val="0"/>
                <w:numId w:val="65"/>
              </w:numPr>
              <w:ind w:left="567" w:hanging="567"/>
              <w:rPr>
                <w:bCs/>
              </w:rPr>
            </w:pPr>
            <w:r w:rsidRPr="000273BB">
              <w:t>Voit pistää seuraaviin koht</w:t>
            </w:r>
            <w:r>
              <w:t>iin</w:t>
            </w:r>
            <w:r w:rsidR="00EF533A">
              <w:rPr>
                <w:b/>
              </w:rPr>
              <w:t xml:space="preserve"> </w:t>
            </w:r>
          </w:p>
          <w:p w14:paraId="3BD1DF7D" w14:textId="77777777" w:rsidR="00A237F8" w:rsidRDefault="00A237F8" w:rsidP="00CA43F5">
            <w:pPr>
              <w:pStyle w:val="a4"/>
              <w:widowControl w:val="0"/>
              <w:numPr>
                <w:ilvl w:val="0"/>
                <w:numId w:val="47"/>
              </w:numPr>
              <w:suppressAutoHyphens/>
              <w:ind w:left="1134" w:hanging="567"/>
              <w:rPr>
                <w:rFonts w:eastAsia="DengXian"/>
                <w:noProof/>
              </w:rPr>
            </w:pPr>
            <w:r w:rsidRPr="000273BB">
              <w:t>reiden etuosa</w:t>
            </w:r>
          </w:p>
          <w:p w14:paraId="7D77819E" w14:textId="77777777" w:rsidR="00A237F8" w:rsidRDefault="00A237F8" w:rsidP="00CA43F5">
            <w:pPr>
              <w:pStyle w:val="a4"/>
              <w:widowControl w:val="0"/>
              <w:numPr>
                <w:ilvl w:val="0"/>
                <w:numId w:val="47"/>
              </w:numPr>
              <w:suppressAutoHyphens/>
              <w:ind w:left="1134" w:hanging="567"/>
              <w:rPr>
                <w:rFonts w:eastAsia="DengXian"/>
                <w:noProof/>
              </w:rPr>
            </w:pPr>
            <w:r w:rsidRPr="000273BB">
              <w:t>vatsa, lukuun ottamatta 5 cm:n aluetta navan ympärillä</w:t>
            </w:r>
            <w:r>
              <w:rPr>
                <w:rFonts w:eastAsia="DengXian"/>
                <w:noProof/>
              </w:rPr>
              <w:t>.</w:t>
            </w:r>
          </w:p>
          <w:p w14:paraId="73042086" w14:textId="6CB487FA" w:rsidR="00EF533A" w:rsidRPr="00DE67E9" w:rsidRDefault="00A237F8" w:rsidP="00CA43F5">
            <w:pPr>
              <w:pStyle w:val="a4"/>
              <w:widowControl w:val="0"/>
              <w:numPr>
                <w:ilvl w:val="0"/>
                <w:numId w:val="47"/>
              </w:numPr>
              <w:ind w:left="1134" w:hanging="567"/>
            </w:pPr>
            <w:r w:rsidRPr="000273BB">
              <w:t>olkavarren ulkosyrjä (vain potilasta hoitava henkilö tai terveydenhuollon ammattilainen</w:t>
            </w:r>
            <w:r>
              <w:rPr>
                <w:rFonts w:eastAsia="DengXian"/>
                <w:noProof/>
              </w:rPr>
              <w:t>).</w:t>
            </w:r>
          </w:p>
          <w:p w14:paraId="0060B6C2" w14:textId="77777777" w:rsidR="00EF533A" w:rsidRPr="00DE67E9" w:rsidRDefault="00EF533A">
            <w:pPr>
              <w:pStyle w:val="a4"/>
              <w:ind w:left="567" w:hanging="567"/>
            </w:pPr>
          </w:p>
          <w:p w14:paraId="1B68F3C7" w14:textId="77777777" w:rsidR="00A237F8" w:rsidRDefault="00A237F8" w:rsidP="00CA43F5">
            <w:pPr>
              <w:pStyle w:val="a4"/>
              <w:widowControl w:val="0"/>
              <w:numPr>
                <w:ilvl w:val="0"/>
                <w:numId w:val="38"/>
              </w:numPr>
              <w:suppressAutoHyphens/>
              <w:ind w:left="1134" w:hanging="567"/>
              <w:rPr>
                <w:rFonts w:eastAsia="DengXian"/>
                <w:noProof/>
              </w:rPr>
            </w:pPr>
            <w:r>
              <w:rPr>
                <w:b/>
                <w:bCs/>
              </w:rPr>
              <w:t>Älä</w:t>
            </w:r>
            <w:r w:rsidRPr="000273BB">
              <w:t xml:space="preserve"> yritä itse pistää pistosta olkavarteen</w:t>
            </w:r>
            <w:r>
              <w:rPr>
                <w:rFonts w:eastAsia="DengXian"/>
                <w:noProof/>
              </w:rPr>
              <w:t>.</w:t>
            </w:r>
          </w:p>
          <w:p w14:paraId="245CE07A" w14:textId="679C890F" w:rsidR="00A237F8" w:rsidRDefault="00A237F8" w:rsidP="00CA43F5">
            <w:pPr>
              <w:pStyle w:val="a4"/>
              <w:widowControl w:val="0"/>
              <w:numPr>
                <w:ilvl w:val="0"/>
                <w:numId w:val="38"/>
              </w:numPr>
              <w:suppressAutoHyphens/>
              <w:ind w:left="1134" w:hanging="567"/>
              <w:rPr>
                <w:rFonts w:eastAsia="DengXian"/>
                <w:noProof/>
              </w:rPr>
            </w:pPr>
            <w:r w:rsidRPr="0028514E">
              <w:t xml:space="preserve">Uusi pistos on pistettävä jokaisella kerralla eri kohtaan vähintään </w:t>
            </w:r>
            <w:r>
              <w:t>2,5 </w:t>
            </w:r>
            <w:r w:rsidR="00194B8C">
              <w:t>cm:</w:t>
            </w:r>
            <w:r w:rsidRPr="0028514E">
              <w:t>n etäisyydelle edellisestä pistoskohdasta.</w:t>
            </w:r>
          </w:p>
          <w:p w14:paraId="661B3773" w14:textId="1A1C713A" w:rsidR="00EF533A" w:rsidRPr="00DE67E9" w:rsidRDefault="00A237F8" w:rsidP="00CA43F5">
            <w:pPr>
              <w:pStyle w:val="a4"/>
              <w:widowControl w:val="0"/>
              <w:numPr>
                <w:ilvl w:val="0"/>
                <w:numId w:val="38"/>
              </w:numPr>
              <w:ind w:left="1134" w:hanging="567"/>
            </w:pPr>
            <w:r>
              <w:rPr>
                <w:b/>
                <w:bCs/>
              </w:rPr>
              <w:t>Älä</w:t>
            </w:r>
            <w:r w:rsidRPr="000273BB">
              <w:t xml:space="preserve"> pistä pistosta luomiin, arpiin, mustelmiin äläkä alueille, joilla iho aristaa, punoittaa tai on kovettunut</w:t>
            </w:r>
            <w:r w:rsidR="00EF533A">
              <w:rPr>
                <w:color w:val="231F20"/>
              </w:rPr>
              <w:t>.</w:t>
            </w:r>
          </w:p>
          <w:p w14:paraId="3D2B20A7" w14:textId="77777777" w:rsidR="00EF533A" w:rsidRPr="00CA43F5" w:rsidRDefault="00EF533A" w:rsidP="00940778">
            <w:pPr>
              <w:rPr>
                <w:lang w:val="fi-FI"/>
              </w:rPr>
            </w:pPr>
          </w:p>
        </w:tc>
      </w:tr>
      <w:tr w:rsidR="009C440C" w:rsidRPr="00BB5A61" w14:paraId="68CF7CF5" w14:textId="77777777">
        <w:trPr>
          <w:cantSplit/>
        </w:trPr>
        <w:tc>
          <w:tcPr>
            <w:tcW w:w="3539" w:type="dxa"/>
          </w:tcPr>
          <w:p w14:paraId="52A7C388" w14:textId="372ADB65" w:rsidR="00EF533A" w:rsidRDefault="0086716C">
            <w:pPr>
              <w:suppressAutoHyphens/>
              <w:jc w:val="right"/>
              <w:rPr>
                <w:noProof/>
              </w:rPr>
            </w:pPr>
            <w:r>
              <w:rPr>
                <w:noProof/>
                <w:lang w:val="en-US" w:eastAsia="ko-KR"/>
              </w:rPr>
              <w:drawing>
                <wp:inline distT="0" distB="0" distL="0" distR="0" wp14:anchorId="5A77A530" wp14:editId="397E23A9">
                  <wp:extent cx="2062480" cy="2583815"/>
                  <wp:effectExtent l="19050" t="19050" r="0" b="6985"/>
                  <wp:docPr id="29" name="그림 7"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라인 아트, 스케치, 클립아트, 컬러링북이(가) 표시된 사진&#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2480" cy="2583815"/>
                          </a:xfrm>
                          <a:prstGeom prst="rect">
                            <a:avLst/>
                          </a:prstGeom>
                          <a:noFill/>
                          <a:ln w="9525" cmpd="sng">
                            <a:solidFill>
                              <a:srgbClr val="000000"/>
                            </a:solidFill>
                            <a:miter lim="800000"/>
                            <a:headEnd/>
                            <a:tailEnd/>
                          </a:ln>
                          <a:effectLst/>
                        </pic:spPr>
                      </pic:pic>
                    </a:graphicData>
                  </a:graphic>
                </wp:inline>
              </w:drawing>
            </w:r>
          </w:p>
          <w:p w14:paraId="09050A15" w14:textId="73CA8875" w:rsidR="00EF533A" w:rsidRDefault="00A237F8">
            <w:pPr>
              <w:suppressAutoHyphens/>
              <w:jc w:val="right"/>
              <w:rPr>
                <w:b/>
                <w:bCs/>
                <w:noProof/>
              </w:rPr>
            </w:pPr>
            <w:r>
              <w:rPr>
                <w:b/>
                <w:bCs/>
                <w:noProof/>
              </w:rPr>
              <w:t>Kuva</w:t>
            </w:r>
            <w:r w:rsidR="00EF533A">
              <w:rPr>
                <w:b/>
                <w:bCs/>
                <w:noProof/>
              </w:rPr>
              <w:t xml:space="preserve"> I</w:t>
            </w:r>
          </w:p>
        </w:tc>
        <w:tc>
          <w:tcPr>
            <w:tcW w:w="5517" w:type="dxa"/>
          </w:tcPr>
          <w:p w14:paraId="21607AA8" w14:textId="616A8183" w:rsidR="00EF533A" w:rsidRDefault="00A237F8">
            <w:pPr>
              <w:pStyle w:val="a4"/>
              <w:widowControl w:val="0"/>
              <w:numPr>
                <w:ilvl w:val="0"/>
                <w:numId w:val="57"/>
              </w:numPr>
              <w:ind w:left="567" w:hanging="567"/>
              <w:rPr>
                <w:b/>
              </w:rPr>
            </w:pPr>
            <w:r>
              <w:rPr>
                <w:b/>
                <w:bCs/>
              </w:rPr>
              <w:t>Puhdista pistoskohta</w:t>
            </w:r>
            <w:r w:rsidR="00EF533A">
              <w:rPr>
                <w:b/>
              </w:rPr>
              <w:t>.</w:t>
            </w:r>
          </w:p>
          <w:p w14:paraId="0D4E4D43" w14:textId="77777777" w:rsidR="00EF533A" w:rsidRDefault="00EF533A">
            <w:pPr>
              <w:pStyle w:val="Default"/>
              <w:ind w:left="567" w:hanging="567"/>
              <w:rPr>
                <w:rFonts w:ascii="Times New Roman" w:hAnsi="Times New Roman" w:cs="Times New Roman"/>
                <w:sz w:val="22"/>
                <w:szCs w:val="22"/>
              </w:rPr>
            </w:pPr>
          </w:p>
          <w:p w14:paraId="0FF6A8BB" w14:textId="3BA3CBB9" w:rsidR="00EF533A" w:rsidRDefault="00A237F8">
            <w:pPr>
              <w:pStyle w:val="a4"/>
              <w:widowControl w:val="0"/>
              <w:numPr>
                <w:ilvl w:val="0"/>
                <w:numId w:val="63"/>
              </w:numPr>
              <w:ind w:left="567" w:hanging="567"/>
              <w:rPr>
                <w:bCs/>
              </w:rPr>
            </w:pPr>
            <w:r w:rsidRPr="00A237F8">
              <w:t xml:space="preserve">Puhdista pistoskohta desinfiointipyyhkeellä ja anna ihon kuivua noin 10 sekunnin ajan </w:t>
            </w:r>
            <w:r>
              <w:rPr>
                <w:rFonts w:eastAsia="DengXian"/>
                <w:noProof/>
              </w:rPr>
              <w:t xml:space="preserve">(ks. </w:t>
            </w:r>
            <w:r>
              <w:rPr>
                <w:rFonts w:eastAsia="DengXian"/>
                <w:b/>
                <w:bCs/>
                <w:noProof/>
              </w:rPr>
              <w:t>kuva I</w:t>
            </w:r>
            <w:r>
              <w:rPr>
                <w:rFonts w:eastAsia="DengXian"/>
                <w:noProof/>
              </w:rPr>
              <w:t>). Tämä vähentää infektioriskiä</w:t>
            </w:r>
            <w:r w:rsidR="00EF533A">
              <w:rPr>
                <w:color w:val="231F20"/>
              </w:rPr>
              <w:t>.</w:t>
            </w:r>
          </w:p>
          <w:p w14:paraId="5BCB1220" w14:textId="77777777" w:rsidR="00A237F8" w:rsidRDefault="00A237F8" w:rsidP="00CA43F5">
            <w:pPr>
              <w:pStyle w:val="a4"/>
              <w:widowControl w:val="0"/>
              <w:numPr>
                <w:ilvl w:val="0"/>
                <w:numId w:val="38"/>
              </w:numPr>
              <w:suppressAutoHyphens/>
              <w:ind w:left="1134" w:hanging="567"/>
              <w:rPr>
                <w:rFonts w:eastAsia="DengXian"/>
                <w:noProof/>
              </w:rPr>
            </w:pPr>
            <w:r>
              <w:rPr>
                <w:b/>
              </w:rPr>
              <w:t xml:space="preserve">Älä </w:t>
            </w:r>
            <w:r w:rsidRPr="00A237F8">
              <w:t>kosketa pistoskohtaa enää ennen pistoksen pistämistä</w:t>
            </w:r>
            <w:r>
              <w:rPr>
                <w:rFonts w:eastAsia="DengXian"/>
                <w:noProof/>
              </w:rPr>
              <w:t>.</w:t>
            </w:r>
          </w:p>
          <w:p w14:paraId="02BBA088" w14:textId="188336E2" w:rsidR="00EF533A" w:rsidRDefault="00A237F8" w:rsidP="00CA43F5">
            <w:pPr>
              <w:pStyle w:val="a4"/>
              <w:widowControl w:val="0"/>
              <w:numPr>
                <w:ilvl w:val="0"/>
                <w:numId w:val="38"/>
              </w:numPr>
              <w:ind w:left="1134" w:hanging="567"/>
            </w:pPr>
            <w:r>
              <w:rPr>
                <w:b/>
              </w:rPr>
              <w:t xml:space="preserve">Älä </w:t>
            </w:r>
            <w:r w:rsidRPr="00A237F8">
              <w:t>tuuleta äläkä puhalla puhdistettua aluetta</w:t>
            </w:r>
            <w:r w:rsidR="00EF533A">
              <w:rPr>
                <w:bCs/>
              </w:rPr>
              <w:t>.</w:t>
            </w:r>
          </w:p>
          <w:p w14:paraId="730A2F8F" w14:textId="77777777" w:rsidR="00EF533A" w:rsidRPr="00CA43F5" w:rsidRDefault="00EF533A" w:rsidP="00940778">
            <w:pPr>
              <w:rPr>
                <w:lang w:val="fi-FI"/>
              </w:rPr>
            </w:pPr>
          </w:p>
        </w:tc>
      </w:tr>
    </w:tbl>
    <w:p w14:paraId="7AF9A515" w14:textId="77777777" w:rsidR="00EF533A" w:rsidRPr="00CA43F5" w:rsidRDefault="00EF533A" w:rsidP="00EF533A">
      <w:pPr>
        <w:rPr>
          <w:lang w:val="fi-FI"/>
        </w:rPr>
      </w:pPr>
    </w:p>
    <w:p w14:paraId="563F0DEA" w14:textId="77777777" w:rsidR="00EF533A" w:rsidRPr="00CA43F5" w:rsidRDefault="00EF533A" w:rsidP="00EF533A">
      <w:pPr>
        <w:rPr>
          <w:lang w:val="fi-FI"/>
        </w:rPr>
      </w:pPr>
    </w:p>
    <w:p w14:paraId="4C05AA71" w14:textId="2B577F85" w:rsidR="00EF533A" w:rsidRPr="00DE67E9" w:rsidRDefault="00A237F8" w:rsidP="00EF533A">
      <w:pPr>
        <w:keepNext/>
        <w:rPr>
          <w:b/>
          <w:bCs/>
        </w:rPr>
      </w:pPr>
      <w:proofErr w:type="spellStart"/>
      <w:r>
        <w:rPr>
          <w:b/>
          <w:bCs/>
        </w:rPr>
        <w:lastRenderedPageBreak/>
        <w:t>Pistoksen</w:t>
      </w:r>
      <w:proofErr w:type="spellEnd"/>
      <w:r>
        <w:rPr>
          <w:b/>
          <w:bCs/>
        </w:rPr>
        <w:t xml:space="preserve"> </w:t>
      </w:r>
      <w:proofErr w:type="spellStart"/>
      <w:r>
        <w:rPr>
          <w:b/>
          <w:bCs/>
        </w:rPr>
        <w:t>antaminen</w:t>
      </w:r>
      <w:proofErr w:type="spellEnd"/>
    </w:p>
    <w:p w14:paraId="10688220" w14:textId="77777777" w:rsidR="00EF533A" w:rsidRDefault="00EF533A" w:rsidP="00EF533A">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9C440C" w:rsidRPr="00BB5A61" w14:paraId="793DC4F5" w14:textId="77777777">
        <w:trPr>
          <w:cantSplit/>
        </w:trPr>
        <w:tc>
          <w:tcPr>
            <w:tcW w:w="3539" w:type="dxa"/>
          </w:tcPr>
          <w:p w14:paraId="1454CDA2" w14:textId="67E78835" w:rsidR="00EF533A" w:rsidRDefault="0086716C">
            <w:pPr>
              <w:suppressAutoHyphens/>
              <w:jc w:val="right"/>
              <w:rPr>
                <w:noProof/>
              </w:rPr>
            </w:pPr>
            <w:r>
              <w:rPr>
                <w:noProof/>
                <w:lang w:val="en-US" w:eastAsia="ko-KR"/>
              </w:rPr>
              <w:drawing>
                <wp:inline distT="0" distB="0" distL="0" distR="0" wp14:anchorId="3CB80D5F" wp14:editId="35F089E9">
                  <wp:extent cx="2084070" cy="2583815"/>
                  <wp:effectExtent l="19050" t="19050" r="0" b="6985"/>
                  <wp:docPr id="30" name="그림 6"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스케치, 그림, 클립아트, 일러스트레이션이(가) 표시된 사진&#10;&#10;자동 생성된 설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4070" cy="2583815"/>
                          </a:xfrm>
                          <a:prstGeom prst="rect">
                            <a:avLst/>
                          </a:prstGeom>
                          <a:noFill/>
                          <a:ln w="9525" cmpd="sng">
                            <a:solidFill>
                              <a:srgbClr val="000000"/>
                            </a:solidFill>
                            <a:miter lim="800000"/>
                            <a:headEnd/>
                            <a:tailEnd/>
                          </a:ln>
                          <a:effectLst/>
                        </pic:spPr>
                      </pic:pic>
                    </a:graphicData>
                  </a:graphic>
                </wp:inline>
              </w:drawing>
            </w:r>
          </w:p>
          <w:p w14:paraId="146188AF" w14:textId="6CF94FB9" w:rsidR="00EF533A" w:rsidRDefault="0086716C">
            <w:pPr>
              <w:suppressAutoHyphens/>
              <w:jc w:val="right"/>
              <w:rPr>
                <w:b/>
                <w:bCs/>
                <w:noProof/>
              </w:rPr>
            </w:pPr>
            <w:r>
              <w:rPr>
                <w:b/>
                <w:bCs/>
                <w:noProof/>
                <w:lang w:val="en-US" w:eastAsia="ko-KR"/>
              </w:rPr>
              <mc:AlternateContent>
                <mc:Choice Requires="wps">
                  <w:drawing>
                    <wp:anchor distT="45720" distB="45720" distL="114300" distR="114300" simplePos="0" relativeHeight="251658277" behindDoc="0" locked="1" layoutInCell="1" allowOverlap="1" wp14:anchorId="19D294E8" wp14:editId="3BC76EFA">
                      <wp:simplePos x="0" y="0"/>
                      <wp:positionH relativeFrom="column">
                        <wp:posOffset>1118870</wp:posOffset>
                      </wp:positionH>
                      <wp:positionV relativeFrom="paragraph">
                        <wp:posOffset>-1647825</wp:posOffset>
                      </wp:positionV>
                      <wp:extent cx="898525" cy="236220"/>
                      <wp:effectExtent l="0" t="0" r="0" b="0"/>
                      <wp:wrapNone/>
                      <wp:docPr id="9195948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36220"/>
                              </a:xfrm>
                              <a:prstGeom prst="rect">
                                <a:avLst/>
                              </a:prstGeom>
                              <a:noFill/>
                              <a:ln w="9525">
                                <a:noFill/>
                                <a:miter lim="800000"/>
                                <a:headEnd/>
                                <a:tailEnd/>
                              </a:ln>
                            </wps:spPr>
                            <wps:txbx>
                              <w:txbxContent>
                                <w:p w14:paraId="62BFA807" w14:textId="606DD4D7" w:rsidR="00EF533A" w:rsidRPr="00987BC7" w:rsidRDefault="00D42483" w:rsidP="00987BC7">
                                  <w:pPr>
                                    <w:spacing w:line="264" w:lineRule="auto"/>
                                    <w:rPr>
                                      <w:rFonts w:ascii="Arial" w:hAnsi="Arial" w:cs="Arial"/>
                                      <w:b/>
                                      <w:bCs/>
                                      <w:sz w:val="20"/>
                                      <w:szCs w:val="20"/>
                                      <w:lang w:val="es-ES"/>
                                    </w:rPr>
                                  </w:pPr>
                                  <w:r w:rsidRPr="00D42483">
                                    <w:rPr>
                                      <w:rFonts w:ascii="Arial" w:hAnsi="Arial" w:cs="Arial"/>
                                      <w:b/>
                                      <w:bCs/>
                                      <w:sz w:val="20"/>
                                      <w:szCs w:val="20"/>
                                      <w:lang w:val="es-ES"/>
                                    </w:rPr>
                                    <w:t>Neulansuojus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294E8" id="Text Box 47" o:spid="_x0000_s1073" type="#_x0000_t202" style="position:absolute;left:0;text-align:left;margin-left:88.1pt;margin-top:-129.75pt;width:70.75pt;height:18.6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" filled="f" stroked="f">
                      <v:textbox inset="0,0,0,0">
                        <w:txbxContent>
                          <w:p w14:paraId="62BFA807" w14:textId="606DD4D7" w:rsidR="00EF533A" w:rsidRPr="00987BC7" w:rsidRDefault="00D42483" w:rsidP="00987BC7">
                            <w:pPr>
                              <w:spacing w:line="264" w:lineRule="auto"/>
                              <w:rPr>
                                <w:rFonts w:ascii="Arial" w:hAnsi="Arial" w:cs="Arial"/>
                                <w:b/>
                                <w:bCs/>
                                <w:sz w:val="20"/>
                                <w:szCs w:val="20"/>
                                <w:lang w:val="es-ES"/>
                              </w:rPr>
                            </w:pPr>
                            <w:r w:rsidRPr="00D42483">
                              <w:rPr>
                                <w:rFonts w:ascii="Arial" w:hAnsi="Arial" w:cs="Arial"/>
                                <w:b/>
                                <w:bCs/>
                                <w:sz w:val="20"/>
                                <w:szCs w:val="20"/>
                                <w:lang w:val="es-ES"/>
                              </w:rPr>
                              <w:t>Neulansuojus</w:t>
                            </w:r>
                          </w:p>
                        </w:txbxContent>
                      </v:textbox>
                      <w10:anchorlock/>
                    </v:shape>
                  </w:pict>
                </mc:Fallback>
              </mc:AlternateContent>
            </w:r>
            <w:r w:rsidR="00B77875">
              <w:rPr>
                <w:b/>
                <w:bCs/>
                <w:noProof/>
              </w:rPr>
              <w:t>Kuva</w:t>
            </w:r>
            <w:r w:rsidR="00EF533A">
              <w:rPr>
                <w:b/>
                <w:bCs/>
                <w:noProof/>
              </w:rPr>
              <w:t xml:space="preserve"> J</w:t>
            </w:r>
          </w:p>
        </w:tc>
        <w:tc>
          <w:tcPr>
            <w:tcW w:w="5517" w:type="dxa"/>
          </w:tcPr>
          <w:p w14:paraId="7CC56A54" w14:textId="14BED9FB" w:rsidR="00EF533A" w:rsidRDefault="00A237F8">
            <w:pPr>
              <w:pStyle w:val="a4"/>
              <w:widowControl w:val="0"/>
              <w:numPr>
                <w:ilvl w:val="0"/>
                <w:numId w:val="57"/>
              </w:numPr>
              <w:ind w:left="567" w:hanging="567"/>
              <w:rPr>
                <w:b/>
              </w:rPr>
            </w:pPr>
            <w:r>
              <w:rPr>
                <w:b/>
              </w:rPr>
              <w:t>Poista korkki</w:t>
            </w:r>
            <w:r w:rsidR="00EF533A">
              <w:rPr>
                <w:b/>
              </w:rPr>
              <w:t>.</w:t>
            </w:r>
          </w:p>
          <w:p w14:paraId="3C8D00AB" w14:textId="77777777" w:rsidR="00EF533A" w:rsidRDefault="00EF533A">
            <w:pPr>
              <w:pStyle w:val="Default"/>
              <w:keepNext/>
              <w:ind w:left="567" w:hanging="567"/>
              <w:rPr>
                <w:rFonts w:ascii="Times New Roman" w:hAnsi="Times New Roman" w:cs="Times New Roman"/>
                <w:sz w:val="22"/>
                <w:szCs w:val="22"/>
              </w:rPr>
            </w:pPr>
          </w:p>
          <w:p w14:paraId="085F662F" w14:textId="77C39717" w:rsidR="00EF533A" w:rsidRDefault="00A237F8">
            <w:pPr>
              <w:pStyle w:val="a4"/>
              <w:keepNext/>
              <w:widowControl w:val="0"/>
              <w:numPr>
                <w:ilvl w:val="0"/>
                <w:numId w:val="64"/>
              </w:numPr>
              <w:ind w:left="567" w:hanging="567"/>
              <w:rPr>
                <w:bCs/>
              </w:rPr>
            </w:pPr>
            <w:r>
              <w:t>Pitele esitäytettyä ruiskua runko-osasta korkki ylöspäin toisella kädellä</w:t>
            </w:r>
            <w:r w:rsidR="00EF533A">
              <w:rPr>
                <w:color w:val="231F20"/>
              </w:rPr>
              <w:t>.</w:t>
            </w:r>
            <w:r w:rsidR="00EF533A">
              <w:rPr>
                <w:color w:val="231F20"/>
              </w:rPr>
              <w:br/>
            </w:r>
            <w:r>
              <w:t>Vedä toisella kädellä korkki varovasti suoraan irti kynästä</w:t>
            </w:r>
            <w:r>
              <w:rPr>
                <w:bCs/>
              </w:rPr>
              <w:t xml:space="preserve"> (ks. </w:t>
            </w:r>
            <w:r>
              <w:rPr>
                <w:b/>
              </w:rPr>
              <w:t>kuva J</w:t>
            </w:r>
            <w:r>
              <w:rPr>
                <w:bCs/>
              </w:rPr>
              <w:t>).</w:t>
            </w:r>
          </w:p>
          <w:p w14:paraId="4EDFC62E" w14:textId="0C58A9A8" w:rsidR="00EF533A" w:rsidRDefault="00A237F8">
            <w:pPr>
              <w:pStyle w:val="a4"/>
              <w:ind w:left="567"/>
              <w:rPr>
                <w:bCs/>
                <w:noProof/>
                <w:lang w:eastAsia="ko-KR"/>
              </w:rPr>
            </w:pPr>
            <w:r>
              <w:rPr>
                <w:bCs/>
                <w:i/>
                <w:iCs/>
                <w:noProof/>
                <w:lang w:eastAsia="ko-KR"/>
              </w:rPr>
              <w:t>Huomautus</w:t>
            </w:r>
            <w:r>
              <w:rPr>
                <w:bCs/>
                <w:noProof/>
                <w:lang w:eastAsia="ko-KR"/>
              </w:rPr>
              <w:t xml:space="preserve">: Jos et </w:t>
            </w:r>
            <w:r w:rsidRPr="0028514E">
              <w:t xml:space="preserve">saa </w:t>
            </w:r>
            <w:r>
              <w:t>suoja</w:t>
            </w:r>
            <w:r w:rsidRPr="0028514E">
              <w:t>korkkia irrotetuksi, pyydä sinua hoitavalta henkilöltä apua tai ota yhteyttä terveydenhuollon ammattilaiseen</w:t>
            </w:r>
            <w:r>
              <w:rPr>
                <w:bCs/>
                <w:noProof/>
                <w:lang w:eastAsia="ko-KR"/>
              </w:rPr>
              <w:t>.</w:t>
            </w:r>
          </w:p>
          <w:p w14:paraId="79C2B9E2" w14:textId="660FC7C4" w:rsidR="00EF533A" w:rsidRDefault="00A237F8" w:rsidP="00070CF8">
            <w:pPr>
              <w:pStyle w:val="a4"/>
              <w:keepNext/>
              <w:widowControl w:val="0"/>
              <w:numPr>
                <w:ilvl w:val="0"/>
                <w:numId w:val="64"/>
              </w:numPr>
              <w:ind w:left="567" w:hanging="567"/>
              <w:rPr>
                <w:color w:val="231F20"/>
              </w:rPr>
            </w:pPr>
            <w:r w:rsidRPr="00B77875">
              <w:t>Hävitä korkki heti laittamalla se pistävälle ja viiltävälle jätteelle tarkoitettuun astiaan</w:t>
            </w:r>
            <w:r>
              <w:rPr>
                <w:color w:val="231F20"/>
              </w:rPr>
              <w:t xml:space="preserve"> (ks. </w:t>
            </w:r>
            <w:r>
              <w:rPr>
                <w:b/>
                <w:bCs/>
                <w:color w:val="231F20"/>
              </w:rPr>
              <w:t>vaihe 14</w:t>
            </w:r>
            <w:r>
              <w:rPr>
                <w:color w:val="231F20"/>
              </w:rPr>
              <w:t xml:space="preserve"> ja</w:t>
            </w:r>
            <w:r w:rsidR="00EF533A">
              <w:rPr>
                <w:color w:val="231F20"/>
              </w:rPr>
              <w:t xml:space="preserve"> </w:t>
            </w:r>
            <w:r w:rsidR="00B77875">
              <w:rPr>
                <w:b/>
                <w:bCs/>
                <w:color w:val="231F20"/>
              </w:rPr>
              <w:t>kuva</w:t>
            </w:r>
            <w:r w:rsidR="00EF533A">
              <w:rPr>
                <w:b/>
                <w:bCs/>
                <w:color w:val="231F20"/>
              </w:rPr>
              <w:t> O</w:t>
            </w:r>
            <w:r w:rsidR="00EF533A">
              <w:rPr>
                <w:color w:val="231F20"/>
              </w:rPr>
              <w:t>)</w:t>
            </w:r>
            <w:r w:rsidR="00704B34">
              <w:rPr>
                <w:color w:val="231F20"/>
              </w:rPr>
              <w:t>.</w:t>
            </w:r>
          </w:p>
          <w:p w14:paraId="3E6217E0" w14:textId="5C8825E2" w:rsidR="00EF533A" w:rsidRPr="00B77875" w:rsidRDefault="00B77875" w:rsidP="00070CF8">
            <w:pPr>
              <w:pStyle w:val="a4"/>
              <w:widowControl w:val="0"/>
              <w:numPr>
                <w:ilvl w:val="0"/>
                <w:numId w:val="38"/>
              </w:numPr>
              <w:ind w:left="1134" w:hanging="567"/>
            </w:pPr>
            <w:r w:rsidRPr="00CA43F5">
              <w:rPr>
                <w:b/>
                <w:bCs/>
              </w:rPr>
              <w:t>Älä</w:t>
            </w:r>
            <w:r w:rsidRPr="00B77875">
              <w:t xml:space="preserve"> yritä kiinnittää korkkia takaisin esitäytettyyn kynään</w:t>
            </w:r>
            <w:r w:rsidR="00EF533A" w:rsidRPr="00B77875">
              <w:t>.</w:t>
            </w:r>
          </w:p>
          <w:p w14:paraId="543AC11E" w14:textId="6D7195DF" w:rsidR="00EF533A" w:rsidRDefault="00B77875" w:rsidP="00070CF8">
            <w:pPr>
              <w:pStyle w:val="a4"/>
              <w:widowControl w:val="0"/>
              <w:numPr>
                <w:ilvl w:val="0"/>
                <w:numId w:val="38"/>
              </w:numPr>
              <w:ind w:left="1134" w:hanging="567"/>
            </w:pPr>
            <w:r>
              <w:rPr>
                <w:b/>
              </w:rPr>
              <w:t xml:space="preserve">Älä </w:t>
            </w:r>
            <w:r>
              <w:rPr>
                <w:bCs/>
              </w:rPr>
              <w:t>kosketa neulansuojusta, joka sijaitsee esitäytetyn kynän kärjessä, jotta vältät neulanpistotapaturman</w:t>
            </w:r>
            <w:r w:rsidR="00EF533A">
              <w:rPr>
                <w:bCs/>
              </w:rPr>
              <w:t>.</w:t>
            </w:r>
          </w:p>
          <w:p w14:paraId="6D0F8672" w14:textId="6CD4E19F" w:rsidR="00EF533A" w:rsidRPr="00B77875" w:rsidRDefault="00B77875" w:rsidP="00A05ED4">
            <w:pPr>
              <w:pStyle w:val="a4"/>
              <w:widowControl w:val="0"/>
              <w:numPr>
                <w:ilvl w:val="0"/>
                <w:numId w:val="38"/>
              </w:numPr>
              <w:ind w:left="1134" w:hanging="567"/>
            </w:pPr>
            <w:r w:rsidRPr="00B77875">
              <w:t>Kun olet poistanut korkin, esitäytetty kynä on käyttövalmis</w:t>
            </w:r>
            <w:r w:rsidR="00EF533A">
              <w:rPr>
                <w:color w:val="231F20"/>
              </w:rPr>
              <w:t xml:space="preserve">. </w:t>
            </w:r>
            <w:r w:rsidRPr="00B77875">
              <w:t>Jos esitäytettyä kynää ei käytetä 3 minuutin kuluessa siitä, kun korkki on poistettu, esitäytetty kynä on hävitettävä laittamalla se pistävälle ja viiltävälle jätteelle tarkoitettuun astiaan, ja käyttöön on otettava uusi esitäytetty kynä</w:t>
            </w:r>
            <w:r w:rsidR="00EF533A">
              <w:rPr>
                <w:color w:val="231F20"/>
              </w:rPr>
              <w:t>.</w:t>
            </w:r>
          </w:p>
          <w:p w14:paraId="07A5A87F" w14:textId="77777777" w:rsidR="00EF533A" w:rsidRPr="00CA43F5" w:rsidRDefault="00EF533A" w:rsidP="00940778">
            <w:pPr>
              <w:rPr>
                <w:lang w:val="fi-FI"/>
              </w:rPr>
            </w:pPr>
          </w:p>
        </w:tc>
      </w:tr>
      <w:tr w:rsidR="009C440C" w:rsidRPr="00ED6BAC" w14:paraId="75C8E31F" w14:textId="77777777">
        <w:trPr>
          <w:cantSplit/>
        </w:trPr>
        <w:tc>
          <w:tcPr>
            <w:tcW w:w="3539" w:type="dxa"/>
          </w:tcPr>
          <w:p w14:paraId="51B9ED61" w14:textId="2D9A81FA" w:rsidR="00EF533A" w:rsidRDefault="0086716C">
            <w:pPr>
              <w:suppressAutoHyphens/>
              <w:jc w:val="right"/>
              <w:rPr>
                <w:noProof/>
              </w:rPr>
            </w:pPr>
            <w:r>
              <w:rPr>
                <w:noProof/>
                <w:lang w:val="en-US" w:eastAsia="ko-KR"/>
              </w:rPr>
              <w:drawing>
                <wp:inline distT="0" distB="0" distL="0" distR="0" wp14:anchorId="2CC5100B" wp14:editId="2A08C5D7">
                  <wp:extent cx="2062480" cy="2583815"/>
                  <wp:effectExtent l="19050" t="19050" r="0" b="6985"/>
                  <wp:docPr id="31" name="그림 5"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스케치, 그림, 클립아트, 라인 아트이(가) 표시된 사진&#10;&#10;자동 생성된 설명"/>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2480" cy="2583815"/>
                          </a:xfrm>
                          <a:prstGeom prst="rect">
                            <a:avLst/>
                          </a:prstGeom>
                          <a:noFill/>
                          <a:ln w="9525" cmpd="sng">
                            <a:solidFill>
                              <a:srgbClr val="000000"/>
                            </a:solidFill>
                            <a:miter lim="800000"/>
                            <a:headEnd/>
                            <a:tailEnd/>
                          </a:ln>
                          <a:effectLst/>
                        </pic:spPr>
                      </pic:pic>
                    </a:graphicData>
                  </a:graphic>
                </wp:inline>
              </w:drawing>
            </w:r>
          </w:p>
          <w:p w14:paraId="64D47E2C" w14:textId="54A8571D" w:rsidR="00EF533A" w:rsidRDefault="00B77875">
            <w:pPr>
              <w:suppressAutoHyphens/>
              <w:jc w:val="right"/>
              <w:rPr>
                <w:b/>
                <w:bCs/>
                <w:noProof/>
              </w:rPr>
            </w:pPr>
            <w:r>
              <w:rPr>
                <w:b/>
                <w:bCs/>
                <w:noProof/>
              </w:rPr>
              <w:t>Kuva</w:t>
            </w:r>
            <w:r w:rsidR="00EF533A">
              <w:rPr>
                <w:b/>
                <w:bCs/>
                <w:noProof/>
              </w:rPr>
              <w:t xml:space="preserve"> K</w:t>
            </w:r>
          </w:p>
        </w:tc>
        <w:tc>
          <w:tcPr>
            <w:tcW w:w="5517" w:type="dxa"/>
          </w:tcPr>
          <w:p w14:paraId="46F95951" w14:textId="6CD727AD" w:rsidR="00EF533A" w:rsidRDefault="00B77875">
            <w:pPr>
              <w:pStyle w:val="a4"/>
              <w:widowControl w:val="0"/>
              <w:numPr>
                <w:ilvl w:val="0"/>
                <w:numId w:val="68"/>
              </w:numPr>
              <w:ind w:left="567" w:hanging="567"/>
              <w:rPr>
                <w:b/>
              </w:rPr>
            </w:pPr>
            <w:r>
              <w:rPr>
                <w:b/>
                <w:bCs/>
              </w:rPr>
              <w:t>Aseta esitäytetty kynä pistoskohtaan</w:t>
            </w:r>
            <w:r w:rsidR="00EF533A">
              <w:rPr>
                <w:b/>
              </w:rPr>
              <w:t>.</w:t>
            </w:r>
          </w:p>
          <w:p w14:paraId="66E45183" w14:textId="77777777" w:rsidR="00EF533A" w:rsidRDefault="00EF533A">
            <w:pPr>
              <w:pStyle w:val="a4"/>
              <w:ind w:left="567" w:hanging="567"/>
              <w:rPr>
                <w:color w:val="231F20"/>
              </w:rPr>
            </w:pPr>
          </w:p>
          <w:p w14:paraId="60180DAB" w14:textId="445623F9" w:rsidR="00EF533A" w:rsidRDefault="00B77875">
            <w:pPr>
              <w:pStyle w:val="a4"/>
              <w:widowControl w:val="0"/>
              <w:numPr>
                <w:ilvl w:val="0"/>
                <w:numId w:val="73"/>
              </w:numPr>
              <w:ind w:left="567" w:hanging="567"/>
              <w:rPr>
                <w:color w:val="231F20"/>
              </w:rPr>
            </w:pPr>
            <w:r w:rsidRPr="0028514E">
              <w:t xml:space="preserve">Pidä esitäytettyä kynää mukavasti toisessa kädessä </w:t>
            </w:r>
            <w:r>
              <w:t>siten, että</w:t>
            </w:r>
            <w:r w:rsidRPr="0028514E">
              <w:t xml:space="preserve"> näet tarkistusikkunan </w:t>
            </w:r>
            <w:r>
              <w:rPr>
                <w:b/>
              </w:rPr>
              <w:t>(</w:t>
            </w:r>
            <w:r>
              <w:rPr>
                <w:bCs/>
              </w:rPr>
              <w:t>ks.</w:t>
            </w:r>
            <w:r>
              <w:rPr>
                <w:b/>
              </w:rPr>
              <w:t xml:space="preserve"> kuva K</w:t>
            </w:r>
            <w:r>
              <w:rPr>
                <w:bCs/>
              </w:rPr>
              <w:t>)</w:t>
            </w:r>
            <w:r w:rsidR="00EF533A">
              <w:rPr>
                <w:color w:val="231F20"/>
              </w:rPr>
              <w:t>.</w:t>
            </w:r>
          </w:p>
          <w:p w14:paraId="15D1355C" w14:textId="68DA655B" w:rsidR="00EF533A" w:rsidRDefault="00B77875">
            <w:pPr>
              <w:pStyle w:val="a4"/>
              <w:widowControl w:val="0"/>
              <w:numPr>
                <w:ilvl w:val="0"/>
                <w:numId w:val="73"/>
              </w:numPr>
              <w:ind w:left="567" w:hanging="567"/>
              <w:rPr>
                <w:color w:val="231F20"/>
              </w:rPr>
            </w:pPr>
            <w:r>
              <w:rPr>
                <w:color w:val="231F20"/>
              </w:rPr>
              <w:t xml:space="preserve">Älä purista tai venytä ihoa, vaan aseta esitäytetty kynä ihoa vasten 90 asteen kulmassa </w:t>
            </w:r>
            <w:r w:rsidR="00EF533A">
              <w:rPr>
                <w:color w:val="231F20"/>
              </w:rPr>
              <w:t>(</w:t>
            </w:r>
            <w:r>
              <w:rPr>
                <w:color w:val="231F20"/>
              </w:rPr>
              <w:t>ks.</w:t>
            </w:r>
            <w:r w:rsidR="00EF533A">
              <w:rPr>
                <w:color w:val="231F20"/>
              </w:rPr>
              <w:t xml:space="preserve"> </w:t>
            </w:r>
            <w:r>
              <w:rPr>
                <w:b/>
                <w:bCs/>
                <w:color w:val="231F20"/>
              </w:rPr>
              <w:t>kuva </w:t>
            </w:r>
            <w:r w:rsidR="00EF533A">
              <w:rPr>
                <w:b/>
                <w:bCs/>
                <w:color w:val="231F20"/>
              </w:rPr>
              <w:t>L</w:t>
            </w:r>
            <w:r w:rsidR="00EF533A">
              <w:rPr>
                <w:color w:val="231F20"/>
              </w:rPr>
              <w:t>).</w:t>
            </w:r>
          </w:p>
          <w:p w14:paraId="15F8D4E7" w14:textId="77777777" w:rsidR="00EF533A" w:rsidRDefault="00EF533A">
            <w:pPr>
              <w:pStyle w:val="a4"/>
              <w:ind w:left="567" w:hanging="567"/>
              <w:rPr>
                <w:bCs/>
                <w:i/>
                <w:iCs/>
                <w:noProof/>
                <w:lang w:eastAsia="ko-KR"/>
              </w:rPr>
            </w:pPr>
          </w:p>
          <w:p w14:paraId="060C6A87" w14:textId="449E5912" w:rsidR="00EF533A" w:rsidRDefault="00BA2A23">
            <w:pPr>
              <w:pStyle w:val="a4"/>
              <w:ind w:left="567"/>
              <w:rPr>
                <w:bCs/>
                <w:noProof/>
                <w:lang w:eastAsia="ko-KR"/>
              </w:rPr>
            </w:pPr>
            <w:r>
              <w:rPr>
                <w:bCs/>
                <w:i/>
                <w:iCs/>
                <w:noProof/>
                <w:lang w:eastAsia="ko-KR"/>
              </w:rPr>
              <w:t>Huomautus</w:t>
            </w:r>
            <w:r w:rsidR="00EF533A">
              <w:rPr>
                <w:bCs/>
                <w:noProof/>
                <w:lang w:eastAsia="ko-KR"/>
              </w:rPr>
              <w:t xml:space="preserve">: </w:t>
            </w:r>
            <w:r w:rsidRPr="0028514E">
              <w:t>Kynän asettaminen oikeaan kulmaan on tärkeää sen varmistamiseksi, että lääke pistetään ihon alle (rasvakudokseen). Muutoin pistos saattaa tuntua kivuliaalta eikä lääke välttämättä tehoa</w:t>
            </w:r>
            <w:r w:rsidR="00704B34">
              <w:t>.</w:t>
            </w:r>
          </w:p>
          <w:p w14:paraId="255F70E5" w14:textId="77777777" w:rsidR="00EF533A" w:rsidRDefault="00EF533A">
            <w:pPr>
              <w:pStyle w:val="a4"/>
              <w:ind w:left="567" w:hanging="567"/>
              <w:rPr>
                <w:color w:val="231F20"/>
              </w:rPr>
            </w:pPr>
          </w:p>
          <w:p w14:paraId="597ACF57" w14:textId="54E9AF6F" w:rsidR="00EF533A" w:rsidRPr="003F6BD9" w:rsidRDefault="00BA2A23" w:rsidP="00CA43F5">
            <w:pPr>
              <w:pStyle w:val="a4"/>
              <w:widowControl w:val="0"/>
              <w:numPr>
                <w:ilvl w:val="0"/>
                <w:numId w:val="38"/>
              </w:numPr>
              <w:ind w:left="1134" w:hanging="567"/>
            </w:pPr>
            <w:r w:rsidRPr="006E6BB4">
              <w:rPr>
                <w:b/>
                <w:bCs/>
              </w:rPr>
              <w:t>Älä</w:t>
            </w:r>
            <w:r w:rsidR="00EF533A" w:rsidRPr="003F6BD9">
              <w:t xml:space="preserve"> </w:t>
            </w:r>
            <w:r>
              <w:t>pistä lääkettä lihakseen tai verisuoneen</w:t>
            </w:r>
            <w:r w:rsidR="00EF533A" w:rsidRPr="003F6BD9">
              <w:t>.</w:t>
            </w:r>
          </w:p>
          <w:p w14:paraId="577127C0" w14:textId="77777777" w:rsidR="00EF533A" w:rsidRPr="003F6BD9" w:rsidRDefault="00EF533A">
            <w:pPr>
              <w:pStyle w:val="a4"/>
              <w:ind w:left="567" w:hanging="567"/>
            </w:pPr>
          </w:p>
          <w:p w14:paraId="2B0EE737" w14:textId="77777777" w:rsidR="00EF533A" w:rsidRPr="00CA43F5" w:rsidRDefault="00EF533A" w:rsidP="00940778">
            <w:pPr>
              <w:rPr>
                <w:lang w:val="fi-FI"/>
              </w:rPr>
            </w:pPr>
          </w:p>
        </w:tc>
      </w:tr>
      <w:tr w:rsidR="009C440C" w:rsidRPr="00DE67E9" w14:paraId="1754A6F4" w14:textId="77777777">
        <w:trPr>
          <w:cantSplit/>
        </w:trPr>
        <w:tc>
          <w:tcPr>
            <w:tcW w:w="3539" w:type="dxa"/>
          </w:tcPr>
          <w:p w14:paraId="36BE1AAB" w14:textId="09C17F3C" w:rsidR="00EF533A" w:rsidRDefault="0086716C">
            <w:pPr>
              <w:suppressAutoHyphens/>
              <w:jc w:val="right"/>
              <w:rPr>
                <w:noProof/>
              </w:rPr>
            </w:pPr>
            <w:r>
              <w:rPr>
                <w:noProof/>
                <w:lang w:val="en-US" w:eastAsia="ko-KR"/>
              </w:rPr>
              <w:lastRenderedPageBreak/>
              <mc:AlternateContent>
                <mc:Choice Requires="wps">
                  <w:drawing>
                    <wp:anchor distT="45720" distB="45720" distL="114300" distR="114300" simplePos="0" relativeHeight="251658278" behindDoc="0" locked="0" layoutInCell="1" allowOverlap="1" wp14:anchorId="47615BF2" wp14:editId="70B924B1">
                      <wp:simplePos x="0" y="0"/>
                      <wp:positionH relativeFrom="column">
                        <wp:posOffset>588010</wp:posOffset>
                      </wp:positionH>
                      <wp:positionV relativeFrom="paragraph">
                        <wp:posOffset>1379220</wp:posOffset>
                      </wp:positionV>
                      <wp:extent cx="629920" cy="467360"/>
                      <wp:effectExtent l="0" t="0" r="0" b="0"/>
                      <wp:wrapNone/>
                      <wp:docPr id="118322469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5F47BF7A" w14:textId="77777777" w:rsidR="00EF533A" w:rsidRPr="00BA148D" w:rsidRDefault="00EF533A" w:rsidP="00EF533A">
                                  <w:pPr>
                                    <w:rPr>
                                      <w:rFonts w:ascii="Arial" w:hAnsi="Arial" w:cs="Arial"/>
                                      <w:b/>
                                      <w:bCs/>
                                      <w:sz w:val="32"/>
                                      <w:szCs w:val="32"/>
                                    </w:rPr>
                                  </w:pPr>
                                  <w:r w:rsidRPr="00BA148D">
                                    <w:rPr>
                                      <w:rFonts w:ascii="Arial" w:hAnsi="Arial" w:cs="Arial"/>
                                      <w:b/>
                                      <w:bCs/>
                                      <w:sz w:val="32"/>
                                      <w:szCs w:val="32"/>
                                    </w:rPr>
                                    <w:t>90°</w:t>
                                  </w:r>
                                </w:p>
                                <w:p w14:paraId="5E8999D7" w14:textId="77777777" w:rsidR="00EF533A" w:rsidRPr="00BA148D" w:rsidRDefault="00EF533A" w:rsidP="00EF533A">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7615BF2" id="Text Box 45" o:spid="_x0000_s1074" type="#_x0000_t202" style="position:absolute;left:0;text-align:left;margin-left:46.3pt;margin-top:108.6pt;width:49.6pt;height:36.8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5F47BF7A" w14:textId="77777777" w:rsidR="00EF533A" w:rsidRPr="00BA148D" w:rsidRDefault="00EF533A" w:rsidP="00EF533A">
                            <w:pPr>
                              <w:rPr>
                                <w:rFonts w:ascii="Arial" w:hAnsi="Arial" w:cs="Arial"/>
                                <w:b/>
                                <w:bCs/>
                                <w:sz w:val="32"/>
                                <w:szCs w:val="32"/>
                              </w:rPr>
                            </w:pPr>
                            <w:r w:rsidRPr="00BA148D">
                              <w:rPr>
                                <w:rFonts w:ascii="Arial" w:hAnsi="Arial" w:cs="Arial"/>
                                <w:b/>
                                <w:bCs/>
                                <w:sz w:val="32"/>
                                <w:szCs w:val="32"/>
                              </w:rPr>
                              <w:t>90°</w:t>
                            </w:r>
                          </w:p>
                          <w:p w14:paraId="5E8999D7" w14:textId="77777777" w:rsidR="00EF533A" w:rsidRPr="00BA148D" w:rsidRDefault="00EF533A" w:rsidP="00EF533A">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79" behindDoc="0" locked="0" layoutInCell="1" allowOverlap="1" wp14:anchorId="172FC577" wp14:editId="017113DF">
                      <wp:simplePos x="0" y="0"/>
                      <wp:positionH relativeFrom="column">
                        <wp:posOffset>1055370</wp:posOffset>
                      </wp:positionH>
                      <wp:positionV relativeFrom="paragraph">
                        <wp:posOffset>2711450</wp:posOffset>
                      </wp:positionV>
                      <wp:extent cx="629920" cy="467360"/>
                      <wp:effectExtent l="0" t="0" r="0" b="0"/>
                      <wp:wrapNone/>
                      <wp:docPr id="7457325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219E88E4" w14:textId="77777777" w:rsidR="00EF533A" w:rsidRPr="00BA148D" w:rsidRDefault="00EF533A" w:rsidP="00EF533A">
                                  <w:pPr>
                                    <w:rPr>
                                      <w:rFonts w:ascii="Arial" w:hAnsi="Arial" w:cs="Arial"/>
                                      <w:b/>
                                      <w:bCs/>
                                      <w:sz w:val="32"/>
                                      <w:szCs w:val="32"/>
                                    </w:rPr>
                                  </w:pPr>
                                  <w:r w:rsidRPr="00BA148D">
                                    <w:rPr>
                                      <w:rFonts w:ascii="Arial" w:hAnsi="Arial" w:cs="Arial"/>
                                      <w:b/>
                                      <w:bCs/>
                                      <w:sz w:val="32"/>
                                      <w:szCs w:val="32"/>
                                    </w:rPr>
                                    <w:t>90°</w:t>
                                  </w:r>
                                </w:p>
                                <w:p w14:paraId="59F6555D" w14:textId="77777777" w:rsidR="00EF533A" w:rsidRPr="00BA148D" w:rsidRDefault="00EF533A" w:rsidP="00EF533A">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72FC577" id="Text Box 43" o:spid="_x0000_s1075" type="#_x0000_t202" style="position:absolute;left:0;text-align:left;margin-left:83.1pt;margin-top:213.5pt;width:49.6pt;height:36.8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dqGOfPQBAADEAwAADgAAAAAAAAAAAAAAAAAuAgAAZHJz&#10;L2Uyb0RvYy54bWxQSwECLQAUAAYACAAAACEA3DNc7N0AAAALAQAADwAAAAAAAAAAAAAAAABOBAAA&#10;ZHJzL2Rvd25yZXYueG1sUEsFBgAAAAAEAAQA8wAAAFgFAAAAAA==&#10;" filled="f" stroked="f">
                      <v:textbox style="mso-fit-shape-to-text:t" inset="0,0,0,0">
                        <w:txbxContent>
                          <w:p w14:paraId="219E88E4" w14:textId="77777777" w:rsidR="00EF533A" w:rsidRPr="00BA148D" w:rsidRDefault="00EF533A" w:rsidP="00EF533A">
                            <w:pPr>
                              <w:rPr>
                                <w:rFonts w:ascii="Arial" w:hAnsi="Arial" w:cs="Arial"/>
                                <w:b/>
                                <w:bCs/>
                                <w:sz w:val="32"/>
                                <w:szCs w:val="32"/>
                              </w:rPr>
                            </w:pPr>
                            <w:r w:rsidRPr="00BA148D">
                              <w:rPr>
                                <w:rFonts w:ascii="Arial" w:hAnsi="Arial" w:cs="Arial"/>
                                <w:b/>
                                <w:bCs/>
                                <w:sz w:val="32"/>
                                <w:szCs w:val="32"/>
                              </w:rPr>
                              <w:t>90°</w:t>
                            </w:r>
                          </w:p>
                          <w:p w14:paraId="59F6555D" w14:textId="77777777" w:rsidR="00EF533A" w:rsidRPr="00BA148D" w:rsidRDefault="00EF533A" w:rsidP="00EF533A">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80" behindDoc="0" locked="0" layoutInCell="1" allowOverlap="1" wp14:anchorId="193C2948" wp14:editId="0B176856">
                      <wp:simplePos x="0" y="0"/>
                      <wp:positionH relativeFrom="column">
                        <wp:posOffset>88900</wp:posOffset>
                      </wp:positionH>
                      <wp:positionV relativeFrom="paragraph">
                        <wp:posOffset>2015490</wp:posOffset>
                      </wp:positionV>
                      <wp:extent cx="1983740" cy="277495"/>
                      <wp:effectExtent l="0" t="0" r="0" b="0"/>
                      <wp:wrapNone/>
                      <wp:docPr id="460120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301E83E2" w14:textId="2629D3C8" w:rsidR="00EF533A" w:rsidRPr="00EF533A" w:rsidRDefault="00D42483" w:rsidP="00EF533A">
                                  <w:pPr>
                                    <w:jc w:val="center"/>
                                    <w:rPr>
                                      <w:rFonts w:ascii="Arial" w:hAnsi="Arial" w:cs="Arial"/>
                                      <w:b/>
                                      <w:bCs/>
                                      <w:color w:val="FFFFFF"/>
                                      <w:sz w:val="28"/>
                                      <w:szCs w:val="28"/>
                                    </w:rPr>
                                  </w:pPr>
                                  <w:r w:rsidRPr="00D42483">
                                    <w:rPr>
                                      <w:rFonts w:ascii="Arial" w:hAnsi="Arial" w:cs="Arial"/>
                                      <w:b/>
                                      <w:bCs/>
                                      <w:color w:val="FFFFFF"/>
                                      <w:sz w:val="28"/>
                                      <w:szCs w:val="28"/>
                                    </w:rPr>
                                    <w:t>TAI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C2948" id="Text Box 41" o:spid="_x0000_s1076" type="#_x0000_t202" style="position:absolute;left:0;text-align:left;margin-left:7pt;margin-top:158.7pt;width:156.2pt;height:21.8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301E83E2" w14:textId="2629D3C8" w:rsidR="00EF533A" w:rsidRPr="00EF533A" w:rsidRDefault="00D42483" w:rsidP="00EF533A">
                            <w:pPr>
                              <w:jc w:val="center"/>
                              <w:rPr>
                                <w:rFonts w:ascii="Arial" w:hAnsi="Arial" w:cs="Arial"/>
                                <w:b/>
                                <w:bCs/>
                                <w:color w:val="FFFFFF"/>
                                <w:sz w:val="28"/>
                                <w:szCs w:val="28"/>
                              </w:rPr>
                            </w:pPr>
                            <w:r w:rsidRPr="00D42483">
                              <w:rPr>
                                <w:rFonts w:ascii="Arial" w:hAnsi="Arial" w:cs="Arial"/>
                                <w:b/>
                                <w:bCs/>
                                <w:color w:val="FFFFFF"/>
                                <w:sz w:val="28"/>
                                <w:szCs w:val="28"/>
                              </w:rPr>
                              <w:t>TAI</w:t>
                            </w:r>
                          </w:p>
                        </w:txbxContent>
                      </v:textbox>
                    </v:shape>
                  </w:pict>
                </mc:Fallback>
              </mc:AlternateContent>
            </w:r>
            <w:r>
              <w:rPr>
                <w:noProof/>
                <w:sz w:val="26"/>
                <w:szCs w:val="26"/>
                <w:lang w:val="en-US" w:eastAsia="ko-KR"/>
              </w:rPr>
              <w:drawing>
                <wp:inline distT="0" distB="0" distL="0" distR="0" wp14:anchorId="38DA3282" wp14:editId="7570277E">
                  <wp:extent cx="2084070" cy="4220845"/>
                  <wp:effectExtent l="19050" t="19050" r="0" b="8255"/>
                  <wp:docPr id="32" name="그림 4"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클립아트, 텍스트, 라인 아트, 만화 영화이(가) 표시된 사진&#10;&#10;자동 생성된 설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4070" cy="4220845"/>
                          </a:xfrm>
                          <a:prstGeom prst="rect">
                            <a:avLst/>
                          </a:prstGeom>
                          <a:noFill/>
                          <a:ln w="9525" cmpd="sng">
                            <a:solidFill>
                              <a:srgbClr val="000000"/>
                            </a:solidFill>
                            <a:miter lim="800000"/>
                            <a:headEnd/>
                            <a:tailEnd/>
                          </a:ln>
                          <a:effectLst/>
                        </pic:spPr>
                      </pic:pic>
                    </a:graphicData>
                  </a:graphic>
                </wp:inline>
              </w:drawing>
            </w:r>
          </w:p>
          <w:p w14:paraId="3611D615" w14:textId="0D0BE76D" w:rsidR="00EF533A" w:rsidRDefault="001D1FFD">
            <w:pPr>
              <w:suppressAutoHyphens/>
              <w:jc w:val="right"/>
              <w:rPr>
                <w:b/>
                <w:bCs/>
                <w:noProof/>
              </w:rPr>
            </w:pPr>
            <w:r>
              <w:rPr>
                <w:b/>
                <w:bCs/>
                <w:noProof/>
              </w:rPr>
              <w:t>Kuva</w:t>
            </w:r>
            <w:r w:rsidR="00EF533A">
              <w:rPr>
                <w:b/>
                <w:bCs/>
                <w:noProof/>
              </w:rPr>
              <w:t xml:space="preserve"> L</w:t>
            </w:r>
          </w:p>
        </w:tc>
        <w:tc>
          <w:tcPr>
            <w:tcW w:w="5517" w:type="dxa"/>
          </w:tcPr>
          <w:p w14:paraId="654EB3CD" w14:textId="77777777" w:rsidR="00EF533A" w:rsidRPr="003F6BD9" w:rsidRDefault="00EF533A" w:rsidP="00940778"/>
        </w:tc>
      </w:tr>
      <w:tr w:rsidR="009C440C" w:rsidRPr="00BB5A61" w14:paraId="71C59580" w14:textId="77777777">
        <w:trPr>
          <w:cantSplit/>
        </w:trPr>
        <w:tc>
          <w:tcPr>
            <w:tcW w:w="3539" w:type="dxa"/>
          </w:tcPr>
          <w:p w14:paraId="25958C33" w14:textId="67A11119" w:rsidR="00EF533A" w:rsidRDefault="0086716C">
            <w:pPr>
              <w:suppressAutoHyphens/>
              <w:jc w:val="right"/>
              <w:rPr>
                <w:b/>
                <w:bCs/>
                <w:noProof/>
              </w:rPr>
            </w:pPr>
            <w:r>
              <w:rPr>
                <w:b/>
                <w:noProof/>
                <w:lang w:val="en-US" w:eastAsia="ko-KR"/>
              </w:rPr>
              <w:lastRenderedPageBreak/>
              <w:drawing>
                <wp:inline distT="0" distB="0" distL="0" distR="0" wp14:anchorId="6F3D66E8" wp14:editId="614D2569">
                  <wp:extent cx="2062480" cy="4880610"/>
                  <wp:effectExtent l="19050" t="19050" r="0" b="0"/>
                  <wp:docPr id="33" name="그림 3"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텍스트, 클립아트, 만화 영화, 화이트이(가) 표시된 사진&#10;&#10;자동 생성된 설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2480" cy="4880610"/>
                          </a:xfrm>
                          <a:prstGeom prst="rect">
                            <a:avLst/>
                          </a:prstGeom>
                          <a:noFill/>
                          <a:ln w="9525" cmpd="sng">
                            <a:solidFill>
                              <a:srgbClr val="000000"/>
                            </a:solidFill>
                            <a:miter lim="800000"/>
                            <a:headEnd/>
                            <a:tailEnd/>
                          </a:ln>
                          <a:effectLst/>
                        </pic:spPr>
                      </pic:pic>
                    </a:graphicData>
                  </a:graphic>
                </wp:inline>
              </w:drawing>
            </w:r>
          </w:p>
          <w:p w14:paraId="753044C9" w14:textId="0641B6C7" w:rsidR="00EF533A" w:rsidRDefault="0086716C">
            <w:pPr>
              <w:suppressAutoHyphens/>
              <w:jc w:val="right"/>
              <w:rPr>
                <w:b/>
                <w:bCs/>
                <w:noProof/>
              </w:rPr>
            </w:pPr>
            <w:r>
              <w:rPr>
                <w:b/>
                <w:bCs/>
                <w:noProof/>
                <w:lang w:val="en-US" w:eastAsia="ko-KR"/>
              </w:rPr>
              <mc:AlternateContent>
                <mc:Choice Requires="wps">
                  <w:drawing>
                    <wp:anchor distT="45720" distB="45720" distL="114300" distR="114300" simplePos="0" relativeHeight="251658281" behindDoc="0" locked="1" layoutInCell="1" allowOverlap="1" wp14:anchorId="01CB0799" wp14:editId="2A89DF21">
                      <wp:simplePos x="0" y="0"/>
                      <wp:positionH relativeFrom="column">
                        <wp:posOffset>276225</wp:posOffset>
                      </wp:positionH>
                      <wp:positionV relativeFrom="paragraph">
                        <wp:posOffset>-534035</wp:posOffset>
                      </wp:positionV>
                      <wp:extent cx="1526540" cy="482600"/>
                      <wp:effectExtent l="0" t="0" r="0" b="0"/>
                      <wp:wrapNone/>
                      <wp:docPr id="17513379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w="9525">
                                <a:noFill/>
                                <a:miter lim="800000"/>
                                <a:headEnd/>
                                <a:tailEnd/>
                              </a:ln>
                            </wps:spPr>
                            <wps:txbx>
                              <w:txbxContent>
                                <w:p w14:paraId="5FD024E8" w14:textId="25853EBA" w:rsidR="00EF533A" w:rsidRPr="00EF533A" w:rsidRDefault="00D42483" w:rsidP="00EF533A">
                                  <w:pPr>
                                    <w:jc w:val="center"/>
                                    <w:rPr>
                                      <w:rFonts w:ascii="Arial" w:hAnsi="Arial" w:cs="Arial"/>
                                      <w:b/>
                                      <w:bCs/>
                                      <w:color w:val="FFFFFF"/>
                                      <w:sz w:val="28"/>
                                      <w:szCs w:val="28"/>
                                      <w:lang w:val="es-ES"/>
                                    </w:rPr>
                                  </w:pPr>
                                  <w:r w:rsidRPr="00D42483">
                                    <w:rPr>
                                      <w:rFonts w:ascii="Arial" w:hAnsi="Arial" w:cs="Arial"/>
                                      <w:b/>
                                      <w:bCs/>
                                      <w:color w:val="FFFFFF"/>
                                      <w:sz w:val="28"/>
                                      <w:szCs w:val="28"/>
                                      <w:lang w:val="es-ES"/>
                                    </w:rPr>
                                    <w:t>Laske sitten hitaasti viiteen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B0799" id="_x0000_s1077" type="#_x0000_t202" style="position:absolute;left:0;text-align:left;margin-left:21.75pt;margin-top:-42.05pt;width:120.2pt;height:38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8gEAAMUDAAAOAAAAZHJzL2Uyb0RvYy54bWysU9tu2zAMfR+wfxD0vtgJmiAz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" filled="f" stroked="f">
                      <v:textbox inset="0,0,0,0">
                        <w:txbxContent>
                          <w:p w14:paraId="5FD024E8" w14:textId="25853EBA" w:rsidR="00EF533A" w:rsidRPr="00EF533A" w:rsidRDefault="00D42483" w:rsidP="00EF533A">
                            <w:pPr>
                              <w:jc w:val="center"/>
                              <w:rPr>
                                <w:rFonts w:ascii="Arial" w:hAnsi="Arial" w:cs="Arial"/>
                                <w:b/>
                                <w:bCs/>
                                <w:color w:val="FFFFFF"/>
                                <w:sz w:val="28"/>
                                <w:szCs w:val="28"/>
                                <w:lang w:val="es-ES"/>
                              </w:rPr>
                            </w:pPr>
                            <w:r w:rsidRPr="00D42483">
                              <w:rPr>
                                <w:rFonts w:ascii="Arial" w:hAnsi="Arial" w:cs="Arial"/>
                                <w:b/>
                                <w:bCs/>
                                <w:color w:val="FFFFFF"/>
                                <w:sz w:val="28"/>
                                <w:szCs w:val="28"/>
                                <w:lang w:val="es-ES"/>
                              </w:rPr>
                              <w:t>Laske sitten hitaasti viiteen</w:t>
                            </w:r>
                          </w:p>
                        </w:txbxContent>
                      </v:textbox>
                      <w10:anchorlock/>
                    </v:shape>
                  </w:pict>
                </mc:Fallback>
              </mc:AlternateContent>
            </w:r>
            <w:r>
              <w:rPr>
                <w:b/>
                <w:bCs/>
                <w:noProof/>
                <w:lang w:val="en-US" w:eastAsia="ko-KR"/>
              </w:rPr>
              <mc:AlternateContent>
                <mc:Choice Requires="wps">
                  <w:drawing>
                    <wp:anchor distT="45720" distB="45720" distL="114300" distR="114300" simplePos="0" relativeHeight="251658282" behindDoc="0" locked="1" layoutInCell="1" allowOverlap="1" wp14:anchorId="7F575C6B" wp14:editId="13186F7B">
                      <wp:simplePos x="0" y="0"/>
                      <wp:positionH relativeFrom="column">
                        <wp:posOffset>226695</wp:posOffset>
                      </wp:positionH>
                      <wp:positionV relativeFrom="paragraph">
                        <wp:posOffset>-4027805</wp:posOffset>
                      </wp:positionV>
                      <wp:extent cx="621030" cy="387985"/>
                      <wp:effectExtent l="0" t="0" r="0" b="0"/>
                      <wp:wrapNone/>
                      <wp:docPr id="15419142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87985"/>
                              </a:xfrm>
                              <a:prstGeom prst="rect">
                                <a:avLst/>
                              </a:prstGeom>
                              <a:noFill/>
                              <a:ln w="9525">
                                <a:noFill/>
                                <a:miter lim="800000"/>
                                <a:headEnd/>
                                <a:tailEnd/>
                              </a:ln>
                            </wps:spPr>
                            <wps:txbx>
                              <w:txbxContent>
                                <w:p w14:paraId="77175819" w14:textId="3FB46EA7" w:rsidR="00EF533A" w:rsidRPr="00987BC7" w:rsidRDefault="00D42483" w:rsidP="00EF533A">
                                  <w:pPr>
                                    <w:spacing w:line="204" w:lineRule="auto"/>
                                    <w:jc w:val="center"/>
                                    <w:rPr>
                                      <w:rFonts w:ascii="Arial" w:hAnsi="Arial" w:cs="Arial"/>
                                      <w:b/>
                                      <w:bCs/>
                                      <w:color w:val="FFFFFF"/>
                                      <w:sz w:val="16"/>
                                      <w:szCs w:val="16"/>
                                      <w:lang w:val="es-ES"/>
                                    </w:rPr>
                                  </w:pPr>
                                  <w:r w:rsidRPr="00D42483">
                                    <w:rPr>
                                      <w:rFonts w:ascii="Arial" w:hAnsi="Arial" w:cs="Arial"/>
                                      <w:b/>
                                      <w:bCs/>
                                      <w:color w:val="FFFFFF"/>
                                      <w:sz w:val="16"/>
                                      <w:szCs w:val="16"/>
                                      <w:lang w:val="es-ES"/>
                                    </w:rPr>
                                    <w:t>1. naksahdus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75C6B" id="Text Box 37" o:spid="_x0000_s1078" type="#_x0000_t202" style="position:absolute;left:0;text-align:left;margin-left:17.85pt;margin-top:-317.15pt;width:48.9pt;height:30.5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" filled="f" stroked="f">
                      <v:textbox inset="0,0,0,0">
                        <w:txbxContent>
                          <w:p w14:paraId="77175819" w14:textId="3FB46EA7" w:rsidR="00EF533A" w:rsidRPr="00987BC7" w:rsidRDefault="00D42483" w:rsidP="00EF533A">
                            <w:pPr>
                              <w:spacing w:line="204" w:lineRule="auto"/>
                              <w:jc w:val="center"/>
                              <w:rPr>
                                <w:rFonts w:ascii="Arial" w:hAnsi="Arial" w:cs="Arial"/>
                                <w:b/>
                                <w:bCs/>
                                <w:color w:val="FFFFFF"/>
                                <w:sz w:val="16"/>
                                <w:szCs w:val="16"/>
                                <w:lang w:val="es-ES"/>
                              </w:rPr>
                            </w:pPr>
                            <w:r w:rsidRPr="00D42483">
                              <w:rPr>
                                <w:rFonts w:ascii="Arial" w:hAnsi="Arial" w:cs="Arial"/>
                                <w:b/>
                                <w:bCs/>
                                <w:color w:val="FFFFFF"/>
                                <w:sz w:val="16"/>
                                <w:szCs w:val="16"/>
                                <w:lang w:val="es-ES"/>
                              </w:rPr>
                              <w:t>1. naksahdus</w:t>
                            </w:r>
                          </w:p>
                        </w:txbxContent>
                      </v:textbox>
                      <w10:anchorlock/>
                    </v:shape>
                  </w:pict>
                </mc:Fallback>
              </mc:AlternateContent>
            </w:r>
            <w:r>
              <w:rPr>
                <w:b/>
                <w:bCs/>
                <w:noProof/>
                <w:lang w:val="en-US" w:eastAsia="ko-KR"/>
              </w:rPr>
              <mc:AlternateContent>
                <mc:Choice Requires="wps">
                  <w:drawing>
                    <wp:anchor distT="45720" distB="45720" distL="114300" distR="114300" simplePos="0" relativeHeight="251658283" behindDoc="0" locked="1" layoutInCell="1" allowOverlap="1" wp14:anchorId="68085383" wp14:editId="4C6A217C">
                      <wp:simplePos x="0" y="0"/>
                      <wp:positionH relativeFrom="column">
                        <wp:posOffset>236220</wp:posOffset>
                      </wp:positionH>
                      <wp:positionV relativeFrom="paragraph">
                        <wp:posOffset>-1839595</wp:posOffset>
                      </wp:positionV>
                      <wp:extent cx="621030" cy="387985"/>
                      <wp:effectExtent l="0" t="0" r="0" b="0"/>
                      <wp:wrapNone/>
                      <wp:docPr id="9761517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87985"/>
                              </a:xfrm>
                              <a:prstGeom prst="rect">
                                <a:avLst/>
                              </a:prstGeom>
                              <a:noFill/>
                              <a:ln w="9525">
                                <a:noFill/>
                                <a:miter lim="800000"/>
                                <a:headEnd/>
                                <a:tailEnd/>
                              </a:ln>
                            </wps:spPr>
                            <wps:txbx>
                              <w:txbxContent>
                                <w:p w14:paraId="41D72A83" w14:textId="02A06FC9" w:rsidR="00EF533A" w:rsidRPr="00987BC7" w:rsidRDefault="00D42483" w:rsidP="00EF533A">
                                  <w:pPr>
                                    <w:spacing w:line="204" w:lineRule="auto"/>
                                    <w:jc w:val="center"/>
                                    <w:rPr>
                                      <w:rFonts w:ascii="Arial" w:hAnsi="Arial" w:cs="Arial"/>
                                      <w:b/>
                                      <w:bCs/>
                                      <w:color w:val="FFFFFF"/>
                                      <w:sz w:val="16"/>
                                      <w:szCs w:val="16"/>
                                      <w:lang w:val="es-ES"/>
                                    </w:rPr>
                                  </w:pPr>
                                  <w:r w:rsidRPr="00D42483">
                                    <w:rPr>
                                      <w:rFonts w:ascii="Arial" w:hAnsi="Arial" w:cs="Arial"/>
                                      <w:b/>
                                      <w:bCs/>
                                      <w:color w:val="FFFFFF"/>
                                      <w:sz w:val="16"/>
                                      <w:szCs w:val="16"/>
                                      <w:lang w:val="es-ES"/>
                                    </w:rPr>
                                    <w:t>2. naksahdus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85383" id="Text Box 35" o:spid="_x0000_s1079" type="#_x0000_t202" style="position:absolute;left:0;text-align:left;margin-left:18.6pt;margin-top:-144.85pt;width:48.9pt;height:30.5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" filled="f" stroked="f">
                      <v:textbox inset="0,0,0,0">
                        <w:txbxContent>
                          <w:p w14:paraId="41D72A83" w14:textId="02A06FC9" w:rsidR="00EF533A" w:rsidRPr="00987BC7" w:rsidRDefault="00D42483" w:rsidP="00EF533A">
                            <w:pPr>
                              <w:spacing w:line="204" w:lineRule="auto"/>
                              <w:jc w:val="center"/>
                              <w:rPr>
                                <w:rFonts w:ascii="Arial" w:hAnsi="Arial" w:cs="Arial"/>
                                <w:b/>
                                <w:bCs/>
                                <w:color w:val="FFFFFF"/>
                                <w:sz w:val="16"/>
                                <w:szCs w:val="16"/>
                                <w:lang w:val="es-ES"/>
                              </w:rPr>
                            </w:pPr>
                            <w:r w:rsidRPr="00D42483">
                              <w:rPr>
                                <w:rFonts w:ascii="Arial" w:hAnsi="Arial" w:cs="Arial"/>
                                <w:b/>
                                <w:bCs/>
                                <w:color w:val="FFFFFF"/>
                                <w:sz w:val="16"/>
                                <w:szCs w:val="16"/>
                                <w:lang w:val="es-ES"/>
                              </w:rPr>
                              <w:t>2. naksahdus</w:t>
                            </w:r>
                          </w:p>
                        </w:txbxContent>
                      </v:textbox>
                      <w10:anchorlock/>
                    </v:shape>
                  </w:pict>
                </mc:Fallback>
              </mc:AlternateContent>
            </w:r>
            <w:r w:rsidR="00874A95">
              <w:rPr>
                <w:b/>
                <w:bCs/>
                <w:noProof/>
              </w:rPr>
              <w:t>Kuva</w:t>
            </w:r>
            <w:r w:rsidR="00EF533A">
              <w:rPr>
                <w:b/>
                <w:bCs/>
                <w:noProof/>
              </w:rPr>
              <w:t xml:space="preserve"> M</w:t>
            </w:r>
          </w:p>
        </w:tc>
        <w:tc>
          <w:tcPr>
            <w:tcW w:w="5517" w:type="dxa"/>
          </w:tcPr>
          <w:p w14:paraId="57CBBF11" w14:textId="380476DA" w:rsidR="00EF533A" w:rsidRDefault="001D1FFD">
            <w:pPr>
              <w:pStyle w:val="a4"/>
              <w:widowControl w:val="0"/>
              <w:numPr>
                <w:ilvl w:val="0"/>
                <w:numId w:val="68"/>
              </w:numPr>
              <w:ind w:left="567" w:hanging="567"/>
              <w:rPr>
                <w:b/>
              </w:rPr>
            </w:pPr>
            <w:r>
              <w:rPr>
                <w:b/>
              </w:rPr>
              <w:t>Pistäminen</w:t>
            </w:r>
            <w:r w:rsidR="00EF533A">
              <w:rPr>
                <w:b/>
              </w:rPr>
              <w:t>.</w:t>
            </w:r>
          </w:p>
          <w:p w14:paraId="3E6DC651" w14:textId="77777777" w:rsidR="00EF533A" w:rsidRDefault="00EF533A">
            <w:pPr>
              <w:pStyle w:val="a4"/>
              <w:ind w:left="567" w:hanging="567"/>
              <w:rPr>
                <w:bCs/>
              </w:rPr>
            </w:pPr>
          </w:p>
          <w:p w14:paraId="145DF4C9" w14:textId="43D423FD" w:rsidR="00EF533A" w:rsidRDefault="001D1FFD">
            <w:pPr>
              <w:pStyle w:val="a4"/>
              <w:widowControl w:val="0"/>
              <w:numPr>
                <w:ilvl w:val="0"/>
                <w:numId w:val="72"/>
              </w:numPr>
              <w:ind w:left="567" w:hanging="567"/>
              <w:rPr>
                <w:bCs/>
              </w:rPr>
            </w:pPr>
            <w:r>
              <w:t xml:space="preserve">Aloita pistos </w:t>
            </w:r>
            <w:r w:rsidRPr="0028514E">
              <w:t>painamalla esitäytettyä kynää voimakkaasti ihoa vasten</w:t>
            </w:r>
            <w:r w:rsidR="00EF533A">
              <w:rPr>
                <w:bCs/>
              </w:rPr>
              <w:t>.</w:t>
            </w:r>
          </w:p>
          <w:p w14:paraId="738470F3" w14:textId="7E8D6C44" w:rsidR="00EF533A" w:rsidRDefault="001D1FFD">
            <w:pPr>
              <w:pStyle w:val="a4"/>
              <w:widowControl w:val="0"/>
              <w:numPr>
                <w:ilvl w:val="0"/>
                <w:numId w:val="72"/>
              </w:numPr>
              <w:ind w:left="567" w:hanging="567"/>
              <w:rPr>
                <w:bCs/>
              </w:rPr>
            </w:pPr>
            <w:r w:rsidRPr="0028514E">
              <w:t xml:space="preserve">Pistoksen </w:t>
            </w:r>
            <w:r>
              <w:t>alkaessa</w:t>
            </w:r>
            <w:r w:rsidRPr="0028514E">
              <w:t xml:space="preserve"> kuuluu </w:t>
            </w:r>
            <w:r>
              <w:t xml:space="preserve">ensimmäinen </w:t>
            </w:r>
            <w:r w:rsidRPr="0028514E">
              <w:t>naksahdus</w:t>
            </w:r>
            <w:r>
              <w:t>, ja oranssi osoitin täyttää vähitellen tarkistusikkunan</w:t>
            </w:r>
            <w:r w:rsidRPr="0028514E">
              <w:t>.</w:t>
            </w:r>
            <w:r>
              <w:rPr>
                <w:bCs/>
              </w:rPr>
              <w:t xml:space="preserve"> </w:t>
            </w:r>
            <w:r w:rsidR="00EF533A">
              <w:rPr>
                <w:bCs/>
              </w:rPr>
              <w:t>(</w:t>
            </w:r>
            <w:r>
              <w:rPr>
                <w:bCs/>
              </w:rPr>
              <w:t>ks.</w:t>
            </w:r>
            <w:r w:rsidR="00EF533A">
              <w:rPr>
                <w:bCs/>
              </w:rPr>
              <w:t xml:space="preserve"> </w:t>
            </w:r>
            <w:r>
              <w:rPr>
                <w:b/>
              </w:rPr>
              <w:t>kuva</w:t>
            </w:r>
            <w:r w:rsidR="00EF533A">
              <w:rPr>
                <w:b/>
              </w:rPr>
              <w:t> M</w:t>
            </w:r>
            <w:r w:rsidR="00EF533A">
              <w:rPr>
                <w:bCs/>
              </w:rPr>
              <w:t>).</w:t>
            </w:r>
          </w:p>
          <w:p w14:paraId="3AEE0161" w14:textId="0CE8B67D" w:rsidR="00EF533A" w:rsidRDefault="00F00A43">
            <w:pPr>
              <w:pStyle w:val="a4"/>
              <w:widowControl w:val="0"/>
              <w:numPr>
                <w:ilvl w:val="0"/>
                <w:numId w:val="72"/>
              </w:numPr>
              <w:ind w:left="567" w:hanging="567"/>
              <w:rPr>
                <w:bCs/>
              </w:rPr>
            </w:pPr>
            <w:r>
              <w:t xml:space="preserve">Paina </w:t>
            </w:r>
            <w:r w:rsidRPr="0028514E">
              <w:t>esitäytetty</w:t>
            </w:r>
            <w:r>
              <w:t>ä</w:t>
            </w:r>
            <w:r w:rsidRPr="0028514E">
              <w:t xml:space="preserve"> kynä</w:t>
            </w:r>
            <w:r>
              <w:t>ä</w:t>
            </w:r>
            <w:r w:rsidRPr="0028514E">
              <w:t xml:space="preserve"> edelleen </w:t>
            </w:r>
            <w:r>
              <w:t xml:space="preserve">voimakkaasti </w:t>
            </w:r>
            <w:r w:rsidRPr="0028514E">
              <w:t>ihoa vasten</w:t>
            </w:r>
            <w:r>
              <w:t xml:space="preserve"> ja odota toista naksahdusta</w:t>
            </w:r>
            <w:r w:rsidR="00EF533A">
              <w:rPr>
                <w:color w:val="231F20"/>
              </w:rPr>
              <w:t>.</w:t>
            </w:r>
          </w:p>
          <w:p w14:paraId="57B7BDAE" w14:textId="0914CC40" w:rsidR="00EF533A" w:rsidRDefault="00F00A43">
            <w:pPr>
              <w:pStyle w:val="a4"/>
              <w:widowControl w:val="0"/>
              <w:numPr>
                <w:ilvl w:val="0"/>
                <w:numId w:val="72"/>
              </w:numPr>
              <w:ind w:left="567" w:hanging="567"/>
              <w:rPr>
                <w:bCs/>
              </w:rPr>
            </w:pPr>
            <w:r>
              <w:rPr>
                <w:color w:val="231F20"/>
              </w:rPr>
              <w:t>Kun kuulet toisen naksahduksen, paina esitäytettyä kynää edelleen voimakkaasti ihoa vasten ja</w:t>
            </w:r>
            <w:r w:rsidR="00EF533A">
              <w:rPr>
                <w:color w:val="231F20"/>
              </w:rPr>
              <w:t xml:space="preserve"> </w:t>
            </w:r>
            <w:r>
              <w:rPr>
                <w:b/>
                <w:color w:val="231F20"/>
              </w:rPr>
              <w:t>laske hitaasti viiteen</w:t>
            </w:r>
            <w:r>
              <w:rPr>
                <w:color w:val="231F20"/>
              </w:rPr>
              <w:t>,</w:t>
            </w:r>
            <w:r w:rsidR="00EF533A">
              <w:rPr>
                <w:color w:val="231F20"/>
              </w:rPr>
              <w:t xml:space="preserve"> </w:t>
            </w:r>
            <w:r>
              <w:rPr>
                <w:color w:val="231F20"/>
              </w:rPr>
              <w:t>jotta saat varmasti koko annoksen</w:t>
            </w:r>
            <w:r w:rsidR="00EF533A">
              <w:rPr>
                <w:color w:val="231F20"/>
              </w:rPr>
              <w:t xml:space="preserve"> (</w:t>
            </w:r>
            <w:r>
              <w:rPr>
                <w:color w:val="231F20"/>
              </w:rPr>
              <w:t>ks.</w:t>
            </w:r>
            <w:r w:rsidR="00EF533A">
              <w:rPr>
                <w:bCs/>
              </w:rPr>
              <w:t xml:space="preserve"> </w:t>
            </w:r>
            <w:r>
              <w:rPr>
                <w:b/>
              </w:rPr>
              <w:t>kuva</w:t>
            </w:r>
            <w:r w:rsidR="00EF533A">
              <w:rPr>
                <w:b/>
              </w:rPr>
              <w:t> M</w:t>
            </w:r>
            <w:r w:rsidR="00EF533A">
              <w:rPr>
                <w:bCs/>
              </w:rPr>
              <w:t>).</w:t>
            </w:r>
          </w:p>
          <w:p w14:paraId="3EF49514" w14:textId="4DB1D829" w:rsidR="00EF533A" w:rsidRPr="00237A3E" w:rsidRDefault="00874A95">
            <w:pPr>
              <w:pStyle w:val="a4"/>
              <w:widowControl w:val="0"/>
              <w:numPr>
                <w:ilvl w:val="0"/>
                <w:numId w:val="72"/>
              </w:numPr>
              <w:ind w:left="567" w:hanging="567"/>
              <w:rPr>
                <w:bCs/>
              </w:rPr>
            </w:pPr>
            <w:r w:rsidRPr="00874A95">
              <w:t>Seuraa oranssia osoitinta, kunnes se pysähtyy ja täyttää koko tarkistusikkunan. Näin voit varmistaa, että koko lääkeannos on pistetty</w:t>
            </w:r>
            <w:r w:rsidR="00EF533A">
              <w:rPr>
                <w:color w:val="231F20"/>
              </w:rPr>
              <w:t>.</w:t>
            </w:r>
          </w:p>
          <w:p w14:paraId="09D36630" w14:textId="598DFE5B" w:rsidR="00757B10" w:rsidRDefault="00A93FC7" w:rsidP="00237A3E">
            <w:pPr>
              <w:pStyle w:val="a4"/>
              <w:widowControl w:val="0"/>
              <w:ind w:left="567"/>
              <w:rPr>
                <w:bCs/>
              </w:rPr>
            </w:pPr>
            <w:r w:rsidRPr="00237A3E">
              <w:rPr>
                <w:bCs/>
                <w:i/>
                <w:iCs/>
              </w:rPr>
              <w:t>Huomaa</w:t>
            </w:r>
            <w:r w:rsidRPr="00594BAC">
              <w:rPr>
                <w:bCs/>
              </w:rPr>
              <w:t xml:space="preserve">: </w:t>
            </w:r>
            <w:r w:rsidR="0014613B">
              <w:rPr>
                <w:bCs/>
              </w:rPr>
              <w:t>Jos oranssi osoitin ei liiku, hävitä esitäytetty kynä ja ota uusi</w:t>
            </w:r>
            <w:r w:rsidR="00BC57A3">
              <w:rPr>
                <w:bCs/>
              </w:rPr>
              <w:t xml:space="preserve"> kynä</w:t>
            </w:r>
            <w:r w:rsidR="00594BAC">
              <w:rPr>
                <w:bCs/>
              </w:rPr>
              <w:t>.</w:t>
            </w:r>
          </w:p>
          <w:p w14:paraId="4807E413" w14:textId="77777777" w:rsidR="00EF533A" w:rsidRPr="00237A3E" w:rsidRDefault="00EF533A" w:rsidP="00940778">
            <w:pPr>
              <w:rPr>
                <w:lang w:val="fi-FI"/>
              </w:rPr>
            </w:pPr>
          </w:p>
        </w:tc>
      </w:tr>
      <w:tr w:rsidR="009C440C" w:rsidRPr="00BB5A61" w14:paraId="016A7548" w14:textId="77777777">
        <w:trPr>
          <w:cantSplit/>
        </w:trPr>
        <w:tc>
          <w:tcPr>
            <w:tcW w:w="3539" w:type="dxa"/>
          </w:tcPr>
          <w:p w14:paraId="44053F38" w14:textId="0A787FD1" w:rsidR="00EF533A" w:rsidRDefault="0086716C">
            <w:pPr>
              <w:suppressAutoHyphens/>
              <w:jc w:val="right"/>
              <w:rPr>
                <w:b/>
                <w:bCs/>
                <w:noProof/>
              </w:rPr>
            </w:pPr>
            <w:r>
              <w:rPr>
                <w:noProof/>
                <w:lang w:val="en-US" w:eastAsia="ko-KR"/>
              </w:rPr>
              <w:drawing>
                <wp:inline distT="0" distB="0" distL="0" distR="0" wp14:anchorId="02CD5DA7" wp14:editId="4E681849">
                  <wp:extent cx="2062480" cy="2573020"/>
                  <wp:effectExtent l="19050" t="19050" r="0" b="0"/>
                  <wp:docPr id="34" name="그림 2"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스케치, 클립아트, 그림, 라인 아트이(가) 표시된 사진&#10;&#10;자동 생성된 설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2480" cy="2573020"/>
                          </a:xfrm>
                          <a:prstGeom prst="rect">
                            <a:avLst/>
                          </a:prstGeom>
                          <a:noFill/>
                          <a:ln w="9525" cmpd="sng">
                            <a:solidFill>
                              <a:srgbClr val="000000"/>
                            </a:solidFill>
                            <a:miter lim="800000"/>
                            <a:headEnd/>
                            <a:tailEnd/>
                          </a:ln>
                          <a:effectLst/>
                        </pic:spPr>
                      </pic:pic>
                    </a:graphicData>
                  </a:graphic>
                </wp:inline>
              </w:drawing>
            </w:r>
          </w:p>
          <w:p w14:paraId="18571A98" w14:textId="6AC12BC9" w:rsidR="00EF533A" w:rsidRDefault="00874A95">
            <w:pPr>
              <w:suppressAutoHyphens/>
              <w:jc w:val="right"/>
              <w:rPr>
                <w:b/>
                <w:bCs/>
                <w:noProof/>
              </w:rPr>
            </w:pPr>
            <w:r>
              <w:rPr>
                <w:b/>
                <w:bCs/>
                <w:noProof/>
              </w:rPr>
              <w:t>Kuva</w:t>
            </w:r>
            <w:r w:rsidR="00EF533A">
              <w:rPr>
                <w:b/>
                <w:bCs/>
                <w:noProof/>
              </w:rPr>
              <w:t xml:space="preserve"> N</w:t>
            </w:r>
          </w:p>
        </w:tc>
        <w:tc>
          <w:tcPr>
            <w:tcW w:w="5517" w:type="dxa"/>
          </w:tcPr>
          <w:p w14:paraId="60A3E520" w14:textId="40BD5F17" w:rsidR="00EF533A" w:rsidRDefault="00874A95">
            <w:pPr>
              <w:pStyle w:val="a4"/>
              <w:widowControl w:val="0"/>
              <w:numPr>
                <w:ilvl w:val="0"/>
                <w:numId w:val="68"/>
              </w:numPr>
              <w:ind w:left="567" w:hanging="567"/>
              <w:rPr>
                <w:b/>
              </w:rPr>
            </w:pPr>
            <w:r>
              <w:rPr>
                <w:b/>
              </w:rPr>
              <w:t>Poista esitäytetty kynä pistoskohdasta</w:t>
            </w:r>
            <w:r w:rsidR="00EF533A">
              <w:rPr>
                <w:b/>
              </w:rPr>
              <w:t>.</w:t>
            </w:r>
          </w:p>
          <w:p w14:paraId="0A99E767" w14:textId="77777777" w:rsidR="00EF533A" w:rsidRDefault="00EF533A">
            <w:pPr>
              <w:pStyle w:val="Default"/>
              <w:ind w:left="567" w:hanging="567"/>
              <w:rPr>
                <w:rFonts w:ascii="Times New Roman" w:hAnsi="Times New Roman" w:cs="Times New Roman"/>
                <w:sz w:val="22"/>
                <w:szCs w:val="22"/>
              </w:rPr>
            </w:pPr>
          </w:p>
          <w:p w14:paraId="4D4F07AD" w14:textId="7CF28113" w:rsidR="00EF533A" w:rsidRDefault="00874A95">
            <w:pPr>
              <w:pStyle w:val="a4"/>
              <w:widowControl w:val="0"/>
              <w:numPr>
                <w:ilvl w:val="0"/>
                <w:numId w:val="71"/>
              </w:numPr>
              <w:ind w:left="567" w:hanging="567"/>
              <w:rPr>
                <w:bCs/>
              </w:rPr>
            </w:pPr>
            <w:r w:rsidRPr="0028514E">
              <w:t xml:space="preserve">Kun </w:t>
            </w:r>
            <w:r>
              <w:t>oranssi</w:t>
            </w:r>
            <w:r w:rsidRPr="0028514E">
              <w:t xml:space="preserve"> osoitin on pysähtynyt, </w:t>
            </w:r>
            <w:r>
              <w:t>n</w:t>
            </w:r>
            <w:r w:rsidRPr="0028514E">
              <w:t>osta esitäytetty kynä pois pistoskohdasta suoraan 90</w:t>
            </w:r>
            <w:r>
              <w:t> asteen</w:t>
            </w:r>
            <w:r w:rsidRPr="0028514E">
              <w:t xml:space="preserve"> kulmassa poistaaksesi neulan ihosta</w:t>
            </w:r>
            <w:r w:rsidR="00EF533A">
              <w:rPr>
                <w:bCs/>
              </w:rPr>
              <w:t>.</w:t>
            </w:r>
          </w:p>
          <w:p w14:paraId="6BE64698" w14:textId="4858413D" w:rsidR="00EF533A" w:rsidRPr="00DA0957" w:rsidRDefault="00874A95" w:rsidP="00CA43F5">
            <w:pPr>
              <w:pStyle w:val="a4"/>
              <w:widowControl w:val="0"/>
              <w:numPr>
                <w:ilvl w:val="0"/>
                <w:numId w:val="38"/>
              </w:numPr>
              <w:ind w:left="1134" w:hanging="567"/>
            </w:pPr>
            <w:r w:rsidRPr="0028514E">
              <w:t>Neulansuojus liukuu ulos ja lukittuu paikoilleen neulan suojaksi</w:t>
            </w:r>
            <w:r w:rsidR="00EF533A">
              <w:rPr>
                <w:bCs/>
              </w:rPr>
              <w:t xml:space="preserve"> (</w:t>
            </w:r>
            <w:r>
              <w:rPr>
                <w:bCs/>
              </w:rPr>
              <w:t>ks.</w:t>
            </w:r>
            <w:r w:rsidR="00EF533A">
              <w:rPr>
                <w:bCs/>
              </w:rPr>
              <w:t xml:space="preserve"> </w:t>
            </w:r>
            <w:r>
              <w:rPr>
                <w:b/>
              </w:rPr>
              <w:t>kuva</w:t>
            </w:r>
            <w:r w:rsidR="00EF533A">
              <w:rPr>
                <w:b/>
              </w:rPr>
              <w:t> N</w:t>
            </w:r>
            <w:r w:rsidR="00EF533A">
              <w:rPr>
                <w:bCs/>
              </w:rPr>
              <w:t>)</w:t>
            </w:r>
            <w:r w:rsidR="00EF533A" w:rsidRPr="00DA0957">
              <w:t>.</w:t>
            </w:r>
          </w:p>
          <w:p w14:paraId="7C2F31BF" w14:textId="42D661A5" w:rsidR="00EF533A" w:rsidRDefault="00F9510E">
            <w:pPr>
              <w:pStyle w:val="a4"/>
              <w:ind w:left="567"/>
              <w:rPr>
                <w:bCs/>
                <w:noProof/>
                <w:lang w:eastAsia="ko-KR"/>
              </w:rPr>
            </w:pPr>
            <w:r>
              <w:rPr>
                <w:bCs/>
                <w:i/>
                <w:iCs/>
                <w:noProof/>
                <w:lang w:eastAsia="ko-KR"/>
              </w:rPr>
              <w:t>Huomautus</w:t>
            </w:r>
            <w:r w:rsidR="00EF533A">
              <w:rPr>
                <w:bCs/>
                <w:noProof/>
                <w:lang w:eastAsia="ko-KR"/>
              </w:rPr>
              <w:t xml:space="preserve">: </w:t>
            </w:r>
            <w:r>
              <w:rPr>
                <w:bCs/>
                <w:noProof/>
                <w:lang w:eastAsia="ko-KR"/>
              </w:rPr>
              <w:t>Jos tarkistusikkuna ei ole muuttunut kokonaan oranssiksi tai jos pistos on edelleen käynnissä, et ole saanut koko annosta</w:t>
            </w:r>
            <w:r w:rsidR="00EF533A">
              <w:rPr>
                <w:bCs/>
                <w:noProof/>
                <w:lang w:eastAsia="ko-KR"/>
              </w:rPr>
              <w:t xml:space="preserve">. </w:t>
            </w:r>
            <w:r>
              <w:t>L</w:t>
            </w:r>
            <w:r w:rsidRPr="0028514E">
              <w:t xml:space="preserve">aita esitäytetty kynä varovasti pistävälle ja viiltävälle </w:t>
            </w:r>
            <w:r w:rsidRPr="00F9510E">
              <w:t>jätteelle tarkoitettuun astiaan ja ota välittömästi yhteyttä terveydenhuollon ammattilaiseen</w:t>
            </w:r>
            <w:r w:rsidR="00EF533A">
              <w:rPr>
                <w:color w:val="231F20"/>
              </w:rPr>
              <w:t>.</w:t>
            </w:r>
          </w:p>
          <w:p w14:paraId="39946865" w14:textId="77777777" w:rsidR="00EF533A" w:rsidRPr="00F9510E" w:rsidRDefault="00EF533A">
            <w:pPr>
              <w:pStyle w:val="a4"/>
              <w:ind w:left="567" w:hanging="567"/>
            </w:pPr>
          </w:p>
          <w:p w14:paraId="0D75B5D9" w14:textId="03B8F122" w:rsidR="00EF533A" w:rsidRDefault="00F9510E" w:rsidP="00CA43F5">
            <w:pPr>
              <w:pStyle w:val="a4"/>
              <w:widowControl w:val="0"/>
              <w:numPr>
                <w:ilvl w:val="0"/>
                <w:numId w:val="38"/>
              </w:numPr>
              <w:ind w:left="1134" w:hanging="567"/>
              <w:rPr>
                <w:bCs/>
              </w:rPr>
            </w:pPr>
            <w:r>
              <w:rPr>
                <w:b/>
              </w:rPr>
              <w:t xml:space="preserve">Älä </w:t>
            </w:r>
            <w:r w:rsidRPr="00F9510E">
              <w:t>koske esitäytetyn kynän neulansuojukseen</w:t>
            </w:r>
            <w:r w:rsidR="00EF533A">
              <w:rPr>
                <w:bCs/>
              </w:rPr>
              <w:t>.</w:t>
            </w:r>
          </w:p>
          <w:p w14:paraId="77CE006C" w14:textId="786CA467" w:rsidR="00EF533A" w:rsidRDefault="00F9510E" w:rsidP="00CA43F5">
            <w:pPr>
              <w:pStyle w:val="a4"/>
              <w:widowControl w:val="0"/>
              <w:numPr>
                <w:ilvl w:val="0"/>
                <w:numId w:val="38"/>
              </w:numPr>
              <w:ind w:left="1134" w:hanging="567"/>
              <w:rPr>
                <w:bCs/>
              </w:rPr>
            </w:pPr>
            <w:r>
              <w:rPr>
                <w:b/>
              </w:rPr>
              <w:t xml:space="preserve">Älä </w:t>
            </w:r>
            <w:r w:rsidRPr="00F9510E">
              <w:t>yritä käyttää esitäytettyä kynää uudelleen</w:t>
            </w:r>
            <w:r w:rsidR="00EF533A">
              <w:rPr>
                <w:bCs/>
              </w:rPr>
              <w:t>.</w:t>
            </w:r>
          </w:p>
          <w:p w14:paraId="34F33116" w14:textId="4CF14B42" w:rsidR="00EF533A" w:rsidRDefault="00F9510E" w:rsidP="00CA43F5">
            <w:pPr>
              <w:pStyle w:val="a4"/>
              <w:widowControl w:val="0"/>
              <w:numPr>
                <w:ilvl w:val="0"/>
                <w:numId w:val="38"/>
              </w:numPr>
              <w:ind w:left="1134" w:hanging="567"/>
              <w:rPr>
                <w:b/>
              </w:rPr>
            </w:pPr>
            <w:r>
              <w:rPr>
                <w:b/>
                <w:bCs/>
              </w:rPr>
              <w:t>Älä</w:t>
            </w:r>
            <w:r w:rsidRPr="00F9510E">
              <w:t xml:space="preserve"> ota pistosta toisella esitäytetyllä kynällä</w:t>
            </w:r>
            <w:r w:rsidR="00EF533A">
              <w:t>.</w:t>
            </w:r>
          </w:p>
          <w:p w14:paraId="70AEEA96" w14:textId="77777777" w:rsidR="00EF533A" w:rsidRPr="00CA43F5" w:rsidRDefault="00EF533A" w:rsidP="00940778">
            <w:pPr>
              <w:rPr>
                <w:lang w:val="fi-FI"/>
              </w:rPr>
            </w:pPr>
          </w:p>
        </w:tc>
      </w:tr>
    </w:tbl>
    <w:p w14:paraId="6C21F723" w14:textId="77777777" w:rsidR="00EF533A" w:rsidRPr="00CA43F5" w:rsidRDefault="00EF533A" w:rsidP="00EF533A">
      <w:pPr>
        <w:rPr>
          <w:lang w:val="fi-FI"/>
        </w:rPr>
      </w:pPr>
    </w:p>
    <w:p w14:paraId="6E12EB74" w14:textId="3448E2D8" w:rsidR="00EF533A" w:rsidRPr="00DA0957" w:rsidRDefault="00F45530" w:rsidP="00EF533A">
      <w:pPr>
        <w:keepNext/>
        <w:rPr>
          <w:b/>
          <w:bCs/>
        </w:rPr>
      </w:pPr>
      <w:proofErr w:type="spellStart"/>
      <w:r>
        <w:rPr>
          <w:b/>
          <w:bCs/>
        </w:rPr>
        <w:lastRenderedPageBreak/>
        <w:t>Pistoksen</w:t>
      </w:r>
      <w:proofErr w:type="spellEnd"/>
      <w:r>
        <w:rPr>
          <w:b/>
          <w:bCs/>
        </w:rPr>
        <w:t xml:space="preserve"> </w:t>
      </w:r>
      <w:proofErr w:type="spellStart"/>
      <w:r>
        <w:rPr>
          <w:b/>
          <w:bCs/>
        </w:rPr>
        <w:t>jälkeen</w:t>
      </w:r>
      <w:proofErr w:type="spellEnd"/>
    </w:p>
    <w:p w14:paraId="66DFC28A" w14:textId="77777777" w:rsidR="00EF533A" w:rsidRDefault="00EF533A" w:rsidP="00EF533A">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9C440C" w:rsidRPr="00DA0957" w14:paraId="112EAF38" w14:textId="77777777">
        <w:trPr>
          <w:cantSplit/>
        </w:trPr>
        <w:tc>
          <w:tcPr>
            <w:tcW w:w="9056" w:type="dxa"/>
            <w:gridSpan w:val="2"/>
          </w:tcPr>
          <w:p w14:paraId="31371CA6" w14:textId="11D4B870" w:rsidR="00EF533A" w:rsidRDefault="00F45530">
            <w:pPr>
              <w:pStyle w:val="a4"/>
              <w:widowControl w:val="0"/>
              <w:numPr>
                <w:ilvl w:val="0"/>
                <w:numId w:val="68"/>
              </w:numPr>
              <w:ind w:left="567" w:hanging="567"/>
              <w:rPr>
                <w:b/>
              </w:rPr>
            </w:pPr>
            <w:r>
              <w:rPr>
                <w:b/>
              </w:rPr>
              <w:t>Pistoskohdan hoito</w:t>
            </w:r>
            <w:r w:rsidR="00EF533A">
              <w:rPr>
                <w:b/>
              </w:rPr>
              <w:t>.</w:t>
            </w:r>
          </w:p>
          <w:p w14:paraId="2A52D117" w14:textId="77777777" w:rsidR="00EF533A" w:rsidRDefault="00EF533A">
            <w:pPr>
              <w:pStyle w:val="Default"/>
              <w:ind w:left="567" w:hanging="567"/>
              <w:rPr>
                <w:rFonts w:ascii="Times New Roman" w:hAnsi="Times New Roman" w:cs="Times New Roman"/>
                <w:sz w:val="22"/>
                <w:szCs w:val="22"/>
              </w:rPr>
            </w:pPr>
          </w:p>
          <w:p w14:paraId="462C2F74" w14:textId="1D543935" w:rsidR="00EF533A" w:rsidRDefault="00F45530">
            <w:pPr>
              <w:pStyle w:val="a4"/>
              <w:widowControl w:val="0"/>
              <w:numPr>
                <w:ilvl w:val="0"/>
                <w:numId w:val="70"/>
              </w:numPr>
              <w:ind w:left="567" w:hanging="567"/>
              <w:rPr>
                <w:bCs/>
              </w:rPr>
            </w:pPr>
            <w:r w:rsidRPr="00F45530">
              <w:t>Jos pistoskohdasta vuotaa hiukan verta, paina (älä hankaa) sitä kevyesti pumpulitupolla tai harsotaitoksella ja peitä se tarvittaessa laastarilla</w:t>
            </w:r>
            <w:r w:rsidR="00EF533A">
              <w:rPr>
                <w:bCs/>
              </w:rPr>
              <w:t>.</w:t>
            </w:r>
          </w:p>
          <w:p w14:paraId="282555A6" w14:textId="4CAB7252" w:rsidR="00EF533A" w:rsidRDefault="00F45530" w:rsidP="00CA43F5">
            <w:pPr>
              <w:pStyle w:val="a4"/>
              <w:widowControl w:val="0"/>
              <w:numPr>
                <w:ilvl w:val="0"/>
                <w:numId w:val="38"/>
              </w:numPr>
              <w:ind w:left="1134" w:hanging="567"/>
              <w:rPr>
                <w:bCs/>
              </w:rPr>
            </w:pPr>
            <w:r>
              <w:rPr>
                <w:b/>
              </w:rPr>
              <w:t xml:space="preserve">Älä </w:t>
            </w:r>
            <w:r>
              <w:rPr>
                <w:bCs/>
              </w:rPr>
              <w:t>hankaa pistoskohtaa.</w:t>
            </w:r>
          </w:p>
          <w:p w14:paraId="3B539959" w14:textId="77777777" w:rsidR="00EF533A" w:rsidRPr="00B17C5B" w:rsidRDefault="00EF533A" w:rsidP="00940778"/>
        </w:tc>
      </w:tr>
      <w:tr w:rsidR="009C440C" w:rsidRPr="00DA0957" w14:paraId="1257AF82" w14:textId="77777777">
        <w:trPr>
          <w:cantSplit/>
        </w:trPr>
        <w:tc>
          <w:tcPr>
            <w:tcW w:w="3539" w:type="dxa"/>
          </w:tcPr>
          <w:p w14:paraId="4704C08C" w14:textId="1AA00480" w:rsidR="00EF533A" w:rsidRDefault="0086716C">
            <w:pPr>
              <w:suppressAutoHyphens/>
              <w:jc w:val="right"/>
              <w:rPr>
                <w:noProof/>
              </w:rPr>
            </w:pPr>
            <w:r>
              <w:rPr>
                <w:noProof/>
                <w:lang w:val="en-US" w:eastAsia="ko-KR"/>
              </w:rPr>
              <w:drawing>
                <wp:inline distT="0" distB="0" distL="0" distR="0" wp14:anchorId="4153180A" wp14:editId="192424AF">
                  <wp:extent cx="2062480" cy="2573020"/>
                  <wp:effectExtent l="19050" t="19050" r="0" b="0"/>
                  <wp:docPr id="35" name="그림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스케치, 그림, 사무용품, 아동 미술이(가) 표시된 사진&#10;&#10;자동 생성된 설명"/>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2480" cy="2573020"/>
                          </a:xfrm>
                          <a:prstGeom prst="rect">
                            <a:avLst/>
                          </a:prstGeom>
                          <a:noFill/>
                          <a:ln w="9525" cmpd="sng">
                            <a:solidFill>
                              <a:srgbClr val="000000"/>
                            </a:solidFill>
                            <a:miter lim="800000"/>
                            <a:headEnd/>
                            <a:tailEnd/>
                          </a:ln>
                          <a:effectLst/>
                        </pic:spPr>
                      </pic:pic>
                    </a:graphicData>
                  </a:graphic>
                </wp:inline>
              </w:drawing>
            </w:r>
          </w:p>
          <w:p w14:paraId="1C5BA675" w14:textId="0FAF9208" w:rsidR="00EF533A" w:rsidRDefault="00430EB8">
            <w:pPr>
              <w:suppressAutoHyphens/>
              <w:jc w:val="right"/>
              <w:rPr>
                <w:b/>
                <w:bCs/>
                <w:noProof/>
              </w:rPr>
            </w:pPr>
            <w:r>
              <w:rPr>
                <w:b/>
                <w:bCs/>
                <w:noProof/>
              </w:rPr>
              <w:t>Kuva</w:t>
            </w:r>
            <w:r w:rsidR="00EF533A">
              <w:rPr>
                <w:b/>
                <w:bCs/>
                <w:noProof/>
              </w:rPr>
              <w:t xml:space="preserve"> O</w:t>
            </w:r>
          </w:p>
        </w:tc>
        <w:tc>
          <w:tcPr>
            <w:tcW w:w="5517" w:type="dxa"/>
          </w:tcPr>
          <w:p w14:paraId="030DAA0E" w14:textId="4EE6E59D" w:rsidR="00EF533A" w:rsidRDefault="00EF533A">
            <w:pPr>
              <w:pStyle w:val="a4"/>
              <w:widowControl w:val="0"/>
              <w:numPr>
                <w:ilvl w:val="0"/>
                <w:numId w:val="68"/>
              </w:numPr>
              <w:ind w:left="567" w:hanging="567"/>
              <w:rPr>
                <w:b/>
              </w:rPr>
            </w:pPr>
            <w:r>
              <w:rPr>
                <w:b/>
              </w:rPr>
              <w:t>Avtozma</w:t>
            </w:r>
            <w:r w:rsidR="00430EB8">
              <w:rPr>
                <w:b/>
              </w:rPr>
              <w:t>-valmisteen hävittäminen</w:t>
            </w:r>
            <w:r>
              <w:rPr>
                <w:b/>
              </w:rPr>
              <w:t>.</w:t>
            </w:r>
          </w:p>
          <w:p w14:paraId="3E417C81" w14:textId="77777777" w:rsidR="00EF533A" w:rsidRDefault="00EF533A">
            <w:pPr>
              <w:pStyle w:val="Default"/>
              <w:ind w:left="567" w:hanging="567"/>
              <w:rPr>
                <w:rFonts w:ascii="Times New Roman" w:hAnsi="Times New Roman" w:cs="Times New Roman"/>
                <w:sz w:val="22"/>
                <w:szCs w:val="22"/>
              </w:rPr>
            </w:pPr>
          </w:p>
          <w:p w14:paraId="71523B27" w14:textId="32077EEF" w:rsidR="00EF533A" w:rsidRDefault="00430EB8">
            <w:pPr>
              <w:pStyle w:val="a4"/>
              <w:widowControl w:val="0"/>
              <w:numPr>
                <w:ilvl w:val="0"/>
                <w:numId w:val="69"/>
              </w:numPr>
              <w:ind w:left="567" w:hanging="567"/>
              <w:rPr>
                <w:bCs/>
              </w:rPr>
            </w:pPr>
            <w:r w:rsidRPr="0028514E">
              <w:t>Laita käytet</w:t>
            </w:r>
            <w:r>
              <w:t>ty esitäytetty</w:t>
            </w:r>
            <w:r w:rsidRPr="0028514E">
              <w:t xml:space="preserve"> </w:t>
            </w:r>
            <w:r>
              <w:t xml:space="preserve">kynä </w:t>
            </w:r>
            <w:r>
              <w:rPr>
                <w:color w:val="231F20"/>
              </w:rPr>
              <w:t xml:space="preserve">pistävälle ja viiltävälle jätteelle tarkoitettuun astiaan heti käytön jälkeen (ks. </w:t>
            </w:r>
            <w:r>
              <w:rPr>
                <w:b/>
                <w:color w:val="231F20"/>
              </w:rPr>
              <w:t>kuva</w:t>
            </w:r>
            <w:r w:rsidR="00EF533A">
              <w:rPr>
                <w:b/>
                <w:color w:val="231F20"/>
              </w:rPr>
              <w:t> O)</w:t>
            </w:r>
            <w:r w:rsidR="00EF533A">
              <w:rPr>
                <w:bCs/>
              </w:rPr>
              <w:t>.</w:t>
            </w:r>
          </w:p>
          <w:p w14:paraId="7AB43349" w14:textId="77777777" w:rsidR="00EF533A" w:rsidRDefault="00EF533A">
            <w:pPr>
              <w:pStyle w:val="a4"/>
              <w:ind w:left="567" w:hanging="567"/>
              <w:rPr>
                <w:bCs/>
              </w:rPr>
            </w:pPr>
          </w:p>
          <w:p w14:paraId="6E207BEA" w14:textId="3CB3AA46" w:rsidR="00EF533A" w:rsidRDefault="00430EB8">
            <w:pPr>
              <w:pStyle w:val="a4"/>
              <w:ind w:left="567"/>
              <w:rPr>
                <w:bCs/>
                <w:noProof/>
                <w:lang w:eastAsia="ko-KR"/>
              </w:rPr>
            </w:pPr>
            <w:r>
              <w:rPr>
                <w:bCs/>
                <w:i/>
                <w:iCs/>
                <w:noProof/>
                <w:lang w:eastAsia="ko-KR"/>
              </w:rPr>
              <w:t>Huomautus</w:t>
            </w:r>
            <w:r>
              <w:rPr>
                <w:bCs/>
                <w:noProof/>
                <w:lang w:eastAsia="ko-KR"/>
              </w:rPr>
              <w:t xml:space="preserve">: </w:t>
            </w:r>
            <w:r>
              <w:rPr>
                <w:rFonts w:eastAsia="SimSun"/>
              </w:rPr>
              <w:t>Jos toinen henkilö antaa pistoksen sinulle, myös hänen on oltava varovainen esitäytettyä kynää ihosta poistaessaan ja sen hävittämisessä, jotta voidaan välttää neulanpistotapaturma ja infektion tarttuminen</w:t>
            </w:r>
            <w:r w:rsidR="00EF533A">
              <w:rPr>
                <w:color w:val="231F20"/>
              </w:rPr>
              <w:t>.</w:t>
            </w:r>
          </w:p>
          <w:p w14:paraId="6F3EBEB6" w14:textId="77777777" w:rsidR="00EF533A" w:rsidRDefault="00EF533A">
            <w:pPr>
              <w:pStyle w:val="a4"/>
              <w:ind w:left="567" w:hanging="567"/>
              <w:rPr>
                <w:bCs/>
              </w:rPr>
            </w:pPr>
          </w:p>
          <w:p w14:paraId="65F70AD2" w14:textId="7E4A7D9E" w:rsidR="00430EB8" w:rsidRPr="007363A2" w:rsidRDefault="00430EB8" w:rsidP="00CA43F5">
            <w:pPr>
              <w:pStyle w:val="a4"/>
              <w:widowControl w:val="0"/>
              <w:numPr>
                <w:ilvl w:val="0"/>
                <w:numId w:val="38"/>
              </w:numPr>
              <w:suppressAutoHyphens/>
              <w:ind w:left="1134" w:hanging="567"/>
            </w:pPr>
            <w:r>
              <w:rPr>
                <w:b/>
              </w:rPr>
              <w:t xml:space="preserve">Älä </w:t>
            </w:r>
            <w:r>
              <w:rPr>
                <w:bCs/>
              </w:rPr>
              <w:t>käytä esitäytettyä kynää uudelleen</w:t>
            </w:r>
            <w:r w:rsidRPr="007363A2">
              <w:t>.</w:t>
            </w:r>
          </w:p>
          <w:p w14:paraId="51670B81" w14:textId="1C602E8C" w:rsidR="00430EB8" w:rsidRPr="007363A2" w:rsidRDefault="00430EB8" w:rsidP="00CA43F5">
            <w:pPr>
              <w:pStyle w:val="a4"/>
              <w:widowControl w:val="0"/>
              <w:numPr>
                <w:ilvl w:val="0"/>
                <w:numId w:val="38"/>
              </w:numPr>
              <w:suppressAutoHyphens/>
              <w:ind w:left="1134" w:hanging="567"/>
            </w:pPr>
            <w:r>
              <w:rPr>
                <w:b/>
              </w:rPr>
              <w:t xml:space="preserve">Älä </w:t>
            </w:r>
            <w:r w:rsidRPr="007363A2">
              <w:t xml:space="preserve">kiinnitä korkkia takaisin esitäytettyyn </w:t>
            </w:r>
            <w:r>
              <w:t>kynään</w:t>
            </w:r>
            <w:r w:rsidRPr="007363A2">
              <w:t>.</w:t>
            </w:r>
          </w:p>
          <w:p w14:paraId="79313F4F" w14:textId="77777777" w:rsidR="00430EB8" w:rsidRPr="00491903" w:rsidRDefault="00430EB8" w:rsidP="00CA43F5">
            <w:pPr>
              <w:pStyle w:val="a4"/>
              <w:widowControl w:val="0"/>
              <w:numPr>
                <w:ilvl w:val="0"/>
                <w:numId w:val="38"/>
              </w:numPr>
              <w:suppressAutoHyphens/>
              <w:ind w:left="1134" w:hanging="567"/>
            </w:pPr>
            <w:r>
              <w:rPr>
                <w:b/>
                <w:bCs/>
                <w:color w:val="231F20"/>
              </w:rPr>
              <w:t>Älä</w:t>
            </w:r>
            <w:r>
              <w:rPr>
                <w:color w:val="231F20"/>
              </w:rPr>
              <w:t xml:space="preserve"> hävitä pistävälle ja viiltävälle jätteelle tarkoitettua astiaa talousjätteiden mukana</w:t>
            </w:r>
            <w:r w:rsidRPr="00491903">
              <w:t>.</w:t>
            </w:r>
          </w:p>
          <w:p w14:paraId="7156A5AB" w14:textId="77777777" w:rsidR="00430EB8" w:rsidRPr="00491903" w:rsidRDefault="00430EB8" w:rsidP="00CA43F5">
            <w:pPr>
              <w:pStyle w:val="a4"/>
              <w:widowControl w:val="0"/>
              <w:numPr>
                <w:ilvl w:val="0"/>
                <w:numId w:val="38"/>
              </w:numPr>
              <w:suppressAutoHyphens/>
              <w:ind w:left="1134" w:hanging="567"/>
            </w:pPr>
            <w:r>
              <w:rPr>
                <w:b/>
                <w:bCs/>
              </w:rPr>
              <w:t xml:space="preserve">Älä </w:t>
            </w:r>
            <w:r w:rsidRPr="00491903">
              <w:t>kierrätä pistävälle ja viiltävälle jätteelle tarkoitettua astiaa.</w:t>
            </w:r>
          </w:p>
          <w:p w14:paraId="2C3F7C71" w14:textId="668366FE" w:rsidR="00EF533A" w:rsidRDefault="00430EB8" w:rsidP="00CA43F5">
            <w:pPr>
              <w:pStyle w:val="a4"/>
              <w:widowControl w:val="0"/>
              <w:numPr>
                <w:ilvl w:val="0"/>
                <w:numId w:val="38"/>
              </w:numPr>
              <w:ind w:left="1134" w:hanging="567"/>
              <w:rPr>
                <w:bCs/>
              </w:rPr>
            </w:pPr>
            <w:r w:rsidRPr="007363A2">
              <w:t>Pidä esitäytetty Avtozma-</w:t>
            </w:r>
            <w:r>
              <w:t>kynä</w:t>
            </w:r>
            <w:r w:rsidRPr="007363A2">
              <w:t xml:space="preserve"> ja jäteastia poissa lasten ulottuvilta</w:t>
            </w:r>
            <w:r>
              <w:rPr>
                <w:bCs/>
              </w:rPr>
              <w:t>.</w:t>
            </w:r>
          </w:p>
          <w:p w14:paraId="1A95C4B5" w14:textId="0F865833" w:rsidR="00EF533A" w:rsidRDefault="00430EB8" w:rsidP="00CA43F5">
            <w:pPr>
              <w:pStyle w:val="a4"/>
              <w:widowControl w:val="0"/>
              <w:numPr>
                <w:ilvl w:val="0"/>
                <w:numId w:val="38"/>
              </w:numPr>
              <w:ind w:left="1134" w:hanging="567"/>
              <w:rPr>
                <w:bCs/>
              </w:rPr>
            </w:pPr>
            <w:r w:rsidRPr="0028514E">
              <w:t>Hävitä täysi jäteastia terveydenhuollon ammattilaisen tai apteekkihenkilökunnan antamien ohjeiden mukaisesti</w:t>
            </w:r>
            <w:r w:rsidR="009002B3">
              <w:t>.</w:t>
            </w:r>
            <w:r>
              <w:t xml:space="preserve"> Jos sinulla ei ole </w:t>
            </w:r>
            <w:r>
              <w:rPr>
                <w:color w:val="231F20"/>
              </w:rPr>
              <w:t>pistävälle ja viiltävälle jätteelle tarkoitettua astiaa</w:t>
            </w:r>
            <w:r>
              <w:t>, voit käyttää jotakin muuta suljettavaa ja pistonkestävää astiaa</w:t>
            </w:r>
            <w:r w:rsidRPr="00AE0BB5">
              <w:t>.</w:t>
            </w:r>
            <w:r>
              <w:t xml:space="preserve"> Käyttämätön lääkevalmiste tai jäte on hävitettävä paikallisten vaatimusten mukaisesti.</w:t>
            </w:r>
          </w:p>
          <w:p w14:paraId="7EA81C6E" w14:textId="77777777" w:rsidR="00EF533A" w:rsidRPr="00B17C5B" w:rsidRDefault="00EF533A" w:rsidP="00940778"/>
        </w:tc>
      </w:tr>
      <w:tr w:rsidR="009C440C" w:rsidRPr="00ED6BAC" w14:paraId="6C56D008" w14:textId="77777777">
        <w:trPr>
          <w:cantSplit/>
        </w:trPr>
        <w:tc>
          <w:tcPr>
            <w:tcW w:w="9056" w:type="dxa"/>
            <w:gridSpan w:val="2"/>
          </w:tcPr>
          <w:p w14:paraId="48F4D855" w14:textId="69D2243F" w:rsidR="00EF533A" w:rsidRDefault="00430EB8">
            <w:pPr>
              <w:pStyle w:val="a4"/>
              <w:widowControl w:val="0"/>
              <w:numPr>
                <w:ilvl w:val="0"/>
                <w:numId w:val="68"/>
              </w:numPr>
              <w:ind w:left="567" w:hanging="567"/>
              <w:rPr>
                <w:b/>
              </w:rPr>
            </w:pPr>
            <w:r>
              <w:rPr>
                <w:b/>
              </w:rPr>
              <w:t>Pistoksen kirjaaminen</w:t>
            </w:r>
            <w:r w:rsidR="00EF533A">
              <w:rPr>
                <w:b/>
              </w:rPr>
              <w:t>.</w:t>
            </w:r>
          </w:p>
          <w:p w14:paraId="741C0101" w14:textId="77777777" w:rsidR="00EF533A" w:rsidRDefault="00EF533A">
            <w:pPr>
              <w:pStyle w:val="Default"/>
              <w:ind w:left="567" w:hanging="567"/>
              <w:rPr>
                <w:rFonts w:ascii="Times New Roman" w:hAnsi="Times New Roman" w:cs="Times New Roman"/>
                <w:sz w:val="22"/>
                <w:szCs w:val="22"/>
              </w:rPr>
            </w:pPr>
          </w:p>
          <w:p w14:paraId="715F722E" w14:textId="6D711FAC" w:rsidR="00EF533A" w:rsidRPr="00B17C5B" w:rsidRDefault="00430EB8" w:rsidP="00A34179">
            <w:pPr>
              <w:pStyle w:val="a4"/>
              <w:widowControl w:val="0"/>
              <w:numPr>
                <w:ilvl w:val="0"/>
                <w:numId w:val="67"/>
              </w:numPr>
              <w:ind w:left="567" w:hanging="567"/>
            </w:pPr>
            <w:r w:rsidRPr="00DD20FB">
              <w:t>Kirjoita muistiin pistoksen päivämäärä, kellonaika ja pistoskohta</w:t>
            </w:r>
            <w:r w:rsidR="00EF533A">
              <w:rPr>
                <w:bCs/>
              </w:rPr>
              <w:t>.</w:t>
            </w:r>
          </w:p>
          <w:p w14:paraId="75AC416C" w14:textId="77777777" w:rsidR="00EF533A" w:rsidRPr="00CA43F5" w:rsidRDefault="00EF533A" w:rsidP="00940778">
            <w:pPr>
              <w:rPr>
                <w:lang w:val="fi-FI"/>
              </w:rPr>
            </w:pPr>
          </w:p>
        </w:tc>
      </w:tr>
    </w:tbl>
    <w:p w14:paraId="5977B03A" w14:textId="77777777" w:rsidR="00EF533A" w:rsidRPr="00CA43F5" w:rsidRDefault="00EF533A" w:rsidP="00EF533A">
      <w:pPr>
        <w:rPr>
          <w:lang w:val="fi-FI"/>
        </w:rPr>
      </w:pPr>
    </w:p>
    <w:p w14:paraId="31344202" w14:textId="4DE78D73" w:rsidR="00EF533A" w:rsidRPr="00CA43F5" w:rsidRDefault="00EF533A" w:rsidP="000C0EDF">
      <w:pPr>
        <w:tabs>
          <w:tab w:val="left" w:pos="567"/>
        </w:tabs>
        <w:rPr>
          <w:bCs/>
          <w:lang w:val="fi-FI" w:eastAsia="ko-KR"/>
        </w:rPr>
      </w:pPr>
    </w:p>
    <w:p w14:paraId="22FA5FF3" w14:textId="767323AB" w:rsidR="003B7027" w:rsidRPr="00237A3E" w:rsidRDefault="003B7027" w:rsidP="00237A3E">
      <w:pPr>
        <w:widowControl w:val="0"/>
        <w:autoSpaceDE w:val="0"/>
        <w:autoSpaceDN w:val="0"/>
        <w:rPr>
          <w:b/>
          <w:lang w:val="fi-FI"/>
        </w:rPr>
      </w:pPr>
    </w:p>
    <w:sectPr w:rsidR="003B7027" w:rsidRPr="00237A3E" w:rsidSect="00296A74">
      <w:footerReference w:type="default" r:id="rId48"/>
      <w:pgSz w:w="11910" w:h="16838"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2242A" w14:textId="77777777" w:rsidR="008110A0" w:rsidRDefault="008110A0">
      <w:r>
        <w:separator/>
      </w:r>
    </w:p>
    <w:p w14:paraId="18020806" w14:textId="77777777" w:rsidR="008110A0" w:rsidRDefault="008110A0"/>
  </w:endnote>
  <w:endnote w:type="continuationSeparator" w:id="0">
    <w:p w14:paraId="4438E81E" w14:textId="77777777" w:rsidR="008110A0" w:rsidRDefault="008110A0">
      <w:r>
        <w:continuationSeparator/>
      </w:r>
    </w:p>
    <w:p w14:paraId="562DAC46" w14:textId="77777777" w:rsidR="008110A0" w:rsidRDefault="008110A0"/>
  </w:endnote>
  <w:endnote w:type="continuationNotice" w:id="1">
    <w:p w14:paraId="23B1FD6F" w14:textId="77777777" w:rsidR="008110A0" w:rsidRDefault="008110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새굴림">
    <w:panose1 w:val="02030600000101010101"/>
    <w:charset w:val="81"/>
    <w:family w:val="roman"/>
    <w:pitch w:val="variable"/>
    <w:sig w:usb0="B00002AF" w:usb1="7B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04C55" w14:textId="5BE5BCEB" w:rsidR="00431D9F" w:rsidRDefault="00431D9F" w:rsidP="00431D9F">
    <w:pPr>
      <w:spacing w:before="15"/>
      <w:ind w:left="60"/>
      <w:jc w:val="center"/>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0E459A">
      <w:rPr>
        <w:rFonts w:ascii="Arial"/>
        <w:noProof/>
        <w:spacing w:val="-5"/>
        <w:sz w:val="16"/>
      </w:rPr>
      <w:t>108</w:t>
    </w:r>
    <w:r>
      <w:rPr>
        <w:rFonts w:ascii="Arial"/>
        <w:spacing w:val="-5"/>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ABB90" w14:textId="77777777" w:rsidR="008110A0" w:rsidRDefault="008110A0">
      <w:r>
        <w:separator/>
      </w:r>
    </w:p>
    <w:p w14:paraId="322A85D7" w14:textId="77777777" w:rsidR="008110A0" w:rsidRDefault="008110A0"/>
  </w:footnote>
  <w:footnote w:type="continuationSeparator" w:id="0">
    <w:p w14:paraId="2A56D5DE" w14:textId="77777777" w:rsidR="008110A0" w:rsidRDefault="008110A0">
      <w:r>
        <w:continuationSeparator/>
      </w:r>
    </w:p>
    <w:p w14:paraId="6057773E" w14:textId="77777777" w:rsidR="008110A0" w:rsidRDefault="008110A0"/>
  </w:footnote>
  <w:footnote w:type="continuationNotice" w:id="1">
    <w:p w14:paraId="40A86F0C" w14:textId="77777777" w:rsidR="008110A0" w:rsidRDefault="008110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20D8"/>
    <w:multiLevelType w:val="hybridMultilevel"/>
    <w:tmpl w:val="4A8656F4"/>
    <w:lvl w:ilvl="0" w:tplc="245C2514">
      <w:start w:val="1"/>
      <w:numFmt w:val="decimal"/>
      <w:lvlText w:val="%1."/>
      <w:lvlJc w:val="left"/>
      <w:pPr>
        <w:ind w:left="1604" w:hanging="567"/>
      </w:pPr>
      <w:rPr>
        <w:rFonts w:ascii="Times New Roman" w:eastAsia="Times New Roman" w:hAnsi="Times New Roman" w:cs="Times New Roman" w:hint="default"/>
        <w:b/>
        <w:bCs/>
        <w:i w:val="0"/>
        <w:iCs w:val="0"/>
        <w:spacing w:val="0"/>
        <w:w w:val="100"/>
        <w:sz w:val="22"/>
        <w:szCs w:val="22"/>
        <w:lang w:val="fi-FI" w:eastAsia="en-US" w:bidi="ar-SA"/>
      </w:rPr>
    </w:lvl>
    <w:lvl w:ilvl="1" w:tplc="F24CFDEE">
      <w:numFmt w:val="bullet"/>
      <w:lvlText w:val=""/>
      <w:lvlJc w:val="left"/>
      <w:pPr>
        <w:ind w:left="1599" w:hanging="202"/>
      </w:pPr>
      <w:rPr>
        <w:rFonts w:ascii="Symbol" w:eastAsia="Symbol" w:hAnsi="Symbol" w:cs="Symbol" w:hint="default"/>
        <w:b w:val="0"/>
        <w:bCs w:val="0"/>
        <w:i w:val="0"/>
        <w:iCs w:val="0"/>
        <w:spacing w:val="0"/>
        <w:w w:val="100"/>
        <w:sz w:val="22"/>
        <w:szCs w:val="22"/>
        <w:lang w:val="fi-FI" w:eastAsia="en-US" w:bidi="ar-SA"/>
      </w:rPr>
    </w:lvl>
    <w:lvl w:ilvl="2" w:tplc="3FB22480">
      <w:numFmt w:val="bullet"/>
      <w:lvlText w:val="•"/>
      <w:lvlJc w:val="left"/>
      <w:pPr>
        <w:ind w:left="1760" w:hanging="202"/>
      </w:pPr>
      <w:rPr>
        <w:rFonts w:hint="default"/>
        <w:lang w:val="fi-FI" w:eastAsia="en-US" w:bidi="ar-SA"/>
      </w:rPr>
    </w:lvl>
    <w:lvl w:ilvl="3" w:tplc="C2001340">
      <w:numFmt w:val="bullet"/>
      <w:lvlText w:val="•"/>
      <w:lvlJc w:val="left"/>
      <w:pPr>
        <w:ind w:left="2943" w:hanging="202"/>
      </w:pPr>
      <w:rPr>
        <w:rFonts w:hint="default"/>
        <w:lang w:val="fi-FI" w:eastAsia="en-US" w:bidi="ar-SA"/>
      </w:rPr>
    </w:lvl>
    <w:lvl w:ilvl="4" w:tplc="037ACD22">
      <w:numFmt w:val="bullet"/>
      <w:lvlText w:val="•"/>
      <w:lvlJc w:val="left"/>
      <w:pPr>
        <w:ind w:left="4126" w:hanging="202"/>
      </w:pPr>
      <w:rPr>
        <w:rFonts w:hint="default"/>
        <w:lang w:val="fi-FI" w:eastAsia="en-US" w:bidi="ar-SA"/>
      </w:rPr>
    </w:lvl>
    <w:lvl w:ilvl="5" w:tplc="4280AD04">
      <w:numFmt w:val="bullet"/>
      <w:lvlText w:val="•"/>
      <w:lvlJc w:val="left"/>
      <w:pPr>
        <w:ind w:left="5309" w:hanging="202"/>
      </w:pPr>
      <w:rPr>
        <w:rFonts w:hint="default"/>
        <w:lang w:val="fi-FI" w:eastAsia="en-US" w:bidi="ar-SA"/>
      </w:rPr>
    </w:lvl>
    <w:lvl w:ilvl="6" w:tplc="12FE1F46">
      <w:numFmt w:val="bullet"/>
      <w:lvlText w:val="•"/>
      <w:lvlJc w:val="left"/>
      <w:pPr>
        <w:ind w:left="6493" w:hanging="202"/>
      </w:pPr>
      <w:rPr>
        <w:rFonts w:hint="default"/>
        <w:lang w:val="fi-FI" w:eastAsia="en-US" w:bidi="ar-SA"/>
      </w:rPr>
    </w:lvl>
    <w:lvl w:ilvl="7" w:tplc="26B0B6B8">
      <w:numFmt w:val="bullet"/>
      <w:lvlText w:val="•"/>
      <w:lvlJc w:val="left"/>
      <w:pPr>
        <w:ind w:left="7676" w:hanging="202"/>
      </w:pPr>
      <w:rPr>
        <w:rFonts w:hint="default"/>
        <w:lang w:val="fi-FI" w:eastAsia="en-US" w:bidi="ar-SA"/>
      </w:rPr>
    </w:lvl>
    <w:lvl w:ilvl="8" w:tplc="445E2112">
      <w:numFmt w:val="bullet"/>
      <w:lvlText w:val="•"/>
      <w:lvlJc w:val="left"/>
      <w:pPr>
        <w:ind w:left="8859" w:hanging="202"/>
      </w:pPr>
      <w:rPr>
        <w:rFonts w:hint="default"/>
        <w:lang w:val="fi-FI" w:eastAsia="en-US" w:bidi="ar-SA"/>
      </w:rPr>
    </w:lvl>
  </w:abstractNum>
  <w:abstractNum w:abstractNumId="1" w15:restartNumberingAfterBreak="0">
    <w:nsid w:val="045D1449"/>
    <w:multiLevelType w:val="hybridMultilevel"/>
    <w:tmpl w:val="EC90075C"/>
    <w:lvl w:ilvl="0" w:tplc="D534CBE4">
      <w:start w:val="1"/>
      <w:numFmt w:val="decimal"/>
      <w:lvlText w:val="%1."/>
      <w:lvlJc w:val="left"/>
      <w:pPr>
        <w:ind w:left="1604"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6824C2D4">
      <w:numFmt w:val="bullet"/>
      <w:lvlText w:val="•"/>
      <w:lvlJc w:val="left"/>
      <w:pPr>
        <w:ind w:left="2562" w:hanging="567"/>
      </w:pPr>
      <w:rPr>
        <w:rFonts w:hint="default"/>
        <w:lang w:val="fi-FI" w:eastAsia="en-US" w:bidi="ar-SA"/>
      </w:rPr>
    </w:lvl>
    <w:lvl w:ilvl="2" w:tplc="DBA297A6">
      <w:numFmt w:val="bullet"/>
      <w:lvlText w:val="•"/>
      <w:lvlJc w:val="left"/>
      <w:pPr>
        <w:ind w:left="3525" w:hanging="567"/>
      </w:pPr>
      <w:rPr>
        <w:rFonts w:hint="default"/>
        <w:lang w:val="fi-FI" w:eastAsia="en-US" w:bidi="ar-SA"/>
      </w:rPr>
    </w:lvl>
    <w:lvl w:ilvl="3" w:tplc="3B082952">
      <w:numFmt w:val="bullet"/>
      <w:lvlText w:val="•"/>
      <w:lvlJc w:val="left"/>
      <w:pPr>
        <w:ind w:left="4487" w:hanging="567"/>
      </w:pPr>
      <w:rPr>
        <w:rFonts w:hint="default"/>
        <w:lang w:val="fi-FI" w:eastAsia="en-US" w:bidi="ar-SA"/>
      </w:rPr>
    </w:lvl>
    <w:lvl w:ilvl="4" w:tplc="8B8A99A2">
      <w:numFmt w:val="bullet"/>
      <w:lvlText w:val="•"/>
      <w:lvlJc w:val="left"/>
      <w:pPr>
        <w:ind w:left="5450" w:hanging="567"/>
      </w:pPr>
      <w:rPr>
        <w:rFonts w:hint="default"/>
        <w:lang w:val="fi-FI" w:eastAsia="en-US" w:bidi="ar-SA"/>
      </w:rPr>
    </w:lvl>
    <w:lvl w:ilvl="5" w:tplc="696EF6DC">
      <w:numFmt w:val="bullet"/>
      <w:lvlText w:val="•"/>
      <w:lvlJc w:val="left"/>
      <w:pPr>
        <w:ind w:left="6413" w:hanging="567"/>
      </w:pPr>
      <w:rPr>
        <w:rFonts w:hint="default"/>
        <w:lang w:val="fi-FI" w:eastAsia="en-US" w:bidi="ar-SA"/>
      </w:rPr>
    </w:lvl>
    <w:lvl w:ilvl="6" w:tplc="1FEC2BFA">
      <w:numFmt w:val="bullet"/>
      <w:lvlText w:val="•"/>
      <w:lvlJc w:val="left"/>
      <w:pPr>
        <w:ind w:left="7375" w:hanging="567"/>
      </w:pPr>
      <w:rPr>
        <w:rFonts w:hint="default"/>
        <w:lang w:val="fi-FI" w:eastAsia="en-US" w:bidi="ar-SA"/>
      </w:rPr>
    </w:lvl>
    <w:lvl w:ilvl="7" w:tplc="7C4A9C52">
      <w:numFmt w:val="bullet"/>
      <w:lvlText w:val="•"/>
      <w:lvlJc w:val="left"/>
      <w:pPr>
        <w:ind w:left="8338" w:hanging="567"/>
      </w:pPr>
      <w:rPr>
        <w:rFonts w:hint="default"/>
        <w:lang w:val="fi-FI" w:eastAsia="en-US" w:bidi="ar-SA"/>
      </w:rPr>
    </w:lvl>
    <w:lvl w:ilvl="8" w:tplc="926238DC">
      <w:numFmt w:val="bullet"/>
      <w:lvlText w:val="•"/>
      <w:lvlJc w:val="left"/>
      <w:pPr>
        <w:ind w:left="9301" w:hanging="567"/>
      </w:pPr>
      <w:rPr>
        <w:rFonts w:hint="default"/>
        <w:lang w:val="fi-FI" w:eastAsia="en-US" w:bidi="ar-SA"/>
      </w:rPr>
    </w:lvl>
  </w:abstractNum>
  <w:abstractNum w:abstractNumId="2"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 w15:restartNumberingAfterBreak="0">
    <w:nsid w:val="09B80DDC"/>
    <w:multiLevelType w:val="hybridMultilevel"/>
    <w:tmpl w:val="BAD2AC5E"/>
    <w:lvl w:ilvl="0" w:tplc="424834AC">
      <w:numFmt w:val="bullet"/>
      <w:lvlText w:val="●"/>
      <w:lvlJc w:val="left"/>
      <w:pPr>
        <w:ind w:left="1600" w:hanging="562"/>
      </w:pPr>
      <w:rPr>
        <w:rFonts w:ascii="Times New Roman" w:eastAsia="Times New Roman" w:hAnsi="Times New Roman" w:cs="Times New Roman" w:hint="default"/>
        <w:b w:val="0"/>
        <w:bCs w:val="0"/>
        <w:i w:val="0"/>
        <w:iCs w:val="0"/>
        <w:spacing w:val="0"/>
        <w:w w:val="100"/>
        <w:sz w:val="22"/>
        <w:szCs w:val="22"/>
        <w:lang w:val="fi-FI" w:eastAsia="en-US" w:bidi="ar-SA"/>
      </w:rPr>
    </w:lvl>
    <w:lvl w:ilvl="1" w:tplc="F3E8B73A">
      <w:numFmt w:val="bullet"/>
      <w:lvlText w:val="•"/>
      <w:lvlJc w:val="left"/>
      <w:pPr>
        <w:ind w:left="2562" w:hanging="562"/>
      </w:pPr>
      <w:rPr>
        <w:rFonts w:hint="default"/>
        <w:lang w:val="fi-FI" w:eastAsia="en-US" w:bidi="ar-SA"/>
      </w:rPr>
    </w:lvl>
    <w:lvl w:ilvl="2" w:tplc="C7DA68AE">
      <w:numFmt w:val="bullet"/>
      <w:lvlText w:val="•"/>
      <w:lvlJc w:val="left"/>
      <w:pPr>
        <w:ind w:left="3525" w:hanging="562"/>
      </w:pPr>
      <w:rPr>
        <w:rFonts w:hint="default"/>
        <w:lang w:val="fi-FI" w:eastAsia="en-US" w:bidi="ar-SA"/>
      </w:rPr>
    </w:lvl>
    <w:lvl w:ilvl="3" w:tplc="584E2540">
      <w:numFmt w:val="bullet"/>
      <w:lvlText w:val="•"/>
      <w:lvlJc w:val="left"/>
      <w:pPr>
        <w:ind w:left="4487" w:hanging="562"/>
      </w:pPr>
      <w:rPr>
        <w:rFonts w:hint="default"/>
        <w:lang w:val="fi-FI" w:eastAsia="en-US" w:bidi="ar-SA"/>
      </w:rPr>
    </w:lvl>
    <w:lvl w:ilvl="4" w:tplc="49E423D0">
      <w:numFmt w:val="bullet"/>
      <w:lvlText w:val="•"/>
      <w:lvlJc w:val="left"/>
      <w:pPr>
        <w:ind w:left="5450" w:hanging="562"/>
      </w:pPr>
      <w:rPr>
        <w:rFonts w:hint="default"/>
        <w:lang w:val="fi-FI" w:eastAsia="en-US" w:bidi="ar-SA"/>
      </w:rPr>
    </w:lvl>
    <w:lvl w:ilvl="5" w:tplc="5FACCEB8">
      <w:numFmt w:val="bullet"/>
      <w:lvlText w:val="•"/>
      <w:lvlJc w:val="left"/>
      <w:pPr>
        <w:ind w:left="6413" w:hanging="562"/>
      </w:pPr>
      <w:rPr>
        <w:rFonts w:hint="default"/>
        <w:lang w:val="fi-FI" w:eastAsia="en-US" w:bidi="ar-SA"/>
      </w:rPr>
    </w:lvl>
    <w:lvl w:ilvl="6" w:tplc="EC843794">
      <w:numFmt w:val="bullet"/>
      <w:lvlText w:val="•"/>
      <w:lvlJc w:val="left"/>
      <w:pPr>
        <w:ind w:left="7375" w:hanging="562"/>
      </w:pPr>
      <w:rPr>
        <w:rFonts w:hint="default"/>
        <w:lang w:val="fi-FI" w:eastAsia="en-US" w:bidi="ar-SA"/>
      </w:rPr>
    </w:lvl>
    <w:lvl w:ilvl="7" w:tplc="A280707C">
      <w:numFmt w:val="bullet"/>
      <w:lvlText w:val="•"/>
      <w:lvlJc w:val="left"/>
      <w:pPr>
        <w:ind w:left="8338" w:hanging="562"/>
      </w:pPr>
      <w:rPr>
        <w:rFonts w:hint="default"/>
        <w:lang w:val="fi-FI" w:eastAsia="en-US" w:bidi="ar-SA"/>
      </w:rPr>
    </w:lvl>
    <w:lvl w:ilvl="8" w:tplc="A5482F64">
      <w:numFmt w:val="bullet"/>
      <w:lvlText w:val="•"/>
      <w:lvlJc w:val="left"/>
      <w:pPr>
        <w:ind w:left="9301" w:hanging="562"/>
      </w:pPr>
      <w:rPr>
        <w:rFonts w:hint="default"/>
        <w:lang w:val="fi-FI" w:eastAsia="en-US" w:bidi="ar-SA"/>
      </w:rPr>
    </w:lvl>
  </w:abstractNum>
  <w:abstractNum w:abstractNumId="4"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0A1E4138"/>
    <w:multiLevelType w:val="hybridMultilevel"/>
    <w:tmpl w:val="89FCE858"/>
    <w:lvl w:ilvl="0" w:tplc="2D128DE2">
      <w:start w:val="1"/>
      <w:numFmt w:val="decimal"/>
      <w:lvlText w:val="%1."/>
      <w:lvlJc w:val="left"/>
      <w:pPr>
        <w:ind w:left="1604" w:hanging="567"/>
      </w:pPr>
      <w:rPr>
        <w:rFonts w:ascii="Times New Roman" w:eastAsia="Times New Roman" w:hAnsi="Times New Roman" w:cs="Times New Roman" w:hint="default"/>
        <w:b/>
        <w:bCs/>
        <w:i w:val="0"/>
        <w:iCs w:val="0"/>
        <w:spacing w:val="0"/>
        <w:w w:val="100"/>
        <w:sz w:val="22"/>
        <w:szCs w:val="22"/>
        <w:lang w:val="fi-FI" w:eastAsia="en-US" w:bidi="ar-SA"/>
      </w:rPr>
    </w:lvl>
    <w:lvl w:ilvl="1" w:tplc="A2FAE298">
      <w:numFmt w:val="bullet"/>
      <w:lvlText w:val=""/>
      <w:lvlJc w:val="left"/>
      <w:pPr>
        <w:ind w:left="1604" w:hanging="567"/>
      </w:pPr>
      <w:rPr>
        <w:rFonts w:ascii="Symbol" w:eastAsia="Symbol" w:hAnsi="Symbol" w:cs="Symbol" w:hint="default"/>
        <w:spacing w:val="0"/>
        <w:w w:val="100"/>
        <w:lang w:val="fi-FI" w:eastAsia="en-US" w:bidi="ar-SA"/>
      </w:rPr>
    </w:lvl>
    <w:lvl w:ilvl="2" w:tplc="61F6B864">
      <w:numFmt w:val="bullet"/>
      <w:lvlText w:val="•"/>
      <w:lvlJc w:val="left"/>
      <w:pPr>
        <w:ind w:left="2669" w:hanging="567"/>
      </w:pPr>
      <w:rPr>
        <w:rFonts w:hint="default"/>
        <w:lang w:val="fi-FI" w:eastAsia="en-US" w:bidi="ar-SA"/>
      </w:rPr>
    </w:lvl>
    <w:lvl w:ilvl="3" w:tplc="56707382">
      <w:numFmt w:val="bullet"/>
      <w:lvlText w:val="•"/>
      <w:lvlJc w:val="left"/>
      <w:pPr>
        <w:ind w:left="3739" w:hanging="567"/>
      </w:pPr>
      <w:rPr>
        <w:rFonts w:hint="default"/>
        <w:lang w:val="fi-FI" w:eastAsia="en-US" w:bidi="ar-SA"/>
      </w:rPr>
    </w:lvl>
    <w:lvl w:ilvl="4" w:tplc="B5947A4E">
      <w:numFmt w:val="bullet"/>
      <w:lvlText w:val="•"/>
      <w:lvlJc w:val="left"/>
      <w:pPr>
        <w:ind w:left="4808" w:hanging="567"/>
      </w:pPr>
      <w:rPr>
        <w:rFonts w:hint="default"/>
        <w:lang w:val="fi-FI" w:eastAsia="en-US" w:bidi="ar-SA"/>
      </w:rPr>
    </w:lvl>
    <w:lvl w:ilvl="5" w:tplc="994A512A">
      <w:numFmt w:val="bullet"/>
      <w:lvlText w:val="•"/>
      <w:lvlJc w:val="left"/>
      <w:pPr>
        <w:ind w:left="5878" w:hanging="567"/>
      </w:pPr>
      <w:rPr>
        <w:rFonts w:hint="default"/>
        <w:lang w:val="fi-FI" w:eastAsia="en-US" w:bidi="ar-SA"/>
      </w:rPr>
    </w:lvl>
    <w:lvl w:ilvl="6" w:tplc="40AA0C66">
      <w:numFmt w:val="bullet"/>
      <w:lvlText w:val="•"/>
      <w:lvlJc w:val="left"/>
      <w:pPr>
        <w:ind w:left="6948" w:hanging="567"/>
      </w:pPr>
      <w:rPr>
        <w:rFonts w:hint="default"/>
        <w:lang w:val="fi-FI" w:eastAsia="en-US" w:bidi="ar-SA"/>
      </w:rPr>
    </w:lvl>
    <w:lvl w:ilvl="7" w:tplc="0060CFCC">
      <w:numFmt w:val="bullet"/>
      <w:lvlText w:val="•"/>
      <w:lvlJc w:val="left"/>
      <w:pPr>
        <w:ind w:left="8017" w:hanging="567"/>
      </w:pPr>
      <w:rPr>
        <w:rFonts w:hint="default"/>
        <w:lang w:val="fi-FI" w:eastAsia="en-US" w:bidi="ar-SA"/>
      </w:rPr>
    </w:lvl>
    <w:lvl w:ilvl="8" w:tplc="63C4C222">
      <w:numFmt w:val="bullet"/>
      <w:lvlText w:val="•"/>
      <w:lvlJc w:val="left"/>
      <w:pPr>
        <w:ind w:left="9087" w:hanging="567"/>
      </w:pPr>
      <w:rPr>
        <w:rFonts w:hint="default"/>
        <w:lang w:val="fi-FI" w:eastAsia="en-US" w:bidi="ar-SA"/>
      </w:rPr>
    </w:lvl>
  </w:abstractNum>
  <w:abstractNum w:abstractNumId="6" w15:restartNumberingAfterBreak="0">
    <w:nsid w:val="0C9E3498"/>
    <w:multiLevelType w:val="hybridMultilevel"/>
    <w:tmpl w:val="AC4094FA"/>
    <w:lvl w:ilvl="0" w:tplc="B1DE0C32">
      <w:start w:val="1"/>
      <w:numFmt w:val="decimal"/>
      <w:lvlText w:val="%1."/>
      <w:lvlJc w:val="left"/>
      <w:pPr>
        <w:ind w:left="1604"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2CF64120">
      <w:numFmt w:val="bullet"/>
      <w:lvlText w:val="•"/>
      <w:lvlJc w:val="left"/>
      <w:pPr>
        <w:ind w:left="2562" w:hanging="567"/>
      </w:pPr>
      <w:rPr>
        <w:rFonts w:hint="default"/>
        <w:lang w:val="fi-FI" w:eastAsia="en-US" w:bidi="ar-SA"/>
      </w:rPr>
    </w:lvl>
    <w:lvl w:ilvl="2" w:tplc="F8183776">
      <w:numFmt w:val="bullet"/>
      <w:lvlText w:val="•"/>
      <w:lvlJc w:val="left"/>
      <w:pPr>
        <w:ind w:left="3525" w:hanging="567"/>
      </w:pPr>
      <w:rPr>
        <w:rFonts w:hint="default"/>
        <w:lang w:val="fi-FI" w:eastAsia="en-US" w:bidi="ar-SA"/>
      </w:rPr>
    </w:lvl>
    <w:lvl w:ilvl="3" w:tplc="374CBEEC">
      <w:numFmt w:val="bullet"/>
      <w:lvlText w:val="•"/>
      <w:lvlJc w:val="left"/>
      <w:pPr>
        <w:ind w:left="4487" w:hanging="567"/>
      </w:pPr>
      <w:rPr>
        <w:rFonts w:hint="default"/>
        <w:lang w:val="fi-FI" w:eastAsia="en-US" w:bidi="ar-SA"/>
      </w:rPr>
    </w:lvl>
    <w:lvl w:ilvl="4" w:tplc="E5989FEC">
      <w:numFmt w:val="bullet"/>
      <w:lvlText w:val="•"/>
      <w:lvlJc w:val="left"/>
      <w:pPr>
        <w:ind w:left="5450" w:hanging="567"/>
      </w:pPr>
      <w:rPr>
        <w:rFonts w:hint="default"/>
        <w:lang w:val="fi-FI" w:eastAsia="en-US" w:bidi="ar-SA"/>
      </w:rPr>
    </w:lvl>
    <w:lvl w:ilvl="5" w:tplc="BCEA05B2">
      <w:numFmt w:val="bullet"/>
      <w:lvlText w:val="•"/>
      <w:lvlJc w:val="left"/>
      <w:pPr>
        <w:ind w:left="6413" w:hanging="567"/>
      </w:pPr>
      <w:rPr>
        <w:rFonts w:hint="default"/>
        <w:lang w:val="fi-FI" w:eastAsia="en-US" w:bidi="ar-SA"/>
      </w:rPr>
    </w:lvl>
    <w:lvl w:ilvl="6" w:tplc="C198A0D4">
      <w:numFmt w:val="bullet"/>
      <w:lvlText w:val="•"/>
      <w:lvlJc w:val="left"/>
      <w:pPr>
        <w:ind w:left="7375" w:hanging="567"/>
      </w:pPr>
      <w:rPr>
        <w:rFonts w:hint="default"/>
        <w:lang w:val="fi-FI" w:eastAsia="en-US" w:bidi="ar-SA"/>
      </w:rPr>
    </w:lvl>
    <w:lvl w:ilvl="7" w:tplc="80C814BC">
      <w:numFmt w:val="bullet"/>
      <w:lvlText w:val="•"/>
      <w:lvlJc w:val="left"/>
      <w:pPr>
        <w:ind w:left="8338" w:hanging="567"/>
      </w:pPr>
      <w:rPr>
        <w:rFonts w:hint="default"/>
        <w:lang w:val="fi-FI" w:eastAsia="en-US" w:bidi="ar-SA"/>
      </w:rPr>
    </w:lvl>
    <w:lvl w:ilvl="8" w:tplc="F83A7A50">
      <w:numFmt w:val="bullet"/>
      <w:lvlText w:val="•"/>
      <w:lvlJc w:val="left"/>
      <w:pPr>
        <w:ind w:left="9301" w:hanging="567"/>
      </w:pPr>
      <w:rPr>
        <w:rFonts w:hint="default"/>
        <w:lang w:val="fi-FI" w:eastAsia="en-US" w:bidi="ar-SA"/>
      </w:rPr>
    </w:lvl>
  </w:abstractNum>
  <w:abstractNum w:abstractNumId="7"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 w15:restartNumberingAfterBreak="0">
    <w:nsid w:val="13090380"/>
    <w:multiLevelType w:val="hybridMultilevel"/>
    <w:tmpl w:val="FE06F460"/>
    <w:lvl w:ilvl="0" w:tplc="CDF49ED2">
      <w:numFmt w:val="bullet"/>
      <w:lvlText w:val=""/>
      <w:lvlJc w:val="left"/>
      <w:pPr>
        <w:ind w:left="1605" w:hanging="567"/>
      </w:pPr>
      <w:rPr>
        <w:rFonts w:ascii="Symbol" w:eastAsia="Symbol" w:hAnsi="Symbol" w:cs="Symbol" w:hint="default"/>
        <w:b w:val="0"/>
        <w:bCs w:val="0"/>
        <w:i w:val="0"/>
        <w:iCs w:val="0"/>
        <w:spacing w:val="0"/>
        <w:w w:val="100"/>
        <w:sz w:val="22"/>
        <w:szCs w:val="22"/>
        <w:lang w:val="fi-FI" w:eastAsia="en-US" w:bidi="ar-SA"/>
      </w:rPr>
    </w:lvl>
    <w:lvl w:ilvl="1" w:tplc="487E928E">
      <w:numFmt w:val="bullet"/>
      <w:lvlText w:val=""/>
      <w:lvlJc w:val="left"/>
      <w:pPr>
        <w:ind w:left="1627" w:hanging="284"/>
      </w:pPr>
      <w:rPr>
        <w:rFonts w:ascii="Symbol" w:eastAsia="Symbol" w:hAnsi="Symbol" w:cs="Symbol" w:hint="default"/>
        <w:b w:val="0"/>
        <w:bCs w:val="0"/>
        <w:i w:val="0"/>
        <w:iCs w:val="0"/>
        <w:spacing w:val="0"/>
        <w:w w:val="100"/>
        <w:sz w:val="22"/>
        <w:szCs w:val="22"/>
        <w:lang w:val="fi-FI" w:eastAsia="en-US" w:bidi="ar-SA"/>
      </w:rPr>
    </w:lvl>
    <w:lvl w:ilvl="2" w:tplc="BE8C7D8E">
      <w:numFmt w:val="bullet"/>
      <w:lvlText w:val=""/>
      <w:lvlJc w:val="left"/>
      <w:pPr>
        <w:ind w:left="2742" w:hanging="569"/>
      </w:pPr>
      <w:rPr>
        <w:rFonts w:ascii="Symbol" w:eastAsia="Symbol" w:hAnsi="Symbol" w:cs="Symbol" w:hint="default"/>
        <w:b w:val="0"/>
        <w:bCs w:val="0"/>
        <w:i w:val="0"/>
        <w:iCs w:val="0"/>
        <w:spacing w:val="0"/>
        <w:w w:val="100"/>
        <w:sz w:val="22"/>
        <w:szCs w:val="22"/>
        <w:lang w:val="fi-FI" w:eastAsia="en-US" w:bidi="ar-SA"/>
      </w:rPr>
    </w:lvl>
    <w:lvl w:ilvl="3" w:tplc="56BE135C">
      <w:numFmt w:val="bullet"/>
      <w:lvlText w:val="•"/>
      <w:lvlJc w:val="left"/>
      <w:pPr>
        <w:ind w:left="3800" w:hanging="569"/>
      </w:pPr>
      <w:rPr>
        <w:rFonts w:hint="default"/>
        <w:lang w:val="fi-FI" w:eastAsia="en-US" w:bidi="ar-SA"/>
      </w:rPr>
    </w:lvl>
    <w:lvl w:ilvl="4" w:tplc="2DA2E886">
      <w:numFmt w:val="bullet"/>
      <w:lvlText w:val="•"/>
      <w:lvlJc w:val="left"/>
      <w:pPr>
        <w:ind w:left="4861" w:hanging="569"/>
      </w:pPr>
      <w:rPr>
        <w:rFonts w:hint="default"/>
        <w:lang w:val="fi-FI" w:eastAsia="en-US" w:bidi="ar-SA"/>
      </w:rPr>
    </w:lvl>
    <w:lvl w:ilvl="5" w:tplc="E4260FA6">
      <w:numFmt w:val="bullet"/>
      <w:lvlText w:val="•"/>
      <w:lvlJc w:val="left"/>
      <w:pPr>
        <w:ind w:left="5922" w:hanging="569"/>
      </w:pPr>
      <w:rPr>
        <w:rFonts w:hint="default"/>
        <w:lang w:val="fi-FI" w:eastAsia="en-US" w:bidi="ar-SA"/>
      </w:rPr>
    </w:lvl>
    <w:lvl w:ilvl="6" w:tplc="921A703E">
      <w:numFmt w:val="bullet"/>
      <w:lvlText w:val="•"/>
      <w:lvlJc w:val="left"/>
      <w:pPr>
        <w:ind w:left="6983" w:hanging="569"/>
      </w:pPr>
      <w:rPr>
        <w:rFonts w:hint="default"/>
        <w:lang w:val="fi-FI" w:eastAsia="en-US" w:bidi="ar-SA"/>
      </w:rPr>
    </w:lvl>
    <w:lvl w:ilvl="7" w:tplc="75A4B974">
      <w:numFmt w:val="bullet"/>
      <w:lvlText w:val="•"/>
      <w:lvlJc w:val="left"/>
      <w:pPr>
        <w:ind w:left="8044" w:hanging="569"/>
      </w:pPr>
      <w:rPr>
        <w:rFonts w:hint="default"/>
        <w:lang w:val="fi-FI" w:eastAsia="en-US" w:bidi="ar-SA"/>
      </w:rPr>
    </w:lvl>
    <w:lvl w:ilvl="8" w:tplc="3AD0A468">
      <w:numFmt w:val="bullet"/>
      <w:lvlText w:val="•"/>
      <w:lvlJc w:val="left"/>
      <w:pPr>
        <w:ind w:left="9104" w:hanging="569"/>
      </w:pPr>
      <w:rPr>
        <w:rFonts w:hint="default"/>
        <w:lang w:val="fi-FI" w:eastAsia="en-US" w:bidi="ar-SA"/>
      </w:rPr>
    </w:lvl>
  </w:abstractNum>
  <w:abstractNum w:abstractNumId="9" w15:restartNumberingAfterBreak="0">
    <w:nsid w:val="15645503"/>
    <w:multiLevelType w:val="hybridMultilevel"/>
    <w:tmpl w:val="20E8E2C0"/>
    <w:lvl w:ilvl="0" w:tplc="71AAF886">
      <w:numFmt w:val="bullet"/>
      <w:lvlText w:val=""/>
      <w:lvlJc w:val="left"/>
      <w:pPr>
        <w:ind w:left="1429" w:hanging="207"/>
      </w:pPr>
      <w:rPr>
        <w:rFonts w:ascii="Symbol" w:eastAsia="Symbol" w:hAnsi="Symbol" w:cs="Symbol" w:hint="default"/>
        <w:b w:val="0"/>
        <w:bCs w:val="0"/>
        <w:i w:val="0"/>
        <w:iCs w:val="0"/>
        <w:spacing w:val="0"/>
        <w:w w:val="100"/>
        <w:sz w:val="22"/>
        <w:szCs w:val="22"/>
        <w:lang w:val="fi-FI" w:eastAsia="en-US" w:bidi="ar-SA"/>
      </w:rPr>
    </w:lvl>
    <w:lvl w:ilvl="1" w:tplc="DF5C5986">
      <w:numFmt w:val="bullet"/>
      <w:lvlText w:val="•"/>
      <w:lvlJc w:val="left"/>
      <w:pPr>
        <w:ind w:left="2400" w:hanging="207"/>
      </w:pPr>
      <w:rPr>
        <w:rFonts w:hint="default"/>
        <w:lang w:val="fi-FI" w:eastAsia="en-US" w:bidi="ar-SA"/>
      </w:rPr>
    </w:lvl>
    <w:lvl w:ilvl="2" w:tplc="043CB4E6">
      <w:numFmt w:val="bullet"/>
      <w:lvlText w:val="•"/>
      <w:lvlJc w:val="left"/>
      <w:pPr>
        <w:ind w:left="3381" w:hanging="207"/>
      </w:pPr>
      <w:rPr>
        <w:rFonts w:hint="default"/>
        <w:lang w:val="fi-FI" w:eastAsia="en-US" w:bidi="ar-SA"/>
      </w:rPr>
    </w:lvl>
    <w:lvl w:ilvl="3" w:tplc="82A09B58">
      <w:numFmt w:val="bullet"/>
      <w:lvlText w:val="•"/>
      <w:lvlJc w:val="left"/>
      <w:pPr>
        <w:ind w:left="4361" w:hanging="207"/>
      </w:pPr>
      <w:rPr>
        <w:rFonts w:hint="default"/>
        <w:lang w:val="fi-FI" w:eastAsia="en-US" w:bidi="ar-SA"/>
      </w:rPr>
    </w:lvl>
    <w:lvl w:ilvl="4" w:tplc="24BA64A0">
      <w:numFmt w:val="bullet"/>
      <w:lvlText w:val="•"/>
      <w:lvlJc w:val="left"/>
      <w:pPr>
        <w:ind w:left="5342" w:hanging="207"/>
      </w:pPr>
      <w:rPr>
        <w:rFonts w:hint="default"/>
        <w:lang w:val="fi-FI" w:eastAsia="en-US" w:bidi="ar-SA"/>
      </w:rPr>
    </w:lvl>
    <w:lvl w:ilvl="5" w:tplc="CFE89116">
      <w:numFmt w:val="bullet"/>
      <w:lvlText w:val="•"/>
      <w:lvlJc w:val="left"/>
      <w:pPr>
        <w:ind w:left="6323" w:hanging="207"/>
      </w:pPr>
      <w:rPr>
        <w:rFonts w:hint="default"/>
        <w:lang w:val="fi-FI" w:eastAsia="en-US" w:bidi="ar-SA"/>
      </w:rPr>
    </w:lvl>
    <w:lvl w:ilvl="6" w:tplc="7DFA70E8">
      <w:numFmt w:val="bullet"/>
      <w:lvlText w:val="•"/>
      <w:lvlJc w:val="left"/>
      <w:pPr>
        <w:ind w:left="7303" w:hanging="207"/>
      </w:pPr>
      <w:rPr>
        <w:rFonts w:hint="default"/>
        <w:lang w:val="fi-FI" w:eastAsia="en-US" w:bidi="ar-SA"/>
      </w:rPr>
    </w:lvl>
    <w:lvl w:ilvl="7" w:tplc="0F5EF116">
      <w:numFmt w:val="bullet"/>
      <w:lvlText w:val="•"/>
      <w:lvlJc w:val="left"/>
      <w:pPr>
        <w:ind w:left="8284" w:hanging="207"/>
      </w:pPr>
      <w:rPr>
        <w:rFonts w:hint="default"/>
        <w:lang w:val="fi-FI" w:eastAsia="en-US" w:bidi="ar-SA"/>
      </w:rPr>
    </w:lvl>
    <w:lvl w:ilvl="8" w:tplc="676AAA1C">
      <w:numFmt w:val="bullet"/>
      <w:lvlText w:val="•"/>
      <w:lvlJc w:val="left"/>
      <w:pPr>
        <w:ind w:left="9265" w:hanging="207"/>
      </w:pPr>
      <w:rPr>
        <w:rFonts w:hint="default"/>
        <w:lang w:val="fi-FI" w:eastAsia="en-US" w:bidi="ar-SA"/>
      </w:rPr>
    </w:lvl>
  </w:abstractNum>
  <w:abstractNum w:abstractNumId="10" w15:restartNumberingAfterBreak="0">
    <w:nsid w:val="18FE71C4"/>
    <w:multiLevelType w:val="hybridMultilevel"/>
    <w:tmpl w:val="891ED7F8"/>
    <w:lvl w:ilvl="0" w:tplc="D974CAE4">
      <w:start w:val="1"/>
      <w:numFmt w:val="decimal"/>
      <w:lvlText w:val="%1."/>
      <w:lvlJc w:val="left"/>
      <w:pPr>
        <w:ind w:left="1605"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0F826830">
      <w:numFmt w:val="bullet"/>
      <w:lvlText w:val="•"/>
      <w:lvlJc w:val="left"/>
      <w:pPr>
        <w:ind w:left="2562" w:hanging="567"/>
      </w:pPr>
      <w:rPr>
        <w:rFonts w:hint="default"/>
        <w:lang w:val="fi-FI" w:eastAsia="en-US" w:bidi="ar-SA"/>
      </w:rPr>
    </w:lvl>
    <w:lvl w:ilvl="2" w:tplc="73109A6A">
      <w:numFmt w:val="bullet"/>
      <w:lvlText w:val="•"/>
      <w:lvlJc w:val="left"/>
      <w:pPr>
        <w:ind w:left="3525" w:hanging="567"/>
      </w:pPr>
      <w:rPr>
        <w:rFonts w:hint="default"/>
        <w:lang w:val="fi-FI" w:eastAsia="en-US" w:bidi="ar-SA"/>
      </w:rPr>
    </w:lvl>
    <w:lvl w:ilvl="3" w:tplc="71289E78">
      <w:numFmt w:val="bullet"/>
      <w:lvlText w:val="•"/>
      <w:lvlJc w:val="left"/>
      <w:pPr>
        <w:ind w:left="4487" w:hanging="567"/>
      </w:pPr>
      <w:rPr>
        <w:rFonts w:hint="default"/>
        <w:lang w:val="fi-FI" w:eastAsia="en-US" w:bidi="ar-SA"/>
      </w:rPr>
    </w:lvl>
    <w:lvl w:ilvl="4" w:tplc="1332E4B2">
      <w:numFmt w:val="bullet"/>
      <w:lvlText w:val="•"/>
      <w:lvlJc w:val="left"/>
      <w:pPr>
        <w:ind w:left="5450" w:hanging="567"/>
      </w:pPr>
      <w:rPr>
        <w:rFonts w:hint="default"/>
        <w:lang w:val="fi-FI" w:eastAsia="en-US" w:bidi="ar-SA"/>
      </w:rPr>
    </w:lvl>
    <w:lvl w:ilvl="5" w:tplc="376A5D8C">
      <w:numFmt w:val="bullet"/>
      <w:lvlText w:val="•"/>
      <w:lvlJc w:val="left"/>
      <w:pPr>
        <w:ind w:left="6413" w:hanging="567"/>
      </w:pPr>
      <w:rPr>
        <w:rFonts w:hint="default"/>
        <w:lang w:val="fi-FI" w:eastAsia="en-US" w:bidi="ar-SA"/>
      </w:rPr>
    </w:lvl>
    <w:lvl w:ilvl="6" w:tplc="4586894C">
      <w:numFmt w:val="bullet"/>
      <w:lvlText w:val="•"/>
      <w:lvlJc w:val="left"/>
      <w:pPr>
        <w:ind w:left="7375" w:hanging="567"/>
      </w:pPr>
      <w:rPr>
        <w:rFonts w:hint="default"/>
        <w:lang w:val="fi-FI" w:eastAsia="en-US" w:bidi="ar-SA"/>
      </w:rPr>
    </w:lvl>
    <w:lvl w:ilvl="7" w:tplc="A2C6F06C">
      <w:numFmt w:val="bullet"/>
      <w:lvlText w:val="•"/>
      <w:lvlJc w:val="left"/>
      <w:pPr>
        <w:ind w:left="8338" w:hanging="567"/>
      </w:pPr>
      <w:rPr>
        <w:rFonts w:hint="default"/>
        <w:lang w:val="fi-FI" w:eastAsia="en-US" w:bidi="ar-SA"/>
      </w:rPr>
    </w:lvl>
    <w:lvl w:ilvl="8" w:tplc="03A8A8A8">
      <w:numFmt w:val="bullet"/>
      <w:lvlText w:val="•"/>
      <w:lvlJc w:val="left"/>
      <w:pPr>
        <w:ind w:left="9301" w:hanging="567"/>
      </w:pPr>
      <w:rPr>
        <w:rFonts w:hint="default"/>
        <w:lang w:val="fi-FI" w:eastAsia="en-US" w:bidi="ar-SA"/>
      </w:rPr>
    </w:lvl>
  </w:abstractNum>
  <w:abstractNum w:abstractNumId="11"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3"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4"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5"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16"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17" w15:restartNumberingAfterBreak="0">
    <w:nsid w:val="26B23D8C"/>
    <w:multiLevelType w:val="multilevel"/>
    <w:tmpl w:val="1A7A2484"/>
    <w:lvl w:ilvl="0">
      <w:start w:val="1"/>
      <w:numFmt w:val="decimal"/>
      <w:lvlText w:val="%1."/>
      <w:lvlJc w:val="left"/>
      <w:pPr>
        <w:ind w:left="1604" w:hanging="567"/>
      </w:pPr>
      <w:rPr>
        <w:rFonts w:ascii="Times New Roman" w:eastAsia="Times New Roman" w:hAnsi="Times New Roman" w:cs="Times New Roman" w:hint="default"/>
        <w:b/>
        <w:bCs/>
        <w:i w:val="0"/>
        <w:iCs w:val="0"/>
        <w:spacing w:val="0"/>
        <w:w w:val="100"/>
        <w:sz w:val="22"/>
        <w:szCs w:val="22"/>
        <w:lang w:val="fi-FI" w:eastAsia="en-US" w:bidi="ar-SA"/>
      </w:rPr>
    </w:lvl>
    <w:lvl w:ilvl="1">
      <w:start w:val="1"/>
      <w:numFmt w:val="decimal"/>
      <w:lvlText w:val="%1.%2"/>
      <w:lvlJc w:val="left"/>
      <w:pPr>
        <w:ind w:left="1604" w:hanging="567"/>
      </w:pPr>
      <w:rPr>
        <w:rFonts w:ascii="Times New Roman" w:eastAsia="Times New Roman" w:hAnsi="Times New Roman" w:cs="Times New Roman" w:hint="default"/>
        <w:b/>
        <w:bCs/>
        <w:i w:val="0"/>
        <w:iCs w:val="0"/>
        <w:spacing w:val="0"/>
        <w:w w:val="100"/>
        <w:sz w:val="22"/>
        <w:szCs w:val="22"/>
        <w:lang w:val="fi-FI" w:eastAsia="en-US" w:bidi="ar-SA"/>
      </w:rPr>
    </w:lvl>
    <w:lvl w:ilvl="2">
      <w:numFmt w:val="bullet"/>
      <w:lvlText w:val=""/>
      <w:lvlJc w:val="left"/>
      <w:pPr>
        <w:ind w:left="1890" w:hanging="286"/>
      </w:pPr>
      <w:rPr>
        <w:rFonts w:ascii="Symbol" w:eastAsia="Symbol" w:hAnsi="Symbol" w:cs="Symbol" w:hint="default"/>
        <w:b w:val="0"/>
        <w:bCs w:val="0"/>
        <w:i w:val="0"/>
        <w:iCs w:val="0"/>
        <w:spacing w:val="0"/>
        <w:w w:val="100"/>
        <w:sz w:val="22"/>
        <w:szCs w:val="22"/>
        <w:lang w:val="fi-FI" w:eastAsia="en-US" w:bidi="ar-SA"/>
      </w:rPr>
    </w:lvl>
    <w:lvl w:ilvl="3">
      <w:numFmt w:val="bullet"/>
      <w:lvlText w:val="•"/>
      <w:lvlJc w:val="left"/>
      <w:pPr>
        <w:ind w:left="3972" w:hanging="286"/>
      </w:pPr>
      <w:rPr>
        <w:rFonts w:hint="default"/>
        <w:lang w:val="fi-FI" w:eastAsia="en-US" w:bidi="ar-SA"/>
      </w:rPr>
    </w:lvl>
    <w:lvl w:ilvl="4">
      <w:numFmt w:val="bullet"/>
      <w:lvlText w:val="•"/>
      <w:lvlJc w:val="left"/>
      <w:pPr>
        <w:ind w:left="5008" w:hanging="286"/>
      </w:pPr>
      <w:rPr>
        <w:rFonts w:hint="default"/>
        <w:lang w:val="fi-FI" w:eastAsia="en-US" w:bidi="ar-SA"/>
      </w:rPr>
    </w:lvl>
    <w:lvl w:ilvl="5">
      <w:numFmt w:val="bullet"/>
      <w:lvlText w:val="•"/>
      <w:lvlJc w:val="left"/>
      <w:pPr>
        <w:ind w:left="6045" w:hanging="286"/>
      </w:pPr>
      <w:rPr>
        <w:rFonts w:hint="default"/>
        <w:lang w:val="fi-FI" w:eastAsia="en-US" w:bidi="ar-SA"/>
      </w:rPr>
    </w:lvl>
    <w:lvl w:ilvl="6">
      <w:numFmt w:val="bullet"/>
      <w:lvlText w:val="•"/>
      <w:lvlJc w:val="left"/>
      <w:pPr>
        <w:ind w:left="7081" w:hanging="286"/>
      </w:pPr>
      <w:rPr>
        <w:rFonts w:hint="default"/>
        <w:lang w:val="fi-FI" w:eastAsia="en-US" w:bidi="ar-SA"/>
      </w:rPr>
    </w:lvl>
    <w:lvl w:ilvl="7">
      <w:numFmt w:val="bullet"/>
      <w:lvlText w:val="•"/>
      <w:lvlJc w:val="left"/>
      <w:pPr>
        <w:ind w:left="8117" w:hanging="286"/>
      </w:pPr>
      <w:rPr>
        <w:rFonts w:hint="default"/>
        <w:lang w:val="fi-FI" w:eastAsia="en-US" w:bidi="ar-SA"/>
      </w:rPr>
    </w:lvl>
    <w:lvl w:ilvl="8">
      <w:numFmt w:val="bullet"/>
      <w:lvlText w:val="•"/>
      <w:lvlJc w:val="left"/>
      <w:pPr>
        <w:ind w:left="9153" w:hanging="286"/>
      </w:pPr>
      <w:rPr>
        <w:rFonts w:hint="default"/>
        <w:lang w:val="fi-FI" w:eastAsia="en-US" w:bidi="ar-SA"/>
      </w:rPr>
    </w:lvl>
  </w:abstractNum>
  <w:abstractNum w:abstractNumId="18" w15:restartNumberingAfterBreak="0">
    <w:nsid w:val="27C01FDF"/>
    <w:multiLevelType w:val="hybridMultilevel"/>
    <w:tmpl w:val="D8DCE7D0"/>
    <w:lvl w:ilvl="0" w:tplc="C71E4CDC">
      <w:numFmt w:val="bullet"/>
      <w:lvlText w:val=""/>
      <w:lvlJc w:val="left"/>
      <w:pPr>
        <w:ind w:left="1604" w:hanging="567"/>
      </w:pPr>
      <w:rPr>
        <w:rFonts w:ascii="Symbol" w:eastAsia="Symbol" w:hAnsi="Symbol" w:cs="Symbol" w:hint="default"/>
        <w:b w:val="0"/>
        <w:bCs w:val="0"/>
        <w:i w:val="0"/>
        <w:iCs w:val="0"/>
        <w:spacing w:val="0"/>
        <w:w w:val="100"/>
        <w:sz w:val="22"/>
        <w:szCs w:val="22"/>
        <w:lang w:val="fi-FI" w:eastAsia="en-US" w:bidi="ar-SA"/>
      </w:rPr>
    </w:lvl>
    <w:lvl w:ilvl="1" w:tplc="0DCEF3FE">
      <w:numFmt w:val="bullet"/>
      <w:lvlText w:val=""/>
      <w:lvlJc w:val="left"/>
      <w:pPr>
        <w:ind w:left="1751" w:hanging="356"/>
      </w:pPr>
      <w:rPr>
        <w:rFonts w:ascii="Symbol" w:eastAsia="Symbol" w:hAnsi="Symbol" w:cs="Symbol" w:hint="default"/>
        <w:b w:val="0"/>
        <w:bCs w:val="0"/>
        <w:i w:val="0"/>
        <w:iCs w:val="0"/>
        <w:spacing w:val="0"/>
        <w:w w:val="100"/>
        <w:sz w:val="22"/>
        <w:szCs w:val="22"/>
        <w:lang w:val="fi-FI" w:eastAsia="en-US" w:bidi="ar-SA"/>
      </w:rPr>
    </w:lvl>
    <w:lvl w:ilvl="2" w:tplc="F87E99BC">
      <w:numFmt w:val="bullet"/>
      <w:lvlText w:val="•"/>
      <w:lvlJc w:val="left"/>
      <w:pPr>
        <w:ind w:left="2811" w:hanging="356"/>
      </w:pPr>
      <w:rPr>
        <w:rFonts w:hint="default"/>
        <w:lang w:val="fi-FI" w:eastAsia="en-US" w:bidi="ar-SA"/>
      </w:rPr>
    </w:lvl>
    <w:lvl w:ilvl="3" w:tplc="5628D222">
      <w:numFmt w:val="bullet"/>
      <w:lvlText w:val="•"/>
      <w:lvlJc w:val="left"/>
      <w:pPr>
        <w:ind w:left="3863" w:hanging="356"/>
      </w:pPr>
      <w:rPr>
        <w:rFonts w:hint="default"/>
        <w:lang w:val="fi-FI" w:eastAsia="en-US" w:bidi="ar-SA"/>
      </w:rPr>
    </w:lvl>
    <w:lvl w:ilvl="4" w:tplc="01580154">
      <w:numFmt w:val="bullet"/>
      <w:lvlText w:val="•"/>
      <w:lvlJc w:val="left"/>
      <w:pPr>
        <w:ind w:left="4915" w:hanging="356"/>
      </w:pPr>
      <w:rPr>
        <w:rFonts w:hint="default"/>
        <w:lang w:val="fi-FI" w:eastAsia="en-US" w:bidi="ar-SA"/>
      </w:rPr>
    </w:lvl>
    <w:lvl w:ilvl="5" w:tplc="3CBC5C82">
      <w:numFmt w:val="bullet"/>
      <w:lvlText w:val="•"/>
      <w:lvlJc w:val="left"/>
      <w:pPr>
        <w:ind w:left="5967" w:hanging="356"/>
      </w:pPr>
      <w:rPr>
        <w:rFonts w:hint="default"/>
        <w:lang w:val="fi-FI" w:eastAsia="en-US" w:bidi="ar-SA"/>
      </w:rPr>
    </w:lvl>
    <w:lvl w:ilvl="6" w:tplc="727A1FB4">
      <w:numFmt w:val="bullet"/>
      <w:lvlText w:val="•"/>
      <w:lvlJc w:val="left"/>
      <w:pPr>
        <w:ind w:left="7019" w:hanging="356"/>
      </w:pPr>
      <w:rPr>
        <w:rFonts w:hint="default"/>
        <w:lang w:val="fi-FI" w:eastAsia="en-US" w:bidi="ar-SA"/>
      </w:rPr>
    </w:lvl>
    <w:lvl w:ilvl="7" w:tplc="BA20DA64">
      <w:numFmt w:val="bullet"/>
      <w:lvlText w:val="•"/>
      <w:lvlJc w:val="left"/>
      <w:pPr>
        <w:ind w:left="8070" w:hanging="356"/>
      </w:pPr>
      <w:rPr>
        <w:rFonts w:hint="default"/>
        <w:lang w:val="fi-FI" w:eastAsia="en-US" w:bidi="ar-SA"/>
      </w:rPr>
    </w:lvl>
    <w:lvl w:ilvl="8" w:tplc="C41A8F72">
      <w:numFmt w:val="bullet"/>
      <w:lvlText w:val="•"/>
      <w:lvlJc w:val="left"/>
      <w:pPr>
        <w:ind w:left="9122" w:hanging="356"/>
      </w:pPr>
      <w:rPr>
        <w:rFonts w:hint="default"/>
        <w:lang w:val="fi-FI" w:eastAsia="en-US" w:bidi="ar-SA"/>
      </w:rPr>
    </w:lvl>
  </w:abstractNum>
  <w:abstractNum w:abstractNumId="19"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20"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21" w15:restartNumberingAfterBreak="0">
    <w:nsid w:val="29765AB1"/>
    <w:multiLevelType w:val="hybridMultilevel"/>
    <w:tmpl w:val="E47AAFFC"/>
    <w:lvl w:ilvl="0" w:tplc="E7CAC9AA">
      <w:numFmt w:val="bullet"/>
      <w:lvlText w:val=""/>
      <w:lvlJc w:val="left"/>
      <w:pPr>
        <w:ind w:left="1578" w:hanging="207"/>
      </w:pPr>
      <w:rPr>
        <w:rFonts w:ascii="Symbol" w:eastAsia="Symbol" w:hAnsi="Symbol" w:cs="Symbol" w:hint="default"/>
        <w:b w:val="0"/>
        <w:bCs w:val="0"/>
        <w:i w:val="0"/>
        <w:iCs w:val="0"/>
        <w:spacing w:val="0"/>
        <w:w w:val="100"/>
        <w:sz w:val="22"/>
        <w:szCs w:val="22"/>
        <w:lang w:val="fi-FI" w:eastAsia="en-US" w:bidi="ar-SA"/>
      </w:rPr>
    </w:lvl>
    <w:lvl w:ilvl="1" w:tplc="3500A4B8">
      <w:numFmt w:val="bullet"/>
      <w:lvlText w:val="•"/>
      <w:lvlJc w:val="left"/>
      <w:pPr>
        <w:ind w:left="2544" w:hanging="207"/>
      </w:pPr>
      <w:rPr>
        <w:rFonts w:hint="default"/>
        <w:lang w:val="fi-FI" w:eastAsia="en-US" w:bidi="ar-SA"/>
      </w:rPr>
    </w:lvl>
    <w:lvl w:ilvl="2" w:tplc="C18CB872">
      <w:numFmt w:val="bullet"/>
      <w:lvlText w:val="•"/>
      <w:lvlJc w:val="left"/>
      <w:pPr>
        <w:ind w:left="3509" w:hanging="207"/>
      </w:pPr>
      <w:rPr>
        <w:rFonts w:hint="default"/>
        <w:lang w:val="fi-FI" w:eastAsia="en-US" w:bidi="ar-SA"/>
      </w:rPr>
    </w:lvl>
    <w:lvl w:ilvl="3" w:tplc="62DC014E">
      <w:numFmt w:val="bullet"/>
      <w:lvlText w:val="•"/>
      <w:lvlJc w:val="left"/>
      <w:pPr>
        <w:ind w:left="4473" w:hanging="207"/>
      </w:pPr>
      <w:rPr>
        <w:rFonts w:hint="default"/>
        <w:lang w:val="fi-FI" w:eastAsia="en-US" w:bidi="ar-SA"/>
      </w:rPr>
    </w:lvl>
    <w:lvl w:ilvl="4" w:tplc="8CA4D332">
      <w:numFmt w:val="bullet"/>
      <w:lvlText w:val="•"/>
      <w:lvlJc w:val="left"/>
      <w:pPr>
        <w:ind w:left="5438" w:hanging="207"/>
      </w:pPr>
      <w:rPr>
        <w:rFonts w:hint="default"/>
        <w:lang w:val="fi-FI" w:eastAsia="en-US" w:bidi="ar-SA"/>
      </w:rPr>
    </w:lvl>
    <w:lvl w:ilvl="5" w:tplc="E27E98D0">
      <w:numFmt w:val="bullet"/>
      <w:lvlText w:val="•"/>
      <w:lvlJc w:val="left"/>
      <w:pPr>
        <w:ind w:left="6403" w:hanging="207"/>
      </w:pPr>
      <w:rPr>
        <w:rFonts w:hint="default"/>
        <w:lang w:val="fi-FI" w:eastAsia="en-US" w:bidi="ar-SA"/>
      </w:rPr>
    </w:lvl>
    <w:lvl w:ilvl="6" w:tplc="068A5B16">
      <w:numFmt w:val="bullet"/>
      <w:lvlText w:val="•"/>
      <w:lvlJc w:val="left"/>
      <w:pPr>
        <w:ind w:left="7367" w:hanging="207"/>
      </w:pPr>
      <w:rPr>
        <w:rFonts w:hint="default"/>
        <w:lang w:val="fi-FI" w:eastAsia="en-US" w:bidi="ar-SA"/>
      </w:rPr>
    </w:lvl>
    <w:lvl w:ilvl="7" w:tplc="B7B2CE00">
      <w:numFmt w:val="bullet"/>
      <w:lvlText w:val="•"/>
      <w:lvlJc w:val="left"/>
      <w:pPr>
        <w:ind w:left="8332" w:hanging="207"/>
      </w:pPr>
      <w:rPr>
        <w:rFonts w:hint="default"/>
        <w:lang w:val="fi-FI" w:eastAsia="en-US" w:bidi="ar-SA"/>
      </w:rPr>
    </w:lvl>
    <w:lvl w:ilvl="8" w:tplc="950A1A86">
      <w:numFmt w:val="bullet"/>
      <w:lvlText w:val="•"/>
      <w:lvlJc w:val="left"/>
      <w:pPr>
        <w:ind w:left="9297" w:hanging="207"/>
      </w:pPr>
      <w:rPr>
        <w:rFonts w:hint="default"/>
        <w:lang w:val="fi-FI" w:eastAsia="en-US" w:bidi="ar-SA"/>
      </w:rPr>
    </w:lvl>
  </w:abstractNum>
  <w:abstractNum w:abstractNumId="22" w15:restartNumberingAfterBreak="0">
    <w:nsid w:val="2A83219D"/>
    <w:multiLevelType w:val="hybridMultilevel"/>
    <w:tmpl w:val="95A69BD0"/>
    <w:lvl w:ilvl="0" w:tplc="24788074">
      <w:start w:val="1"/>
      <w:numFmt w:val="decimal"/>
      <w:lvlText w:val="%1."/>
      <w:lvlJc w:val="left"/>
      <w:pPr>
        <w:ind w:left="1263" w:hanging="226"/>
      </w:pPr>
      <w:rPr>
        <w:rFonts w:ascii="Times New Roman" w:eastAsia="Times New Roman" w:hAnsi="Times New Roman" w:cs="Times New Roman" w:hint="default"/>
        <w:b w:val="0"/>
        <w:bCs w:val="0"/>
        <w:i w:val="0"/>
        <w:iCs w:val="0"/>
        <w:spacing w:val="0"/>
        <w:w w:val="100"/>
        <w:sz w:val="18"/>
        <w:szCs w:val="18"/>
        <w:lang w:val="fi-FI" w:eastAsia="en-US" w:bidi="ar-SA"/>
      </w:rPr>
    </w:lvl>
    <w:lvl w:ilvl="1" w:tplc="50D0C84E">
      <w:numFmt w:val="bullet"/>
      <w:lvlText w:val="•"/>
      <w:lvlJc w:val="left"/>
      <w:pPr>
        <w:ind w:left="2256" w:hanging="226"/>
      </w:pPr>
      <w:rPr>
        <w:rFonts w:hint="default"/>
        <w:lang w:val="fi-FI" w:eastAsia="en-US" w:bidi="ar-SA"/>
      </w:rPr>
    </w:lvl>
    <w:lvl w:ilvl="2" w:tplc="F6829452">
      <w:numFmt w:val="bullet"/>
      <w:lvlText w:val="•"/>
      <w:lvlJc w:val="left"/>
      <w:pPr>
        <w:ind w:left="3253" w:hanging="226"/>
      </w:pPr>
      <w:rPr>
        <w:rFonts w:hint="default"/>
        <w:lang w:val="fi-FI" w:eastAsia="en-US" w:bidi="ar-SA"/>
      </w:rPr>
    </w:lvl>
    <w:lvl w:ilvl="3" w:tplc="9190B0C2">
      <w:numFmt w:val="bullet"/>
      <w:lvlText w:val="•"/>
      <w:lvlJc w:val="left"/>
      <w:pPr>
        <w:ind w:left="4249" w:hanging="226"/>
      </w:pPr>
      <w:rPr>
        <w:rFonts w:hint="default"/>
        <w:lang w:val="fi-FI" w:eastAsia="en-US" w:bidi="ar-SA"/>
      </w:rPr>
    </w:lvl>
    <w:lvl w:ilvl="4" w:tplc="A9EAEFD0">
      <w:numFmt w:val="bullet"/>
      <w:lvlText w:val="•"/>
      <w:lvlJc w:val="left"/>
      <w:pPr>
        <w:ind w:left="5246" w:hanging="226"/>
      </w:pPr>
      <w:rPr>
        <w:rFonts w:hint="default"/>
        <w:lang w:val="fi-FI" w:eastAsia="en-US" w:bidi="ar-SA"/>
      </w:rPr>
    </w:lvl>
    <w:lvl w:ilvl="5" w:tplc="C0B8F168">
      <w:numFmt w:val="bullet"/>
      <w:lvlText w:val="•"/>
      <w:lvlJc w:val="left"/>
      <w:pPr>
        <w:ind w:left="6243" w:hanging="226"/>
      </w:pPr>
      <w:rPr>
        <w:rFonts w:hint="default"/>
        <w:lang w:val="fi-FI" w:eastAsia="en-US" w:bidi="ar-SA"/>
      </w:rPr>
    </w:lvl>
    <w:lvl w:ilvl="6" w:tplc="E66E97EC">
      <w:numFmt w:val="bullet"/>
      <w:lvlText w:val="•"/>
      <w:lvlJc w:val="left"/>
      <w:pPr>
        <w:ind w:left="7239" w:hanging="226"/>
      </w:pPr>
      <w:rPr>
        <w:rFonts w:hint="default"/>
        <w:lang w:val="fi-FI" w:eastAsia="en-US" w:bidi="ar-SA"/>
      </w:rPr>
    </w:lvl>
    <w:lvl w:ilvl="7" w:tplc="A2E83FAA">
      <w:numFmt w:val="bullet"/>
      <w:lvlText w:val="•"/>
      <w:lvlJc w:val="left"/>
      <w:pPr>
        <w:ind w:left="8236" w:hanging="226"/>
      </w:pPr>
      <w:rPr>
        <w:rFonts w:hint="default"/>
        <w:lang w:val="fi-FI" w:eastAsia="en-US" w:bidi="ar-SA"/>
      </w:rPr>
    </w:lvl>
    <w:lvl w:ilvl="8" w:tplc="B4AA68FC">
      <w:numFmt w:val="bullet"/>
      <w:lvlText w:val="•"/>
      <w:lvlJc w:val="left"/>
      <w:pPr>
        <w:ind w:left="9233" w:hanging="226"/>
      </w:pPr>
      <w:rPr>
        <w:rFonts w:hint="default"/>
        <w:lang w:val="fi-FI" w:eastAsia="en-US" w:bidi="ar-SA"/>
      </w:rPr>
    </w:lvl>
  </w:abstractNum>
  <w:abstractNum w:abstractNumId="23"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4" w15:restartNumberingAfterBreak="0">
    <w:nsid w:val="2EE364F1"/>
    <w:multiLevelType w:val="hybridMultilevel"/>
    <w:tmpl w:val="6FB292B6"/>
    <w:lvl w:ilvl="0" w:tplc="DEA63F60">
      <w:numFmt w:val="bullet"/>
      <w:lvlText w:val=""/>
      <w:lvlJc w:val="left"/>
      <w:pPr>
        <w:ind w:left="1604" w:hanging="567"/>
      </w:pPr>
      <w:rPr>
        <w:rFonts w:ascii="Symbol" w:eastAsia="Symbol" w:hAnsi="Symbol" w:cs="Symbol" w:hint="default"/>
        <w:b w:val="0"/>
        <w:bCs w:val="0"/>
        <w:i w:val="0"/>
        <w:iCs w:val="0"/>
        <w:spacing w:val="0"/>
        <w:w w:val="100"/>
        <w:sz w:val="22"/>
        <w:szCs w:val="22"/>
        <w:lang w:val="fi-FI" w:eastAsia="en-US" w:bidi="ar-SA"/>
      </w:rPr>
    </w:lvl>
    <w:lvl w:ilvl="1" w:tplc="C8BC6E32">
      <w:numFmt w:val="bullet"/>
      <w:lvlText w:val=""/>
      <w:lvlJc w:val="left"/>
      <w:pPr>
        <w:ind w:left="1751" w:hanging="356"/>
      </w:pPr>
      <w:rPr>
        <w:rFonts w:ascii="Symbol" w:eastAsia="Symbol" w:hAnsi="Symbol" w:cs="Symbol" w:hint="default"/>
        <w:b w:val="0"/>
        <w:bCs w:val="0"/>
        <w:i w:val="0"/>
        <w:iCs w:val="0"/>
        <w:spacing w:val="0"/>
        <w:w w:val="100"/>
        <w:sz w:val="22"/>
        <w:szCs w:val="22"/>
        <w:lang w:val="fi-FI" w:eastAsia="en-US" w:bidi="ar-SA"/>
      </w:rPr>
    </w:lvl>
    <w:lvl w:ilvl="2" w:tplc="F43401D8">
      <w:numFmt w:val="bullet"/>
      <w:lvlText w:val="•"/>
      <w:lvlJc w:val="left"/>
      <w:pPr>
        <w:ind w:left="2811" w:hanging="356"/>
      </w:pPr>
      <w:rPr>
        <w:rFonts w:hint="default"/>
        <w:lang w:val="fi-FI" w:eastAsia="en-US" w:bidi="ar-SA"/>
      </w:rPr>
    </w:lvl>
    <w:lvl w:ilvl="3" w:tplc="3ACAAB20">
      <w:numFmt w:val="bullet"/>
      <w:lvlText w:val="•"/>
      <w:lvlJc w:val="left"/>
      <w:pPr>
        <w:ind w:left="3863" w:hanging="356"/>
      </w:pPr>
      <w:rPr>
        <w:rFonts w:hint="default"/>
        <w:lang w:val="fi-FI" w:eastAsia="en-US" w:bidi="ar-SA"/>
      </w:rPr>
    </w:lvl>
    <w:lvl w:ilvl="4" w:tplc="672467CC">
      <w:numFmt w:val="bullet"/>
      <w:lvlText w:val="•"/>
      <w:lvlJc w:val="left"/>
      <w:pPr>
        <w:ind w:left="4915" w:hanging="356"/>
      </w:pPr>
      <w:rPr>
        <w:rFonts w:hint="default"/>
        <w:lang w:val="fi-FI" w:eastAsia="en-US" w:bidi="ar-SA"/>
      </w:rPr>
    </w:lvl>
    <w:lvl w:ilvl="5" w:tplc="86587846">
      <w:numFmt w:val="bullet"/>
      <w:lvlText w:val="•"/>
      <w:lvlJc w:val="left"/>
      <w:pPr>
        <w:ind w:left="5967" w:hanging="356"/>
      </w:pPr>
      <w:rPr>
        <w:rFonts w:hint="default"/>
        <w:lang w:val="fi-FI" w:eastAsia="en-US" w:bidi="ar-SA"/>
      </w:rPr>
    </w:lvl>
    <w:lvl w:ilvl="6" w:tplc="9B823F72">
      <w:numFmt w:val="bullet"/>
      <w:lvlText w:val="•"/>
      <w:lvlJc w:val="left"/>
      <w:pPr>
        <w:ind w:left="7019" w:hanging="356"/>
      </w:pPr>
      <w:rPr>
        <w:rFonts w:hint="default"/>
        <w:lang w:val="fi-FI" w:eastAsia="en-US" w:bidi="ar-SA"/>
      </w:rPr>
    </w:lvl>
    <w:lvl w:ilvl="7" w:tplc="75C6B502">
      <w:numFmt w:val="bullet"/>
      <w:lvlText w:val="•"/>
      <w:lvlJc w:val="left"/>
      <w:pPr>
        <w:ind w:left="8070" w:hanging="356"/>
      </w:pPr>
      <w:rPr>
        <w:rFonts w:hint="default"/>
        <w:lang w:val="fi-FI" w:eastAsia="en-US" w:bidi="ar-SA"/>
      </w:rPr>
    </w:lvl>
    <w:lvl w:ilvl="8" w:tplc="B43E4B6E">
      <w:numFmt w:val="bullet"/>
      <w:lvlText w:val="•"/>
      <w:lvlJc w:val="left"/>
      <w:pPr>
        <w:ind w:left="9122" w:hanging="356"/>
      </w:pPr>
      <w:rPr>
        <w:rFonts w:hint="default"/>
        <w:lang w:val="fi-FI" w:eastAsia="en-US" w:bidi="ar-SA"/>
      </w:rPr>
    </w:lvl>
  </w:abstractNum>
  <w:abstractNum w:abstractNumId="25"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6" w15:restartNumberingAfterBreak="0">
    <w:nsid w:val="2FCA06AE"/>
    <w:multiLevelType w:val="hybridMultilevel"/>
    <w:tmpl w:val="CFDCD6EC"/>
    <w:lvl w:ilvl="0" w:tplc="04090001">
      <w:start w:val="1"/>
      <w:numFmt w:val="bullet"/>
      <w:lvlText w:val=""/>
      <w:lvlJc w:val="left"/>
      <w:pPr>
        <w:ind w:left="3" w:hanging="570"/>
      </w:pPr>
      <w:rPr>
        <w:rFonts w:ascii="Symbol" w:hAnsi="Symbol"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27" w15:restartNumberingAfterBreak="0">
    <w:nsid w:val="30992C30"/>
    <w:multiLevelType w:val="hybridMultilevel"/>
    <w:tmpl w:val="C9683CD6"/>
    <w:lvl w:ilvl="0" w:tplc="492CA83A">
      <w:numFmt w:val="bullet"/>
      <w:lvlText w:val=""/>
      <w:lvlJc w:val="left"/>
      <w:pPr>
        <w:ind w:left="1326" w:hanging="289"/>
      </w:pPr>
      <w:rPr>
        <w:rFonts w:ascii="Symbol" w:eastAsia="Symbol" w:hAnsi="Symbol" w:cs="Symbol" w:hint="default"/>
        <w:b w:val="0"/>
        <w:bCs w:val="0"/>
        <w:i w:val="0"/>
        <w:iCs w:val="0"/>
        <w:spacing w:val="0"/>
        <w:w w:val="100"/>
        <w:sz w:val="22"/>
        <w:szCs w:val="22"/>
        <w:lang w:val="fi-FI" w:eastAsia="en-US" w:bidi="ar-SA"/>
      </w:rPr>
    </w:lvl>
    <w:lvl w:ilvl="1" w:tplc="49943060">
      <w:numFmt w:val="bullet"/>
      <w:lvlText w:val="•"/>
      <w:lvlJc w:val="left"/>
      <w:pPr>
        <w:ind w:left="1038" w:hanging="133"/>
      </w:pPr>
      <w:rPr>
        <w:rFonts w:ascii="Times New Roman" w:eastAsia="Times New Roman" w:hAnsi="Times New Roman" w:cs="Times New Roman" w:hint="default"/>
        <w:spacing w:val="0"/>
        <w:w w:val="100"/>
        <w:lang w:val="fi-FI" w:eastAsia="en-US" w:bidi="ar-SA"/>
      </w:rPr>
    </w:lvl>
    <w:lvl w:ilvl="2" w:tplc="3BB85968">
      <w:numFmt w:val="bullet"/>
      <w:lvlText w:val="•"/>
      <w:lvlJc w:val="left"/>
      <w:pPr>
        <w:ind w:left="2420" w:hanging="133"/>
      </w:pPr>
      <w:rPr>
        <w:rFonts w:hint="default"/>
        <w:lang w:val="fi-FI" w:eastAsia="en-US" w:bidi="ar-SA"/>
      </w:rPr>
    </w:lvl>
    <w:lvl w:ilvl="3" w:tplc="78C22950">
      <w:numFmt w:val="bullet"/>
      <w:lvlText w:val="•"/>
      <w:lvlJc w:val="left"/>
      <w:pPr>
        <w:ind w:left="3521" w:hanging="133"/>
      </w:pPr>
      <w:rPr>
        <w:rFonts w:hint="default"/>
        <w:lang w:val="fi-FI" w:eastAsia="en-US" w:bidi="ar-SA"/>
      </w:rPr>
    </w:lvl>
    <w:lvl w:ilvl="4" w:tplc="3380108A">
      <w:numFmt w:val="bullet"/>
      <w:lvlText w:val="•"/>
      <w:lvlJc w:val="left"/>
      <w:pPr>
        <w:ind w:left="4622" w:hanging="133"/>
      </w:pPr>
      <w:rPr>
        <w:rFonts w:hint="default"/>
        <w:lang w:val="fi-FI" w:eastAsia="en-US" w:bidi="ar-SA"/>
      </w:rPr>
    </w:lvl>
    <w:lvl w:ilvl="5" w:tplc="E60AA298">
      <w:numFmt w:val="bullet"/>
      <w:lvlText w:val="•"/>
      <w:lvlJc w:val="left"/>
      <w:pPr>
        <w:ind w:left="5722" w:hanging="133"/>
      </w:pPr>
      <w:rPr>
        <w:rFonts w:hint="default"/>
        <w:lang w:val="fi-FI" w:eastAsia="en-US" w:bidi="ar-SA"/>
      </w:rPr>
    </w:lvl>
    <w:lvl w:ilvl="6" w:tplc="2E4C7F62">
      <w:numFmt w:val="bullet"/>
      <w:lvlText w:val="•"/>
      <w:lvlJc w:val="left"/>
      <w:pPr>
        <w:ind w:left="6823" w:hanging="133"/>
      </w:pPr>
      <w:rPr>
        <w:rFonts w:hint="default"/>
        <w:lang w:val="fi-FI" w:eastAsia="en-US" w:bidi="ar-SA"/>
      </w:rPr>
    </w:lvl>
    <w:lvl w:ilvl="7" w:tplc="31B685F8">
      <w:numFmt w:val="bullet"/>
      <w:lvlText w:val="•"/>
      <w:lvlJc w:val="left"/>
      <w:pPr>
        <w:ind w:left="7924" w:hanging="133"/>
      </w:pPr>
      <w:rPr>
        <w:rFonts w:hint="default"/>
        <w:lang w:val="fi-FI" w:eastAsia="en-US" w:bidi="ar-SA"/>
      </w:rPr>
    </w:lvl>
    <w:lvl w:ilvl="8" w:tplc="EA7A0F16">
      <w:numFmt w:val="bullet"/>
      <w:lvlText w:val="•"/>
      <w:lvlJc w:val="left"/>
      <w:pPr>
        <w:ind w:left="9024" w:hanging="133"/>
      </w:pPr>
      <w:rPr>
        <w:rFonts w:hint="default"/>
        <w:lang w:val="fi-FI" w:eastAsia="en-US" w:bidi="ar-SA"/>
      </w:rPr>
    </w:lvl>
  </w:abstractNum>
  <w:abstractNum w:abstractNumId="28" w15:restartNumberingAfterBreak="0">
    <w:nsid w:val="32A4026D"/>
    <w:multiLevelType w:val="hybridMultilevel"/>
    <w:tmpl w:val="7DA496D2"/>
    <w:lvl w:ilvl="0" w:tplc="61BAAE56">
      <w:start w:val="1"/>
      <w:numFmt w:val="upperLetter"/>
      <w:lvlText w:val="%1."/>
      <w:lvlJc w:val="left"/>
      <w:pPr>
        <w:ind w:left="1604" w:hanging="567"/>
      </w:pPr>
      <w:rPr>
        <w:rFonts w:ascii="Times New Roman" w:eastAsia="Times New Roman" w:hAnsi="Times New Roman" w:cs="Times New Roman" w:hint="default"/>
        <w:b/>
        <w:bCs/>
        <w:i w:val="0"/>
        <w:iCs w:val="0"/>
        <w:spacing w:val="-2"/>
        <w:w w:val="100"/>
        <w:sz w:val="22"/>
        <w:szCs w:val="22"/>
        <w:lang w:val="fi-FI" w:eastAsia="en-US" w:bidi="ar-SA"/>
      </w:rPr>
    </w:lvl>
    <w:lvl w:ilvl="1" w:tplc="96BE8F36">
      <w:numFmt w:val="bullet"/>
      <w:lvlText w:val="•"/>
      <w:lvlJc w:val="left"/>
      <w:pPr>
        <w:ind w:left="2562" w:hanging="567"/>
      </w:pPr>
      <w:rPr>
        <w:rFonts w:hint="default"/>
        <w:lang w:val="fi-FI" w:eastAsia="en-US" w:bidi="ar-SA"/>
      </w:rPr>
    </w:lvl>
    <w:lvl w:ilvl="2" w:tplc="9020A49A">
      <w:numFmt w:val="bullet"/>
      <w:lvlText w:val="•"/>
      <w:lvlJc w:val="left"/>
      <w:pPr>
        <w:ind w:left="3525" w:hanging="567"/>
      </w:pPr>
      <w:rPr>
        <w:rFonts w:hint="default"/>
        <w:lang w:val="fi-FI" w:eastAsia="en-US" w:bidi="ar-SA"/>
      </w:rPr>
    </w:lvl>
    <w:lvl w:ilvl="3" w:tplc="296438C6">
      <w:numFmt w:val="bullet"/>
      <w:lvlText w:val="•"/>
      <w:lvlJc w:val="left"/>
      <w:pPr>
        <w:ind w:left="4487" w:hanging="567"/>
      </w:pPr>
      <w:rPr>
        <w:rFonts w:hint="default"/>
        <w:lang w:val="fi-FI" w:eastAsia="en-US" w:bidi="ar-SA"/>
      </w:rPr>
    </w:lvl>
    <w:lvl w:ilvl="4" w:tplc="55F2AC78">
      <w:numFmt w:val="bullet"/>
      <w:lvlText w:val="•"/>
      <w:lvlJc w:val="left"/>
      <w:pPr>
        <w:ind w:left="5450" w:hanging="567"/>
      </w:pPr>
      <w:rPr>
        <w:rFonts w:hint="default"/>
        <w:lang w:val="fi-FI" w:eastAsia="en-US" w:bidi="ar-SA"/>
      </w:rPr>
    </w:lvl>
    <w:lvl w:ilvl="5" w:tplc="248A4BA4">
      <w:numFmt w:val="bullet"/>
      <w:lvlText w:val="•"/>
      <w:lvlJc w:val="left"/>
      <w:pPr>
        <w:ind w:left="6413" w:hanging="567"/>
      </w:pPr>
      <w:rPr>
        <w:rFonts w:hint="default"/>
        <w:lang w:val="fi-FI" w:eastAsia="en-US" w:bidi="ar-SA"/>
      </w:rPr>
    </w:lvl>
    <w:lvl w:ilvl="6" w:tplc="270C46AE">
      <w:numFmt w:val="bullet"/>
      <w:lvlText w:val="•"/>
      <w:lvlJc w:val="left"/>
      <w:pPr>
        <w:ind w:left="7375" w:hanging="567"/>
      </w:pPr>
      <w:rPr>
        <w:rFonts w:hint="default"/>
        <w:lang w:val="fi-FI" w:eastAsia="en-US" w:bidi="ar-SA"/>
      </w:rPr>
    </w:lvl>
    <w:lvl w:ilvl="7" w:tplc="D24AFFEE">
      <w:numFmt w:val="bullet"/>
      <w:lvlText w:val="•"/>
      <w:lvlJc w:val="left"/>
      <w:pPr>
        <w:ind w:left="8338" w:hanging="567"/>
      </w:pPr>
      <w:rPr>
        <w:rFonts w:hint="default"/>
        <w:lang w:val="fi-FI" w:eastAsia="en-US" w:bidi="ar-SA"/>
      </w:rPr>
    </w:lvl>
    <w:lvl w:ilvl="8" w:tplc="EE34ED6A">
      <w:numFmt w:val="bullet"/>
      <w:lvlText w:val="•"/>
      <w:lvlJc w:val="left"/>
      <w:pPr>
        <w:ind w:left="9301" w:hanging="567"/>
      </w:pPr>
      <w:rPr>
        <w:rFonts w:hint="default"/>
        <w:lang w:val="fi-FI" w:eastAsia="en-US" w:bidi="ar-SA"/>
      </w:rPr>
    </w:lvl>
  </w:abstractNum>
  <w:abstractNum w:abstractNumId="29" w15:restartNumberingAfterBreak="0">
    <w:nsid w:val="34653D49"/>
    <w:multiLevelType w:val="hybridMultilevel"/>
    <w:tmpl w:val="9AD43AE8"/>
    <w:lvl w:ilvl="0" w:tplc="272C0E2C">
      <w:start w:val="1"/>
      <w:numFmt w:val="bullet"/>
      <w:lvlText w:val="•"/>
      <w:lvlJc w:val="left"/>
      <w:pPr>
        <w:ind w:left="911" w:hanging="400"/>
      </w:pPr>
      <w:rPr>
        <w:rFonts w:ascii="Times New Roman" w:eastAsia="Times New Roman" w:hAnsi="Times New Roman" w:hint="default"/>
        <w:strike w:val="0"/>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30"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1"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2" w15:restartNumberingAfterBreak="0">
    <w:nsid w:val="38763B5A"/>
    <w:multiLevelType w:val="hybridMultilevel"/>
    <w:tmpl w:val="4D3ED842"/>
    <w:lvl w:ilvl="0" w:tplc="E9CCB8C0">
      <w:numFmt w:val="bullet"/>
      <w:lvlText w:val=""/>
      <w:lvlJc w:val="left"/>
      <w:pPr>
        <w:ind w:left="3" w:hanging="570"/>
      </w:pPr>
      <w:rPr>
        <w:rFonts w:ascii="Times New Roman" w:eastAsia="Symbol"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3"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4" w15:restartNumberingAfterBreak="0">
    <w:nsid w:val="39774A0A"/>
    <w:multiLevelType w:val="hybridMultilevel"/>
    <w:tmpl w:val="3602349A"/>
    <w:lvl w:ilvl="0" w:tplc="B4C4737C">
      <w:start w:val="1"/>
      <w:numFmt w:val="bullet"/>
      <w:pStyle w:val="a"/>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6" w15:restartNumberingAfterBreak="0">
    <w:nsid w:val="3B502198"/>
    <w:multiLevelType w:val="hybridMultilevel"/>
    <w:tmpl w:val="DCC64D68"/>
    <w:lvl w:ilvl="0" w:tplc="132E1302">
      <w:numFmt w:val="bullet"/>
      <w:lvlText w:val="•"/>
      <w:lvlJc w:val="left"/>
      <w:pPr>
        <w:ind w:left="1038" w:hanging="133"/>
      </w:pPr>
      <w:rPr>
        <w:rFonts w:ascii="Times New Roman" w:eastAsia="Times New Roman" w:hAnsi="Times New Roman" w:cs="Times New Roman" w:hint="default"/>
        <w:spacing w:val="0"/>
        <w:w w:val="100"/>
        <w:lang w:val="fi-FI" w:eastAsia="en-US" w:bidi="ar-SA"/>
      </w:rPr>
    </w:lvl>
    <w:lvl w:ilvl="1" w:tplc="A7448046">
      <w:numFmt w:val="bullet"/>
      <w:lvlText w:val="•"/>
      <w:lvlJc w:val="left"/>
      <w:pPr>
        <w:ind w:left="1566" w:hanging="133"/>
      </w:pPr>
      <w:rPr>
        <w:rFonts w:ascii="Times New Roman" w:eastAsia="Times New Roman" w:hAnsi="Times New Roman" w:cs="Times New Roman" w:hint="default"/>
        <w:b w:val="0"/>
        <w:bCs w:val="0"/>
        <w:i w:val="0"/>
        <w:iCs w:val="0"/>
        <w:spacing w:val="0"/>
        <w:w w:val="100"/>
        <w:sz w:val="22"/>
        <w:szCs w:val="22"/>
        <w:lang w:val="fi-FI" w:eastAsia="en-US" w:bidi="ar-SA"/>
      </w:rPr>
    </w:lvl>
    <w:lvl w:ilvl="2" w:tplc="8BCC8E70">
      <w:numFmt w:val="bullet"/>
      <w:lvlText w:val="•"/>
      <w:lvlJc w:val="left"/>
      <w:pPr>
        <w:ind w:left="2634" w:hanging="133"/>
      </w:pPr>
      <w:rPr>
        <w:rFonts w:hint="default"/>
        <w:lang w:val="fi-FI" w:eastAsia="en-US" w:bidi="ar-SA"/>
      </w:rPr>
    </w:lvl>
    <w:lvl w:ilvl="3" w:tplc="CBAC1046">
      <w:numFmt w:val="bullet"/>
      <w:lvlText w:val="•"/>
      <w:lvlJc w:val="left"/>
      <w:pPr>
        <w:ind w:left="3708" w:hanging="133"/>
      </w:pPr>
      <w:rPr>
        <w:rFonts w:hint="default"/>
        <w:lang w:val="fi-FI" w:eastAsia="en-US" w:bidi="ar-SA"/>
      </w:rPr>
    </w:lvl>
    <w:lvl w:ilvl="4" w:tplc="9DA8E7B4">
      <w:numFmt w:val="bullet"/>
      <w:lvlText w:val="•"/>
      <w:lvlJc w:val="left"/>
      <w:pPr>
        <w:ind w:left="4782" w:hanging="133"/>
      </w:pPr>
      <w:rPr>
        <w:rFonts w:hint="default"/>
        <w:lang w:val="fi-FI" w:eastAsia="en-US" w:bidi="ar-SA"/>
      </w:rPr>
    </w:lvl>
    <w:lvl w:ilvl="5" w:tplc="9598636A">
      <w:numFmt w:val="bullet"/>
      <w:lvlText w:val="•"/>
      <w:lvlJc w:val="left"/>
      <w:pPr>
        <w:ind w:left="5856" w:hanging="133"/>
      </w:pPr>
      <w:rPr>
        <w:rFonts w:hint="default"/>
        <w:lang w:val="fi-FI" w:eastAsia="en-US" w:bidi="ar-SA"/>
      </w:rPr>
    </w:lvl>
    <w:lvl w:ilvl="6" w:tplc="4D067760">
      <w:numFmt w:val="bullet"/>
      <w:lvlText w:val="•"/>
      <w:lvlJc w:val="left"/>
      <w:pPr>
        <w:ind w:left="6930" w:hanging="133"/>
      </w:pPr>
      <w:rPr>
        <w:rFonts w:hint="default"/>
        <w:lang w:val="fi-FI" w:eastAsia="en-US" w:bidi="ar-SA"/>
      </w:rPr>
    </w:lvl>
    <w:lvl w:ilvl="7" w:tplc="0C22BDD0">
      <w:numFmt w:val="bullet"/>
      <w:lvlText w:val="•"/>
      <w:lvlJc w:val="left"/>
      <w:pPr>
        <w:ind w:left="8004" w:hanging="133"/>
      </w:pPr>
      <w:rPr>
        <w:rFonts w:hint="default"/>
        <w:lang w:val="fi-FI" w:eastAsia="en-US" w:bidi="ar-SA"/>
      </w:rPr>
    </w:lvl>
    <w:lvl w:ilvl="8" w:tplc="4BB82554">
      <w:numFmt w:val="bullet"/>
      <w:lvlText w:val="•"/>
      <w:lvlJc w:val="left"/>
      <w:pPr>
        <w:ind w:left="9078" w:hanging="133"/>
      </w:pPr>
      <w:rPr>
        <w:rFonts w:hint="default"/>
        <w:lang w:val="fi-FI" w:eastAsia="en-US" w:bidi="ar-SA"/>
      </w:rPr>
    </w:lvl>
  </w:abstractNum>
  <w:abstractNum w:abstractNumId="37" w15:restartNumberingAfterBreak="0">
    <w:nsid w:val="3BAD08CE"/>
    <w:multiLevelType w:val="multilevel"/>
    <w:tmpl w:val="4EE62E6A"/>
    <w:lvl w:ilvl="0">
      <w:start w:val="1"/>
      <w:numFmt w:val="decimal"/>
      <w:lvlText w:val="%1."/>
      <w:lvlJc w:val="left"/>
      <w:pPr>
        <w:ind w:left="1604" w:hanging="567"/>
      </w:pPr>
      <w:rPr>
        <w:rFonts w:ascii="Times New Roman" w:eastAsia="Times New Roman" w:hAnsi="Times New Roman" w:cs="Times New Roman" w:hint="default"/>
        <w:b/>
        <w:bCs/>
        <w:i w:val="0"/>
        <w:iCs w:val="0"/>
        <w:spacing w:val="0"/>
        <w:w w:val="100"/>
        <w:sz w:val="22"/>
        <w:szCs w:val="22"/>
        <w:lang w:val="fi-FI" w:eastAsia="en-US" w:bidi="ar-SA"/>
      </w:rPr>
    </w:lvl>
    <w:lvl w:ilvl="1">
      <w:start w:val="1"/>
      <w:numFmt w:val="decimal"/>
      <w:lvlText w:val="%1.%2"/>
      <w:lvlJc w:val="left"/>
      <w:pPr>
        <w:ind w:left="1604" w:hanging="567"/>
      </w:pPr>
      <w:rPr>
        <w:rFonts w:ascii="Times New Roman" w:eastAsia="Times New Roman" w:hAnsi="Times New Roman" w:cs="Times New Roman" w:hint="default"/>
        <w:b/>
        <w:bCs/>
        <w:i w:val="0"/>
        <w:iCs w:val="0"/>
        <w:spacing w:val="0"/>
        <w:w w:val="100"/>
        <w:sz w:val="22"/>
        <w:szCs w:val="22"/>
        <w:lang w:val="fi-FI" w:eastAsia="en-US" w:bidi="ar-SA"/>
      </w:rPr>
    </w:lvl>
    <w:lvl w:ilvl="2">
      <w:numFmt w:val="bullet"/>
      <w:lvlText w:val=""/>
      <w:lvlJc w:val="left"/>
      <w:pPr>
        <w:ind w:left="1321" w:hanging="284"/>
      </w:pPr>
      <w:rPr>
        <w:rFonts w:ascii="Symbol" w:eastAsia="Symbol" w:hAnsi="Symbol" w:cs="Symbol" w:hint="default"/>
        <w:b w:val="0"/>
        <w:bCs w:val="0"/>
        <w:i w:val="0"/>
        <w:iCs w:val="0"/>
        <w:spacing w:val="0"/>
        <w:w w:val="100"/>
        <w:sz w:val="22"/>
        <w:szCs w:val="22"/>
        <w:lang w:val="fi-FI" w:eastAsia="en-US" w:bidi="ar-SA"/>
      </w:rPr>
    </w:lvl>
    <w:lvl w:ilvl="3">
      <w:numFmt w:val="bullet"/>
      <w:lvlText w:val="•"/>
      <w:lvlJc w:val="left"/>
      <w:pPr>
        <w:ind w:left="3739" w:hanging="284"/>
      </w:pPr>
      <w:rPr>
        <w:rFonts w:hint="default"/>
        <w:lang w:val="fi-FI" w:eastAsia="en-US" w:bidi="ar-SA"/>
      </w:rPr>
    </w:lvl>
    <w:lvl w:ilvl="4">
      <w:numFmt w:val="bullet"/>
      <w:lvlText w:val="•"/>
      <w:lvlJc w:val="left"/>
      <w:pPr>
        <w:ind w:left="4808" w:hanging="284"/>
      </w:pPr>
      <w:rPr>
        <w:rFonts w:hint="default"/>
        <w:lang w:val="fi-FI" w:eastAsia="en-US" w:bidi="ar-SA"/>
      </w:rPr>
    </w:lvl>
    <w:lvl w:ilvl="5">
      <w:numFmt w:val="bullet"/>
      <w:lvlText w:val="•"/>
      <w:lvlJc w:val="left"/>
      <w:pPr>
        <w:ind w:left="5878" w:hanging="284"/>
      </w:pPr>
      <w:rPr>
        <w:rFonts w:hint="default"/>
        <w:lang w:val="fi-FI" w:eastAsia="en-US" w:bidi="ar-SA"/>
      </w:rPr>
    </w:lvl>
    <w:lvl w:ilvl="6">
      <w:numFmt w:val="bullet"/>
      <w:lvlText w:val="•"/>
      <w:lvlJc w:val="left"/>
      <w:pPr>
        <w:ind w:left="6948" w:hanging="284"/>
      </w:pPr>
      <w:rPr>
        <w:rFonts w:hint="default"/>
        <w:lang w:val="fi-FI" w:eastAsia="en-US" w:bidi="ar-SA"/>
      </w:rPr>
    </w:lvl>
    <w:lvl w:ilvl="7">
      <w:numFmt w:val="bullet"/>
      <w:lvlText w:val="•"/>
      <w:lvlJc w:val="left"/>
      <w:pPr>
        <w:ind w:left="8017" w:hanging="284"/>
      </w:pPr>
      <w:rPr>
        <w:rFonts w:hint="default"/>
        <w:lang w:val="fi-FI" w:eastAsia="en-US" w:bidi="ar-SA"/>
      </w:rPr>
    </w:lvl>
    <w:lvl w:ilvl="8">
      <w:numFmt w:val="bullet"/>
      <w:lvlText w:val="•"/>
      <w:lvlJc w:val="left"/>
      <w:pPr>
        <w:ind w:left="9087" w:hanging="284"/>
      </w:pPr>
      <w:rPr>
        <w:rFonts w:hint="default"/>
        <w:lang w:val="fi-FI" w:eastAsia="en-US" w:bidi="ar-SA"/>
      </w:rPr>
    </w:lvl>
  </w:abstractNum>
  <w:abstractNum w:abstractNumId="38" w15:restartNumberingAfterBreak="0">
    <w:nsid w:val="3C414CB6"/>
    <w:multiLevelType w:val="hybridMultilevel"/>
    <w:tmpl w:val="560A4BA4"/>
    <w:lvl w:ilvl="0" w:tplc="577CC17E">
      <w:start w:val="1"/>
      <w:numFmt w:val="upperLetter"/>
      <w:lvlText w:val="%1."/>
      <w:lvlJc w:val="left"/>
      <w:pPr>
        <w:ind w:left="4040" w:hanging="269"/>
        <w:jc w:val="right"/>
      </w:pPr>
      <w:rPr>
        <w:rFonts w:ascii="Times New Roman" w:eastAsia="Times New Roman" w:hAnsi="Times New Roman" w:cs="Times New Roman" w:hint="default"/>
        <w:b/>
        <w:bCs/>
        <w:i w:val="0"/>
        <w:iCs w:val="0"/>
        <w:spacing w:val="-2"/>
        <w:w w:val="100"/>
        <w:sz w:val="22"/>
        <w:szCs w:val="22"/>
        <w:lang w:val="fi-FI" w:eastAsia="en-US" w:bidi="ar-SA"/>
      </w:rPr>
    </w:lvl>
    <w:lvl w:ilvl="1" w:tplc="9A0074DE">
      <w:numFmt w:val="bullet"/>
      <w:lvlText w:val="•"/>
      <w:lvlJc w:val="left"/>
      <w:pPr>
        <w:ind w:left="4758" w:hanging="269"/>
      </w:pPr>
      <w:rPr>
        <w:rFonts w:hint="default"/>
        <w:lang w:val="fi-FI" w:eastAsia="en-US" w:bidi="ar-SA"/>
      </w:rPr>
    </w:lvl>
    <w:lvl w:ilvl="2" w:tplc="FCEA4EF8">
      <w:numFmt w:val="bullet"/>
      <w:lvlText w:val="•"/>
      <w:lvlJc w:val="left"/>
      <w:pPr>
        <w:ind w:left="5477" w:hanging="269"/>
      </w:pPr>
      <w:rPr>
        <w:rFonts w:hint="default"/>
        <w:lang w:val="fi-FI" w:eastAsia="en-US" w:bidi="ar-SA"/>
      </w:rPr>
    </w:lvl>
    <w:lvl w:ilvl="3" w:tplc="F206933E">
      <w:numFmt w:val="bullet"/>
      <w:lvlText w:val="•"/>
      <w:lvlJc w:val="left"/>
      <w:pPr>
        <w:ind w:left="6195" w:hanging="269"/>
      </w:pPr>
      <w:rPr>
        <w:rFonts w:hint="default"/>
        <w:lang w:val="fi-FI" w:eastAsia="en-US" w:bidi="ar-SA"/>
      </w:rPr>
    </w:lvl>
    <w:lvl w:ilvl="4" w:tplc="22AC922A">
      <w:numFmt w:val="bullet"/>
      <w:lvlText w:val="•"/>
      <w:lvlJc w:val="left"/>
      <w:pPr>
        <w:ind w:left="6914" w:hanging="269"/>
      </w:pPr>
      <w:rPr>
        <w:rFonts w:hint="default"/>
        <w:lang w:val="fi-FI" w:eastAsia="en-US" w:bidi="ar-SA"/>
      </w:rPr>
    </w:lvl>
    <w:lvl w:ilvl="5" w:tplc="C10EBFC6">
      <w:numFmt w:val="bullet"/>
      <w:lvlText w:val="•"/>
      <w:lvlJc w:val="left"/>
      <w:pPr>
        <w:ind w:left="7633" w:hanging="269"/>
      </w:pPr>
      <w:rPr>
        <w:rFonts w:hint="default"/>
        <w:lang w:val="fi-FI" w:eastAsia="en-US" w:bidi="ar-SA"/>
      </w:rPr>
    </w:lvl>
    <w:lvl w:ilvl="6" w:tplc="A25E703A">
      <w:numFmt w:val="bullet"/>
      <w:lvlText w:val="•"/>
      <w:lvlJc w:val="left"/>
      <w:pPr>
        <w:ind w:left="8351" w:hanging="269"/>
      </w:pPr>
      <w:rPr>
        <w:rFonts w:hint="default"/>
        <w:lang w:val="fi-FI" w:eastAsia="en-US" w:bidi="ar-SA"/>
      </w:rPr>
    </w:lvl>
    <w:lvl w:ilvl="7" w:tplc="BC32498C">
      <w:numFmt w:val="bullet"/>
      <w:lvlText w:val="•"/>
      <w:lvlJc w:val="left"/>
      <w:pPr>
        <w:ind w:left="9070" w:hanging="269"/>
      </w:pPr>
      <w:rPr>
        <w:rFonts w:hint="default"/>
        <w:lang w:val="fi-FI" w:eastAsia="en-US" w:bidi="ar-SA"/>
      </w:rPr>
    </w:lvl>
    <w:lvl w:ilvl="8" w:tplc="13BEE610">
      <w:numFmt w:val="bullet"/>
      <w:lvlText w:val="•"/>
      <w:lvlJc w:val="left"/>
      <w:pPr>
        <w:ind w:left="9789" w:hanging="269"/>
      </w:pPr>
      <w:rPr>
        <w:rFonts w:hint="default"/>
        <w:lang w:val="fi-FI" w:eastAsia="en-US" w:bidi="ar-SA"/>
      </w:rPr>
    </w:lvl>
  </w:abstractNum>
  <w:abstractNum w:abstractNumId="39" w15:restartNumberingAfterBreak="0">
    <w:nsid w:val="3C8161C3"/>
    <w:multiLevelType w:val="hybridMultilevel"/>
    <w:tmpl w:val="8C54028E"/>
    <w:lvl w:ilvl="0" w:tplc="6E948782">
      <w:numFmt w:val="bullet"/>
      <w:lvlText w:val=""/>
      <w:lvlJc w:val="left"/>
      <w:pPr>
        <w:ind w:left="1604" w:hanging="567"/>
      </w:pPr>
      <w:rPr>
        <w:rFonts w:ascii="Symbol" w:eastAsia="Symbol" w:hAnsi="Symbol" w:cs="Symbol" w:hint="default"/>
        <w:b w:val="0"/>
        <w:bCs w:val="0"/>
        <w:i w:val="0"/>
        <w:iCs w:val="0"/>
        <w:spacing w:val="0"/>
        <w:w w:val="100"/>
        <w:sz w:val="22"/>
        <w:szCs w:val="22"/>
        <w:lang w:val="fi-FI" w:eastAsia="en-US" w:bidi="ar-SA"/>
      </w:rPr>
    </w:lvl>
    <w:lvl w:ilvl="1" w:tplc="F5520610">
      <w:numFmt w:val="bullet"/>
      <w:lvlText w:val=""/>
      <w:lvlJc w:val="left"/>
      <w:pPr>
        <w:ind w:left="1751" w:hanging="356"/>
      </w:pPr>
      <w:rPr>
        <w:rFonts w:ascii="Symbol" w:eastAsia="Symbol" w:hAnsi="Symbol" w:cs="Symbol" w:hint="default"/>
        <w:b w:val="0"/>
        <w:bCs w:val="0"/>
        <w:i w:val="0"/>
        <w:iCs w:val="0"/>
        <w:spacing w:val="0"/>
        <w:w w:val="100"/>
        <w:sz w:val="22"/>
        <w:szCs w:val="22"/>
        <w:lang w:val="fi-FI" w:eastAsia="en-US" w:bidi="ar-SA"/>
      </w:rPr>
    </w:lvl>
    <w:lvl w:ilvl="2" w:tplc="D210282C">
      <w:numFmt w:val="bullet"/>
      <w:lvlText w:val="•"/>
      <w:lvlJc w:val="left"/>
      <w:pPr>
        <w:ind w:left="2811" w:hanging="356"/>
      </w:pPr>
      <w:rPr>
        <w:rFonts w:hint="default"/>
        <w:lang w:val="fi-FI" w:eastAsia="en-US" w:bidi="ar-SA"/>
      </w:rPr>
    </w:lvl>
    <w:lvl w:ilvl="3" w:tplc="624C8AEA">
      <w:numFmt w:val="bullet"/>
      <w:lvlText w:val="•"/>
      <w:lvlJc w:val="left"/>
      <w:pPr>
        <w:ind w:left="3863" w:hanging="356"/>
      </w:pPr>
      <w:rPr>
        <w:rFonts w:hint="default"/>
        <w:lang w:val="fi-FI" w:eastAsia="en-US" w:bidi="ar-SA"/>
      </w:rPr>
    </w:lvl>
    <w:lvl w:ilvl="4" w:tplc="92F412DA">
      <w:numFmt w:val="bullet"/>
      <w:lvlText w:val="•"/>
      <w:lvlJc w:val="left"/>
      <w:pPr>
        <w:ind w:left="4915" w:hanging="356"/>
      </w:pPr>
      <w:rPr>
        <w:rFonts w:hint="default"/>
        <w:lang w:val="fi-FI" w:eastAsia="en-US" w:bidi="ar-SA"/>
      </w:rPr>
    </w:lvl>
    <w:lvl w:ilvl="5" w:tplc="BD5CED22">
      <w:numFmt w:val="bullet"/>
      <w:lvlText w:val="•"/>
      <w:lvlJc w:val="left"/>
      <w:pPr>
        <w:ind w:left="5967" w:hanging="356"/>
      </w:pPr>
      <w:rPr>
        <w:rFonts w:hint="default"/>
        <w:lang w:val="fi-FI" w:eastAsia="en-US" w:bidi="ar-SA"/>
      </w:rPr>
    </w:lvl>
    <w:lvl w:ilvl="6" w:tplc="CE38B26E">
      <w:numFmt w:val="bullet"/>
      <w:lvlText w:val="•"/>
      <w:lvlJc w:val="left"/>
      <w:pPr>
        <w:ind w:left="7019" w:hanging="356"/>
      </w:pPr>
      <w:rPr>
        <w:rFonts w:hint="default"/>
        <w:lang w:val="fi-FI" w:eastAsia="en-US" w:bidi="ar-SA"/>
      </w:rPr>
    </w:lvl>
    <w:lvl w:ilvl="7" w:tplc="BCCC951C">
      <w:numFmt w:val="bullet"/>
      <w:lvlText w:val="•"/>
      <w:lvlJc w:val="left"/>
      <w:pPr>
        <w:ind w:left="8070" w:hanging="356"/>
      </w:pPr>
      <w:rPr>
        <w:rFonts w:hint="default"/>
        <w:lang w:val="fi-FI" w:eastAsia="en-US" w:bidi="ar-SA"/>
      </w:rPr>
    </w:lvl>
    <w:lvl w:ilvl="8" w:tplc="DAE89264">
      <w:numFmt w:val="bullet"/>
      <w:lvlText w:val="•"/>
      <w:lvlJc w:val="left"/>
      <w:pPr>
        <w:ind w:left="9122" w:hanging="356"/>
      </w:pPr>
      <w:rPr>
        <w:rFonts w:hint="default"/>
        <w:lang w:val="fi-FI" w:eastAsia="en-US" w:bidi="ar-SA"/>
      </w:rPr>
    </w:lvl>
  </w:abstractNum>
  <w:abstractNum w:abstractNumId="40"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1"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2"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3"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44"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5" w15:restartNumberingAfterBreak="0">
    <w:nsid w:val="4CC0175C"/>
    <w:multiLevelType w:val="hybridMultilevel"/>
    <w:tmpl w:val="FCE451F2"/>
    <w:lvl w:ilvl="0" w:tplc="1AF0B844">
      <w:start w:val="1"/>
      <w:numFmt w:val="bullet"/>
      <w:lvlText w:val=""/>
      <w:lvlJc w:val="left"/>
      <w:pPr>
        <w:ind w:left="785" w:hanging="360"/>
      </w:pPr>
      <w:rPr>
        <w:rFonts w:ascii="Symbol" w:hAnsi="Symbol" w:hint="default"/>
        <w:strike w:val="0"/>
        <w:sz w:val="22"/>
        <w:szCs w:val="22"/>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46" w15:restartNumberingAfterBreak="0">
    <w:nsid w:val="4CF87BCA"/>
    <w:multiLevelType w:val="hybridMultilevel"/>
    <w:tmpl w:val="7CFE9DA8"/>
    <w:lvl w:ilvl="0" w:tplc="CC46567C">
      <w:numFmt w:val="bullet"/>
      <w:lvlText w:val=""/>
      <w:lvlJc w:val="left"/>
      <w:pPr>
        <w:ind w:left="1605" w:hanging="567"/>
      </w:pPr>
      <w:rPr>
        <w:rFonts w:ascii="Symbol" w:eastAsia="Symbol" w:hAnsi="Symbol" w:cs="Symbol" w:hint="default"/>
        <w:b w:val="0"/>
        <w:bCs w:val="0"/>
        <w:i w:val="0"/>
        <w:iCs w:val="0"/>
        <w:spacing w:val="0"/>
        <w:w w:val="100"/>
        <w:sz w:val="22"/>
        <w:szCs w:val="22"/>
        <w:lang w:val="fi-FI" w:eastAsia="en-US" w:bidi="ar-SA"/>
      </w:rPr>
    </w:lvl>
    <w:lvl w:ilvl="1" w:tplc="5DD059DA">
      <w:numFmt w:val="bullet"/>
      <w:lvlText w:val="•"/>
      <w:lvlJc w:val="left"/>
      <w:pPr>
        <w:ind w:left="2562" w:hanging="567"/>
      </w:pPr>
      <w:rPr>
        <w:rFonts w:hint="default"/>
        <w:lang w:val="fi-FI" w:eastAsia="en-US" w:bidi="ar-SA"/>
      </w:rPr>
    </w:lvl>
    <w:lvl w:ilvl="2" w:tplc="9B2EA99C">
      <w:numFmt w:val="bullet"/>
      <w:lvlText w:val="•"/>
      <w:lvlJc w:val="left"/>
      <w:pPr>
        <w:ind w:left="3525" w:hanging="567"/>
      </w:pPr>
      <w:rPr>
        <w:rFonts w:hint="default"/>
        <w:lang w:val="fi-FI" w:eastAsia="en-US" w:bidi="ar-SA"/>
      </w:rPr>
    </w:lvl>
    <w:lvl w:ilvl="3" w:tplc="70C6CBCC">
      <w:numFmt w:val="bullet"/>
      <w:lvlText w:val="•"/>
      <w:lvlJc w:val="left"/>
      <w:pPr>
        <w:ind w:left="4487" w:hanging="567"/>
      </w:pPr>
      <w:rPr>
        <w:rFonts w:hint="default"/>
        <w:lang w:val="fi-FI" w:eastAsia="en-US" w:bidi="ar-SA"/>
      </w:rPr>
    </w:lvl>
    <w:lvl w:ilvl="4" w:tplc="08481DF4">
      <w:numFmt w:val="bullet"/>
      <w:lvlText w:val="•"/>
      <w:lvlJc w:val="left"/>
      <w:pPr>
        <w:ind w:left="5450" w:hanging="567"/>
      </w:pPr>
      <w:rPr>
        <w:rFonts w:hint="default"/>
        <w:lang w:val="fi-FI" w:eastAsia="en-US" w:bidi="ar-SA"/>
      </w:rPr>
    </w:lvl>
    <w:lvl w:ilvl="5" w:tplc="91D063DE">
      <w:numFmt w:val="bullet"/>
      <w:lvlText w:val="•"/>
      <w:lvlJc w:val="left"/>
      <w:pPr>
        <w:ind w:left="6413" w:hanging="567"/>
      </w:pPr>
      <w:rPr>
        <w:rFonts w:hint="default"/>
        <w:lang w:val="fi-FI" w:eastAsia="en-US" w:bidi="ar-SA"/>
      </w:rPr>
    </w:lvl>
    <w:lvl w:ilvl="6" w:tplc="D7AEB9D8">
      <w:numFmt w:val="bullet"/>
      <w:lvlText w:val="•"/>
      <w:lvlJc w:val="left"/>
      <w:pPr>
        <w:ind w:left="7375" w:hanging="567"/>
      </w:pPr>
      <w:rPr>
        <w:rFonts w:hint="default"/>
        <w:lang w:val="fi-FI" w:eastAsia="en-US" w:bidi="ar-SA"/>
      </w:rPr>
    </w:lvl>
    <w:lvl w:ilvl="7" w:tplc="0354FFC6">
      <w:numFmt w:val="bullet"/>
      <w:lvlText w:val="•"/>
      <w:lvlJc w:val="left"/>
      <w:pPr>
        <w:ind w:left="8338" w:hanging="567"/>
      </w:pPr>
      <w:rPr>
        <w:rFonts w:hint="default"/>
        <w:lang w:val="fi-FI" w:eastAsia="en-US" w:bidi="ar-SA"/>
      </w:rPr>
    </w:lvl>
    <w:lvl w:ilvl="8" w:tplc="F3F6A796">
      <w:numFmt w:val="bullet"/>
      <w:lvlText w:val="•"/>
      <w:lvlJc w:val="left"/>
      <w:pPr>
        <w:ind w:left="9301" w:hanging="567"/>
      </w:pPr>
      <w:rPr>
        <w:rFonts w:hint="default"/>
        <w:lang w:val="fi-FI" w:eastAsia="en-US" w:bidi="ar-SA"/>
      </w:rPr>
    </w:lvl>
  </w:abstractNum>
  <w:abstractNum w:abstractNumId="47" w15:restartNumberingAfterBreak="0">
    <w:nsid w:val="4D3817F1"/>
    <w:multiLevelType w:val="hybridMultilevel"/>
    <w:tmpl w:val="6ECCED50"/>
    <w:lvl w:ilvl="0" w:tplc="DE7614C0">
      <w:numFmt w:val="bullet"/>
      <w:lvlText w:val="-"/>
      <w:lvlJc w:val="left"/>
      <w:pPr>
        <w:ind w:left="2032"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71C4E280">
      <w:numFmt w:val="bullet"/>
      <w:lvlText w:val="•"/>
      <w:lvlJc w:val="left"/>
      <w:pPr>
        <w:ind w:left="2958" w:hanging="567"/>
      </w:pPr>
      <w:rPr>
        <w:rFonts w:hint="default"/>
        <w:lang w:val="fi-FI" w:eastAsia="en-US" w:bidi="ar-SA"/>
      </w:rPr>
    </w:lvl>
    <w:lvl w:ilvl="2" w:tplc="E126F2F4">
      <w:numFmt w:val="bullet"/>
      <w:lvlText w:val="•"/>
      <w:lvlJc w:val="left"/>
      <w:pPr>
        <w:ind w:left="3877" w:hanging="567"/>
      </w:pPr>
      <w:rPr>
        <w:rFonts w:hint="default"/>
        <w:lang w:val="fi-FI" w:eastAsia="en-US" w:bidi="ar-SA"/>
      </w:rPr>
    </w:lvl>
    <w:lvl w:ilvl="3" w:tplc="1C56587C">
      <w:numFmt w:val="bullet"/>
      <w:lvlText w:val="•"/>
      <w:lvlJc w:val="left"/>
      <w:pPr>
        <w:ind w:left="4795" w:hanging="567"/>
      </w:pPr>
      <w:rPr>
        <w:rFonts w:hint="default"/>
        <w:lang w:val="fi-FI" w:eastAsia="en-US" w:bidi="ar-SA"/>
      </w:rPr>
    </w:lvl>
    <w:lvl w:ilvl="4" w:tplc="11C8A136">
      <w:numFmt w:val="bullet"/>
      <w:lvlText w:val="•"/>
      <w:lvlJc w:val="left"/>
      <w:pPr>
        <w:ind w:left="5714" w:hanging="567"/>
      </w:pPr>
      <w:rPr>
        <w:rFonts w:hint="default"/>
        <w:lang w:val="fi-FI" w:eastAsia="en-US" w:bidi="ar-SA"/>
      </w:rPr>
    </w:lvl>
    <w:lvl w:ilvl="5" w:tplc="2D1CFEBA">
      <w:numFmt w:val="bullet"/>
      <w:lvlText w:val="•"/>
      <w:lvlJc w:val="left"/>
      <w:pPr>
        <w:ind w:left="6633" w:hanging="567"/>
      </w:pPr>
      <w:rPr>
        <w:rFonts w:hint="default"/>
        <w:lang w:val="fi-FI" w:eastAsia="en-US" w:bidi="ar-SA"/>
      </w:rPr>
    </w:lvl>
    <w:lvl w:ilvl="6" w:tplc="B574B288">
      <w:numFmt w:val="bullet"/>
      <w:lvlText w:val="•"/>
      <w:lvlJc w:val="left"/>
      <w:pPr>
        <w:ind w:left="7551" w:hanging="567"/>
      </w:pPr>
      <w:rPr>
        <w:rFonts w:hint="default"/>
        <w:lang w:val="fi-FI" w:eastAsia="en-US" w:bidi="ar-SA"/>
      </w:rPr>
    </w:lvl>
    <w:lvl w:ilvl="7" w:tplc="A862329A">
      <w:numFmt w:val="bullet"/>
      <w:lvlText w:val="•"/>
      <w:lvlJc w:val="left"/>
      <w:pPr>
        <w:ind w:left="8470" w:hanging="567"/>
      </w:pPr>
      <w:rPr>
        <w:rFonts w:hint="default"/>
        <w:lang w:val="fi-FI" w:eastAsia="en-US" w:bidi="ar-SA"/>
      </w:rPr>
    </w:lvl>
    <w:lvl w:ilvl="8" w:tplc="B0009636">
      <w:numFmt w:val="bullet"/>
      <w:lvlText w:val="•"/>
      <w:lvlJc w:val="left"/>
      <w:pPr>
        <w:ind w:left="9389" w:hanging="567"/>
      </w:pPr>
      <w:rPr>
        <w:rFonts w:hint="default"/>
        <w:lang w:val="fi-FI" w:eastAsia="en-US" w:bidi="ar-SA"/>
      </w:rPr>
    </w:lvl>
  </w:abstractNum>
  <w:abstractNum w:abstractNumId="48"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9" w15:restartNumberingAfterBreak="0">
    <w:nsid w:val="4FAD61F9"/>
    <w:multiLevelType w:val="multilevel"/>
    <w:tmpl w:val="F300EA2C"/>
    <w:lvl w:ilvl="0">
      <w:start w:val="1"/>
      <w:numFmt w:val="decimal"/>
      <w:lvlText w:val="%1."/>
      <w:lvlJc w:val="left"/>
      <w:pPr>
        <w:ind w:left="1604" w:hanging="567"/>
      </w:pPr>
      <w:rPr>
        <w:rFonts w:ascii="Times New Roman" w:eastAsia="Times New Roman" w:hAnsi="Times New Roman" w:cs="Times New Roman" w:hint="default"/>
        <w:b/>
        <w:bCs/>
        <w:i w:val="0"/>
        <w:iCs w:val="0"/>
        <w:spacing w:val="0"/>
        <w:w w:val="100"/>
        <w:sz w:val="22"/>
        <w:szCs w:val="22"/>
        <w:lang w:val="fi-FI" w:eastAsia="en-US" w:bidi="ar-SA"/>
      </w:rPr>
    </w:lvl>
    <w:lvl w:ilvl="1">
      <w:start w:val="1"/>
      <w:numFmt w:val="decimal"/>
      <w:lvlText w:val="%1.%2"/>
      <w:lvlJc w:val="left"/>
      <w:pPr>
        <w:ind w:left="1604" w:hanging="567"/>
      </w:pPr>
      <w:rPr>
        <w:rFonts w:ascii="Times New Roman" w:eastAsia="Times New Roman" w:hAnsi="Times New Roman" w:cs="Times New Roman" w:hint="default"/>
        <w:b/>
        <w:bCs/>
        <w:i w:val="0"/>
        <w:iCs w:val="0"/>
        <w:spacing w:val="0"/>
        <w:w w:val="100"/>
        <w:sz w:val="22"/>
        <w:szCs w:val="22"/>
        <w:lang w:val="fi-FI" w:eastAsia="en-US" w:bidi="ar-SA"/>
      </w:rPr>
    </w:lvl>
    <w:lvl w:ilvl="2">
      <w:numFmt w:val="bullet"/>
      <w:lvlText w:val=""/>
      <w:lvlJc w:val="left"/>
      <w:pPr>
        <w:ind w:left="1890" w:hanging="286"/>
      </w:pPr>
      <w:rPr>
        <w:rFonts w:ascii="Symbol" w:eastAsia="Symbol" w:hAnsi="Symbol" w:cs="Symbol" w:hint="default"/>
        <w:b w:val="0"/>
        <w:bCs w:val="0"/>
        <w:i w:val="0"/>
        <w:iCs w:val="0"/>
        <w:spacing w:val="0"/>
        <w:w w:val="100"/>
        <w:sz w:val="22"/>
        <w:szCs w:val="22"/>
        <w:lang w:val="fi-FI" w:eastAsia="en-US" w:bidi="ar-SA"/>
      </w:rPr>
    </w:lvl>
    <w:lvl w:ilvl="3">
      <w:numFmt w:val="bullet"/>
      <w:lvlText w:val="•"/>
      <w:lvlJc w:val="left"/>
      <w:pPr>
        <w:ind w:left="3972" w:hanging="286"/>
      </w:pPr>
      <w:rPr>
        <w:rFonts w:hint="default"/>
        <w:lang w:val="fi-FI" w:eastAsia="en-US" w:bidi="ar-SA"/>
      </w:rPr>
    </w:lvl>
    <w:lvl w:ilvl="4">
      <w:numFmt w:val="bullet"/>
      <w:lvlText w:val="•"/>
      <w:lvlJc w:val="left"/>
      <w:pPr>
        <w:ind w:left="5008" w:hanging="286"/>
      </w:pPr>
      <w:rPr>
        <w:rFonts w:hint="default"/>
        <w:lang w:val="fi-FI" w:eastAsia="en-US" w:bidi="ar-SA"/>
      </w:rPr>
    </w:lvl>
    <w:lvl w:ilvl="5">
      <w:numFmt w:val="bullet"/>
      <w:lvlText w:val="•"/>
      <w:lvlJc w:val="left"/>
      <w:pPr>
        <w:ind w:left="6045" w:hanging="286"/>
      </w:pPr>
      <w:rPr>
        <w:rFonts w:hint="default"/>
        <w:lang w:val="fi-FI" w:eastAsia="en-US" w:bidi="ar-SA"/>
      </w:rPr>
    </w:lvl>
    <w:lvl w:ilvl="6">
      <w:numFmt w:val="bullet"/>
      <w:lvlText w:val="•"/>
      <w:lvlJc w:val="left"/>
      <w:pPr>
        <w:ind w:left="7081" w:hanging="286"/>
      </w:pPr>
      <w:rPr>
        <w:rFonts w:hint="default"/>
        <w:lang w:val="fi-FI" w:eastAsia="en-US" w:bidi="ar-SA"/>
      </w:rPr>
    </w:lvl>
    <w:lvl w:ilvl="7">
      <w:numFmt w:val="bullet"/>
      <w:lvlText w:val="•"/>
      <w:lvlJc w:val="left"/>
      <w:pPr>
        <w:ind w:left="8117" w:hanging="286"/>
      </w:pPr>
      <w:rPr>
        <w:rFonts w:hint="default"/>
        <w:lang w:val="fi-FI" w:eastAsia="en-US" w:bidi="ar-SA"/>
      </w:rPr>
    </w:lvl>
    <w:lvl w:ilvl="8">
      <w:numFmt w:val="bullet"/>
      <w:lvlText w:val="•"/>
      <w:lvlJc w:val="left"/>
      <w:pPr>
        <w:ind w:left="9153" w:hanging="286"/>
      </w:pPr>
      <w:rPr>
        <w:rFonts w:hint="default"/>
        <w:lang w:val="fi-FI" w:eastAsia="en-US" w:bidi="ar-SA"/>
      </w:rPr>
    </w:lvl>
  </w:abstractNum>
  <w:abstractNum w:abstractNumId="50"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1" w15:restartNumberingAfterBreak="0">
    <w:nsid w:val="53B06113"/>
    <w:multiLevelType w:val="hybridMultilevel"/>
    <w:tmpl w:val="D07A68A6"/>
    <w:lvl w:ilvl="0" w:tplc="0A3E5AC4">
      <w:numFmt w:val="bullet"/>
      <w:lvlText w:val=""/>
      <w:lvlJc w:val="left"/>
      <w:pPr>
        <w:ind w:left="1604" w:hanging="567"/>
      </w:pPr>
      <w:rPr>
        <w:rFonts w:ascii="Symbol" w:eastAsia="Symbol" w:hAnsi="Symbol" w:cs="Symbol" w:hint="default"/>
        <w:b w:val="0"/>
        <w:bCs w:val="0"/>
        <w:i w:val="0"/>
        <w:iCs w:val="0"/>
        <w:spacing w:val="0"/>
        <w:w w:val="100"/>
        <w:sz w:val="22"/>
        <w:szCs w:val="22"/>
        <w:lang w:val="fi-FI" w:eastAsia="en-US" w:bidi="ar-SA"/>
      </w:rPr>
    </w:lvl>
    <w:lvl w:ilvl="1" w:tplc="70BEAFEC">
      <w:numFmt w:val="bullet"/>
      <w:lvlText w:val="•"/>
      <w:lvlJc w:val="left"/>
      <w:pPr>
        <w:ind w:left="2562" w:hanging="567"/>
      </w:pPr>
      <w:rPr>
        <w:rFonts w:hint="default"/>
        <w:lang w:val="fi-FI" w:eastAsia="en-US" w:bidi="ar-SA"/>
      </w:rPr>
    </w:lvl>
    <w:lvl w:ilvl="2" w:tplc="A2D071C6">
      <w:numFmt w:val="bullet"/>
      <w:lvlText w:val="•"/>
      <w:lvlJc w:val="left"/>
      <w:pPr>
        <w:ind w:left="3525" w:hanging="567"/>
      </w:pPr>
      <w:rPr>
        <w:rFonts w:hint="default"/>
        <w:lang w:val="fi-FI" w:eastAsia="en-US" w:bidi="ar-SA"/>
      </w:rPr>
    </w:lvl>
    <w:lvl w:ilvl="3" w:tplc="2E642742">
      <w:numFmt w:val="bullet"/>
      <w:lvlText w:val="•"/>
      <w:lvlJc w:val="left"/>
      <w:pPr>
        <w:ind w:left="4487" w:hanging="567"/>
      </w:pPr>
      <w:rPr>
        <w:rFonts w:hint="default"/>
        <w:lang w:val="fi-FI" w:eastAsia="en-US" w:bidi="ar-SA"/>
      </w:rPr>
    </w:lvl>
    <w:lvl w:ilvl="4" w:tplc="620859DC">
      <w:numFmt w:val="bullet"/>
      <w:lvlText w:val="•"/>
      <w:lvlJc w:val="left"/>
      <w:pPr>
        <w:ind w:left="5450" w:hanging="567"/>
      </w:pPr>
      <w:rPr>
        <w:rFonts w:hint="default"/>
        <w:lang w:val="fi-FI" w:eastAsia="en-US" w:bidi="ar-SA"/>
      </w:rPr>
    </w:lvl>
    <w:lvl w:ilvl="5" w:tplc="C5CA86EA">
      <w:numFmt w:val="bullet"/>
      <w:lvlText w:val="•"/>
      <w:lvlJc w:val="left"/>
      <w:pPr>
        <w:ind w:left="6413" w:hanging="567"/>
      </w:pPr>
      <w:rPr>
        <w:rFonts w:hint="default"/>
        <w:lang w:val="fi-FI" w:eastAsia="en-US" w:bidi="ar-SA"/>
      </w:rPr>
    </w:lvl>
    <w:lvl w:ilvl="6" w:tplc="4208AAB8">
      <w:numFmt w:val="bullet"/>
      <w:lvlText w:val="•"/>
      <w:lvlJc w:val="left"/>
      <w:pPr>
        <w:ind w:left="7375" w:hanging="567"/>
      </w:pPr>
      <w:rPr>
        <w:rFonts w:hint="default"/>
        <w:lang w:val="fi-FI" w:eastAsia="en-US" w:bidi="ar-SA"/>
      </w:rPr>
    </w:lvl>
    <w:lvl w:ilvl="7" w:tplc="DF4E6A40">
      <w:numFmt w:val="bullet"/>
      <w:lvlText w:val="•"/>
      <w:lvlJc w:val="left"/>
      <w:pPr>
        <w:ind w:left="8338" w:hanging="567"/>
      </w:pPr>
      <w:rPr>
        <w:rFonts w:hint="default"/>
        <w:lang w:val="fi-FI" w:eastAsia="en-US" w:bidi="ar-SA"/>
      </w:rPr>
    </w:lvl>
    <w:lvl w:ilvl="8" w:tplc="6F64E9AE">
      <w:numFmt w:val="bullet"/>
      <w:lvlText w:val="•"/>
      <w:lvlJc w:val="left"/>
      <w:pPr>
        <w:ind w:left="9301" w:hanging="567"/>
      </w:pPr>
      <w:rPr>
        <w:rFonts w:hint="default"/>
        <w:lang w:val="fi-FI" w:eastAsia="en-US" w:bidi="ar-SA"/>
      </w:rPr>
    </w:lvl>
  </w:abstractNum>
  <w:abstractNum w:abstractNumId="52" w15:restartNumberingAfterBreak="0">
    <w:nsid w:val="54C30A26"/>
    <w:multiLevelType w:val="hybridMultilevel"/>
    <w:tmpl w:val="1AF6A850"/>
    <w:lvl w:ilvl="0" w:tplc="89D8CED8">
      <w:numFmt w:val="bullet"/>
      <w:lvlText w:val=""/>
      <w:lvlJc w:val="left"/>
      <w:pPr>
        <w:ind w:left="1605" w:hanging="567"/>
      </w:pPr>
      <w:rPr>
        <w:rFonts w:ascii="Symbol" w:eastAsia="Symbol" w:hAnsi="Symbol" w:cs="Symbol" w:hint="default"/>
        <w:b w:val="0"/>
        <w:bCs w:val="0"/>
        <w:i w:val="0"/>
        <w:iCs w:val="0"/>
        <w:spacing w:val="0"/>
        <w:w w:val="100"/>
        <w:sz w:val="22"/>
        <w:szCs w:val="22"/>
        <w:lang w:val="fi-FI" w:eastAsia="en-US" w:bidi="ar-SA"/>
      </w:rPr>
    </w:lvl>
    <w:lvl w:ilvl="1" w:tplc="C89C882A">
      <w:numFmt w:val="bullet"/>
      <w:lvlText w:val="•"/>
      <w:lvlJc w:val="left"/>
      <w:pPr>
        <w:ind w:left="2562" w:hanging="567"/>
      </w:pPr>
      <w:rPr>
        <w:rFonts w:hint="default"/>
        <w:lang w:val="fi-FI" w:eastAsia="en-US" w:bidi="ar-SA"/>
      </w:rPr>
    </w:lvl>
    <w:lvl w:ilvl="2" w:tplc="1BB42CEE">
      <w:numFmt w:val="bullet"/>
      <w:lvlText w:val="•"/>
      <w:lvlJc w:val="left"/>
      <w:pPr>
        <w:ind w:left="3525" w:hanging="567"/>
      </w:pPr>
      <w:rPr>
        <w:rFonts w:hint="default"/>
        <w:lang w:val="fi-FI" w:eastAsia="en-US" w:bidi="ar-SA"/>
      </w:rPr>
    </w:lvl>
    <w:lvl w:ilvl="3" w:tplc="0342482E">
      <w:numFmt w:val="bullet"/>
      <w:lvlText w:val="•"/>
      <w:lvlJc w:val="left"/>
      <w:pPr>
        <w:ind w:left="4487" w:hanging="567"/>
      </w:pPr>
      <w:rPr>
        <w:rFonts w:hint="default"/>
        <w:lang w:val="fi-FI" w:eastAsia="en-US" w:bidi="ar-SA"/>
      </w:rPr>
    </w:lvl>
    <w:lvl w:ilvl="4" w:tplc="A1CEF82C">
      <w:numFmt w:val="bullet"/>
      <w:lvlText w:val="•"/>
      <w:lvlJc w:val="left"/>
      <w:pPr>
        <w:ind w:left="5450" w:hanging="567"/>
      </w:pPr>
      <w:rPr>
        <w:rFonts w:hint="default"/>
        <w:lang w:val="fi-FI" w:eastAsia="en-US" w:bidi="ar-SA"/>
      </w:rPr>
    </w:lvl>
    <w:lvl w:ilvl="5" w:tplc="6ADE44BE">
      <w:numFmt w:val="bullet"/>
      <w:lvlText w:val="•"/>
      <w:lvlJc w:val="left"/>
      <w:pPr>
        <w:ind w:left="6413" w:hanging="567"/>
      </w:pPr>
      <w:rPr>
        <w:rFonts w:hint="default"/>
        <w:lang w:val="fi-FI" w:eastAsia="en-US" w:bidi="ar-SA"/>
      </w:rPr>
    </w:lvl>
    <w:lvl w:ilvl="6" w:tplc="B7B2DD60">
      <w:numFmt w:val="bullet"/>
      <w:lvlText w:val="•"/>
      <w:lvlJc w:val="left"/>
      <w:pPr>
        <w:ind w:left="7375" w:hanging="567"/>
      </w:pPr>
      <w:rPr>
        <w:rFonts w:hint="default"/>
        <w:lang w:val="fi-FI" w:eastAsia="en-US" w:bidi="ar-SA"/>
      </w:rPr>
    </w:lvl>
    <w:lvl w:ilvl="7" w:tplc="52969AFA">
      <w:numFmt w:val="bullet"/>
      <w:lvlText w:val="•"/>
      <w:lvlJc w:val="left"/>
      <w:pPr>
        <w:ind w:left="8338" w:hanging="567"/>
      </w:pPr>
      <w:rPr>
        <w:rFonts w:hint="default"/>
        <w:lang w:val="fi-FI" w:eastAsia="en-US" w:bidi="ar-SA"/>
      </w:rPr>
    </w:lvl>
    <w:lvl w:ilvl="8" w:tplc="D9704A62">
      <w:numFmt w:val="bullet"/>
      <w:lvlText w:val="•"/>
      <w:lvlJc w:val="left"/>
      <w:pPr>
        <w:ind w:left="9301" w:hanging="567"/>
      </w:pPr>
      <w:rPr>
        <w:rFonts w:hint="default"/>
        <w:lang w:val="fi-FI" w:eastAsia="en-US" w:bidi="ar-SA"/>
      </w:rPr>
    </w:lvl>
  </w:abstractNum>
  <w:abstractNum w:abstractNumId="53" w15:restartNumberingAfterBreak="0">
    <w:nsid w:val="5B3C5C3C"/>
    <w:multiLevelType w:val="hybridMultilevel"/>
    <w:tmpl w:val="565EBF2C"/>
    <w:lvl w:ilvl="0" w:tplc="6AF25F48">
      <w:numFmt w:val="bullet"/>
      <w:lvlText w:val=""/>
      <w:lvlJc w:val="left"/>
      <w:pPr>
        <w:ind w:left="1605" w:hanging="567"/>
      </w:pPr>
      <w:rPr>
        <w:rFonts w:ascii="Symbol" w:eastAsia="Symbol" w:hAnsi="Symbol" w:cs="Symbol" w:hint="default"/>
        <w:b w:val="0"/>
        <w:bCs w:val="0"/>
        <w:i w:val="0"/>
        <w:iCs w:val="0"/>
        <w:spacing w:val="0"/>
        <w:w w:val="100"/>
        <w:sz w:val="22"/>
        <w:szCs w:val="22"/>
        <w:lang w:val="fi-FI" w:eastAsia="en-US" w:bidi="ar-SA"/>
      </w:rPr>
    </w:lvl>
    <w:lvl w:ilvl="1" w:tplc="B5C4D170">
      <w:numFmt w:val="bullet"/>
      <w:lvlText w:val="•"/>
      <w:lvlJc w:val="left"/>
      <w:pPr>
        <w:ind w:left="2562" w:hanging="567"/>
      </w:pPr>
      <w:rPr>
        <w:rFonts w:hint="default"/>
        <w:lang w:val="fi-FI" w:eastAsia="en-US" w:bidi="ar-SA"/>
      </w:rPr>
    </w:lvl>
    <w:lvl w:ilvl="2" w:tplc="3B0CAE44">
      <w:numFmt w:val="bullet"/>
      <w:lvlText w:val="•"/>
      <w:lvlJc w:val="left"/>
      <w:pPr>
        <w:ind w:left="3525" w:hanging="567"/>
      </w:pPr>
      <w:rPr>
        <w:rFonts w:hint="default"/>
        <w:lang w:val="fi-FI" w:eastAsia="en-US" w:bidi="ar-SA"/>
      </w:rPr>
    </w:lvl>
    <w:lvl w:ilvl="3" w:tplc="119AABE4">
      <w:numFmt w:val="bullet"/>
      <w:lvlText w:val="•"/>
      <w:lvlJc w:val="left"/>
      <w:pPr>
        <w:ind w:left="4487" w:hanging="567"/>
      </w:pPr>
      <w:rPr>
        <w:rFonts w:hint="default"/>
        <w:lang w:val="fi-FI" w:eastAsia="en-US" w:bidi="ar-SA"/>
      </w:rPr>
    </w:lvl>
    <w:lvl w:ilvl="4" w:tplc="D006FD1C">
      <w:numFmt w:val="bullet"/>
      <w:lvlText w:val="•"/>
      <w:lvlJc w:val="left"/>
      <w:pPr>
        <w:ind w:left="5450" w:hanging="567"/>
      </w:pPr>
      <w:rPr>
        <w:rFonts w:hint="default"/>
        <w:lang w:val="fi-FI" w:eastAsia="en-US" w:bidi="ar-SA"/>
      </w:rPr>
    </w:lvl>
    <w:lvl w:ilvl="5" w:tplc="E24C3FF0">
      <w:numFmt w:val="bullet"/>
      <w:lvlText w:val="•"/>
      <w:lvlJc w:val="left"/>
      <w:pPr>
        <w:ind w:left="6413" w:hanging="567"/>
      </w:pPr>
      <w:rPr>
        <w:rFonts w:hint="default"/>
        <w:lang w:val="fi-FI" w:eastAsia="en-US" w:bidi="ar-SA"/>
      </w:rPr>
    </w:lvl>
    <w:lvl w:ilvl="6" w:tplc="3B105878">
      <w:numFmt w:val="bullet"/>
      <w:lvlText w:val="•"/>
      <w:lvlJc w:val="left"/>
      <w:pPr>
        <w:ind w:left="7375" w:hanging="567"/>
      </w:pPr>
      <w:rPr>
        <w:rFonts w:hint="default"/>
        <w:lang w:val="fi-FI" w:eastAsia="en-US" w:bidi="ar-SA"/>
      </w:rPr>
    </w:lvl>
    <w:lvl w:ilvl="7" w:tplc="66983E22">
      <w:numFmt w:val="bullet"/>
      <w:lvlText w:val="•"/>
      <w:lvlJc w:val="left"/>
      <w:pPr>
        <w:ind w:left="8338" w:hanging="567"/>
      </w:pPr>
      <w:rPr>
        <w:rFonts w:hint="default"/>
        <w:lang w:val="fi-FI" w:eastAsia="en-US" w:bidi="ar-SA"/>
      </w:rPr>
    </w:lvl>
    <w:lvl w:ilvl="8" w:tplc="149CFB12">
      <w:numFmt w:val="bullet"/>
      <w:lvlText w:val="•"/>
      <w:lvlJc w:val="left"/>
      <w:pPr>
        <w:ind w:left="9301" w:hanging="567"/>
      </w:pPr>
      <w:rPr>
        <w:rFonts w:hint="default"/>
        <w:lang w:val="fi-FI" w:eastAsia="en-US" w:bidi="ar-SA"/>
      </w:rPr>
    </w:lvl>
  </w:abstractNum>
  <w:abstractNum w:abstractNumId="54" w15:restartNumberingAfterBreak="0">
    <w:nsid w:val="5EAD5683"/>
    <w:multiLevelType w:val="hybridMultilevel"/>
    <w:tmpl w:val="4FBA17A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5"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6"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57" w15:restartNumberingAfterBreak="0">
    <w:nsid w:val="60445288"/>
    <w:multiLevelType w:val="hybridMultilevel"/>
    <w:tmpl w:val="ED9401CC"/>
    <w:lvl w:ilvl="0" w:tplc="5F5228EA">
      <w:start w:val="1"/>
      <w:numFmt w:val="upperLetter"/>
      <w:lvlText w:val="%1."/>
      <w:lvlJc w:val="left"/>
      <w:pPr>
        <w:ind w:left="2739" w:hanging="569"/>
      </w:pPr>
      <w:rPr>
        <w:rFonts w:ascii="Times New Roman" w:eastAsia="Times New Roman" w:hAnsi="Times New Roman" w:cs="Times New Roman" w:hint="default"/>
        <w:b/>
        <w:bCs/>
        <w:i w:val="0"/>
        <w:iCs w:val="0"/>
        <w:spacing w:val="-2"/>
        <w:w w:val="100"/>
        <w:sz w:val="22"/>
        <w:szCs w:val="22"/>
        <w:lang w:val="fi-FI" w:eastAsia="en-US" w:bidi="ar-SA"/>
      </w:rPr>
    </w:lvl>
    <w:lvl w:ilvl="1" w:tplc="E6726690">
      <w:numFmt w:val="bullet"/>
      <w:lvlText w:val="•"/>
      <w:lvlJc w:val="left"/>
      <w:pPr>
        <w:ind w:left="3588" w:hanging="569"/>
      </w:pPr>
      <w:rPr>
        <w:rFonts w:hint="default"/>
        <w:lang w:val="fi-FI" w:eastAsia="en-US" w:bidi="ar-SA"/>
      </w:rPr>
    </w:lvl>
    <w:lvl w:ilvl="2" w:tplc="FB441428">
      <w:numFmt w:val="bullet"/>
      <w:lvlText w:val="•"/>
      <w:lvlJc w:val="left"/>
      <w:pPr>
        <w:ind w:left="4437" w:hanging="569"/>
      </w:pPr>
      <w:rPr>
        <w:rFonts w:hint="default"/>
        <w:lang w:val="fi-FI" w:eastAsia="en-US" w:bidi="ar-SA"/>
      </w:rPr>
    </w:lvl>
    <w:lvl w:ilvl="3" w:tplc="93E42FAE">
      <w:numFmt w:val="bullet"/>
      <w:lvlText w:val="•"/>
      <w:lvlJc w:val="left"/>
      <w:pPr>
        <w:ind w:left="5285" w:hanging="569"/>
      </w:pPr>
      <w:rPr>
        <w:rFonts w:hint="default"/>
        <w:lang w:val="fi-FI" w:eastAsia="en-US" w:bidi="ar-SA"/>
      </w:rPr>
    </w:lvl>
    <w:lvl w:ilvl="4" w:tplc="71E496F0">
      <w:numFmt w:val="bullet"/>
      <w:lvlText w:val="•"/>
      <w:lvlJc w:val="left"/>
      <w:pPr>
        <w:ind w:left="6134" w:hanging="569"/>
      </w:pPr>
      <w:rPr>
        <w:rFonts w:hint="default"/>
        <w:lang w:val="fi-FI" w:eastAsia="en-US" w:bidi="ar-SA"/>
      </w:rPr>
    </w:lvl>
    <w:lvl w:ilvl="5" w:tplc="0A84A770">
      <w:numFmt w:val="bullet"/>
      <w:lvlText w:val="•"/>
      <w:lvlJc w:val="left"/>
      <w:pPr>
        <w:ind w:left="6983" w:hanging="569"/>
      </w:pPr>
      <w:rPr>
        <w:rFonts w:hint="default"/>
        <w:lang w:val="fi-FI" w:eastAsia="en-US" w:bidi="ar-SA"/>
      </w:rPr>
    </w:lvl>
    <w:lvl w:ilvl="6" w:tplc="E6608B6A">
      <w:numFmt w:val="bullet"/>
      <w:lvlText w:val="•"/>
      <w:lvlJc w:val="left"/>
      <w:pPr>
        <w:ind w:left="7831" w:hanging="569"/>
      </w:pPr>
      <w:rPr>
        <w:rFonts w:hint="default"/>
        <w:lang w:val="fi-FI" w:eastAsia="en-US" w:bidi="ar-SA"/>
      </w:rPr>
    </w:lvl>
    <w:lvl w:ilvl="7" w:tplc="0B6ED664">
      <w:numFmt w:val="bullet"/>
      <w:lvlText w:val="•"/>
      <w:lvlJc w:val="left"/>
      <w:pPr>
        <w:ind w:left="8680" w:hanging="569"/>
      </w:pPr>
      <w:rPr>
        <w:rFonts w:hint="default"/>
        <w:lang w:val="fi-FI" w:eastAsia="en-US" w:bidi="ar-SA"/>
      </w:rPr>
    </w:lvl>
    <w:lvl w:ilvl="8" w:tplc="34E6D614">
      <w:numFmt w:val="bullet"/>
      <w:lvlText w:val="•"/>
      <w:lvlJc w:val="left"/>
      <w:pPr>
        <w:ind w:left="9529" w:hanging="569"/>
      </w:pPr>
      <w:rPr>
        <w:rFonts w:hint="default"/>
        <w:lang w:val="fi-FI" w:eastAsia="en-US" w:bidi="ar-SA"/>
      </w:rPr>
    </w:lvl>
  </w:abstractNum>
  <w:abstractNum w:abstractNumId="58"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59"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60"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1"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2" w15:restartNumberingAfterBreak="0">
    <w:nsid w:val="6BB967F7"/>
    <w:multiLevelType w:val="hybridMultilevel"/>
    <w:tmpl w:val="74041718"/>
    <w:lvl w:ilvl="0" w:tplc="5D9ED462">
      <w:numFmt w:val="bullet"/>
      <w:lvlText w:val=""/>
      <w:lvlJc w:val="left"/>
      <w:pPr>
        <w:ind w:left="1605" w:hanging="567"/>
      </w:pPr>
      <w:rPr>
        <w:rFonts w:ascii="Symbol" w:eastAsia="Symbol" w:hAnsi="Symbol" w:cs="Symbol" w:hint="default"/>
        <w:b w:val="0"/>
        <w:bCs w:val="0"/>
        <w:i w:val="0"/>
        <w:iCs w:val="0"/>
        <w:spacing w:val="0"/>
        <w:w w:val="100"/>
        <w:sz w:val="22"/>
        <w:szCs w:val="22"/>
        <w:lang w:val="fi-FI" w:eastAsia="en-US" w:bidi="ar-SA"/>
      </w:rPr>
    </w:lvl>
    <w:lvl w:ilvl="1" w:tplc="3F5E70D0">
      <w:numFmt w:val="bullet"/>
      <w:lvlText w:val="•"/>
      <w:lvlJc w:val="left"/>
      <w:pPr>
        <w:ind w:left="2562" w:hanging="567"/>
      </w:pPr>
      <w:rPr>
        <w:rFonts w:hint="default"/>
        <w:lang w:val="fi-FI" w:eastAsia="en-US" w:bidi="ar-SA"/>
      </w:rPr>
    </w:lvl>
    <w:lvl w:ilvl="2" w:tplc="65FE5A30">
      <w:numFmt w:val="bullet"/>
      <w:lvlText w:val="•"/>
      <w:lvlJc w:val="left"/>
      <w:pPr>
        <w:ind w:left="3525" w:hanging="567"/>
      </w:pPr>
      <w:rPr>
        <w:rFonts w:hint="default"/>
        <w:lang w:val="fi-FI" w:eastAsia="en-US" w:bidi="ar-SA"/>
      </w:rPr>
    </w:lvl>
    <w:lvl w:ilvl="3" w:tplc="792ABF14">
      <w:numFmt w:val="bullet"/>
      <w:lvlText w:val="•"/>
      <w:lvlJc w:val="left"/>
      <w:pPr>
        <w:ind w:left="4487" w:hanging="567"/>
      </w:pPr>
      <w:rPr>
        <w:rFonts w:hint="default"/>
        <w:lang w:val="fi-FI" w:eastAsia="en-US" w:bidi="ar-SA"/>
      </w:rPr>
    </w:lvl>
    <w:lvl w:ilvl="4" w:tplc="D54C5EA6">
      <w:numFmt w:val="bullet"/>
      <w:lvlText w:val="•"/>
      <w:lvlJc w:val="left"/>
      <w:pPr>
        <w:ind w:left="5450" w:hanging="567"/>
      </w:pPr>
      <w:rPr>
        <w:rFonts w:hint="default"/>
        <w:lang w:val="fi-FI" w:eastAsia="en-US" w:bidi="ar-SA"/>
      </w:rPr>
    </w:lvl>
    <w:lvl w:ilvl="5" w:tplc="8F0A048E">
      <w:numFmt w:val="bullet"/>
      <w:lvlText w:val="•"/>
      <w:lvlJc w:val="left"/>
      <w:pPr>
        <w:ind w:left="6413" w:hanging="567"/>
      </w:pPr>
      <w:rPr>
        <w:rFonts w:hint="default"/>
        <w:lang w:val="fi-FI" w:eastAsia="en-US" w:bidi="ar-SA"/>
      </w:rPr>
    </w:lvl>
    <w:lvl w:ilvl="6" w:tplc="00A2B8AE">
      <w:numFmt w:val="bullet"/>
      <w:lvlText w:val="•"/>
      <w:lvlJc w:val="left"/>
      <w:pPr>
        <w:ind w:left="7375" w:hanging="567"/>
      </w:pPr>
      <w:rPr>
        <w:rFonts w:hint="default"/>
        <w:lang w:val="fi-FI" w:eastAsia="en-US" w:bidi="ar-SA"/>
      </w:rPr>
    </w:lvl>
    <w:lvl w:ilvl="7" w:tplc="A2F8A7A6">
      <w:numFmt w:val="bullet"/>
      <w:lvlText w:val="•"/>
      <w:lvlJc w:val="left"/>
      <w:pPr>
        <w:ind w:left="8338" w:hanging="567"/>
      </w:pPr>
      <w:rPr>
        <w:rFonts w:hint="default"/>
        <w:lang w:val="fi-FI" w:eastAsia="en-US" w:bidi="ar-SA"/>
      </w:rPr>
    </w:lvl>
    <w:lvl w:ilvl="8" w:tplc="09D2265E">
      <w:numFmt w:val="bullet"/>
      <w:lvlText w:val="•"/>
      <w:lvlJc w:val="left"/>
      <w:pPr>
        <w:ind w:left="9301" w:hanging="567"/>
      </w:pPr>
      <w:rPr>
        <w:rFonts w:hint="default"/>
        <w:lang w:val="fi-FI" w:eastAsia="en-US" w:bidi="ar-SA"/>
      </w:rPr>
    </w:lvl>
  </w:abstractNum>
  <w:abstractNum w:abstractNumId="63"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4" w15:restartNumberingAfterBreak="0">
    <w:nsid w:val="6FB00059"/>
    <w:multiLevelType w:val="hybridMultilevel"/>
    <w:tmpl w:val="E6AA93B4"/>
    <w:lvl w:ilvl="0" w:tplc="02AA99BC">
      <w:numFmt w:val="bullet"/>
      <w:lvlText w:val=""/>
      <w:lvlJc w:val="left"/>
      <w:pPr>
        <w:ind w:left="1326" w:hanging="289"/>
      </w:pPr>
      <w:rPr>
        <w:rFonts w:ascii="Symbol" w:eastAsia="Symbol" w:hAnsi="Symbol" w:cs="Symbol" w:hint="default"/>
        <w:b/>
        <w:bCs/>
        <w:i w:val="0"/>
        <w:iCs w:val="0"/>
        <w:spacing w:val="0"/>
        <w:w w:val="100"/>
        <w:sz w:val="22"/>
        <w:szCs w:val="22"/>
        <w:lang w:val="fi-FI" w:eastAsia="en-US" w:bidi="ar-SA"/>
      </w:rPr>
    </w:lvl>
    <w:lvl w:ilvl="1" w:tplc="4FFAB3FE">
      <w:numFmt w:val="bullet"/>
      <w:lvlText w:val="•"/>
      <w:lvlJc w:val="left"/>
      <w:pPr>
        <w:ind w:left="1566" w:hanging="133"/>
      </w:pPr>
      <w:rPr>
        <w:rFonts w:ascii="Times New Roman" w:eastAsia="Times New Roman" w:hAnsi="Times New Roman" w:cs="Times New Roman" w:hint="default"/>
        <w:b w:val="0"/>
        <w:bCs w:val="0"/>
        <w:i w:val="0"/>
        <w:iCs w:val="0"/>
        <w:color w:val="231F20"/>
        <w:spacing w:val="0"/>
        <w:w w:val="100"/>
        <w:sz w:val="22"/>
        <w:szCs w:val="22"/>
        <w:lang w:val="fi-FI" w:eastAsia="en-US" w:bidi="ar-SA"/>
      </w:rPr>
    </w:lvl>
    <w:lvl w:ilvl="2" w:tplc="94D4378C">
      <w:numFmt w:val="bullet"/>
      <w:lvlText w:val="•"/>
      <w:lvlJc w:val="left"/>
      <w:pPr>
        <w:ind w:left="2634" w:hanging="133"/>
      </w:pPr>
      <w:rPr>
        <w:rFonts w:hint="default"/>
        <w:lang w:val="fi-FI" w:eastAsia="en-US" w:bidi="ar-SA"/>
      </w:rPr>
    </w:lvl>
    <w:lvl w:ilvl="3" w:tplc="581CB8A2">
      <w:numFmt w:val="bullet"/>
      <w:lvlText w:val="•"/>
      <w:lvlJc w:val="left"/>
      <w:pPr>
        <w:ind w:left="3708" w:hanging="133"/>
      </w:pPr>
      <w:rPr>
        <w:rFonts w:hint="default"/>
        <w:lang w:val="fi-FI" w:eastAsia="en-US" w:bidi="ar-SA"/>
      </w:rPr>
    </w:lvl>
    <w:lvl w:ilvl="4" w:tplc="C06473FE">
      <w:numFmt w:val="bullet"/>
      <w:lvlText w:val="•"/>
      <w:lvlJc w:val="left"/>
      <w:pPr>
        <w:ind w:left="4782" w:hanging="133"/>
      </w:pPr>
      <w:rPr>
        <w:rFonts w:hint="default"/>
        <w:lang w:val="fi-FI" w:eastAsia="en-US" w:bidi="ar-SA"/>
      </w:rPr>
    </w:lvl>
    <w:lvl w:ilvl="5" w:tplc="55282FDA">
      <w:numFmt w:val="bullet"/>
      <w:lvlText w:val="•"/>
      <w:lvlJc w:val="left"/>
      <w:pPr>
        <w:ind w:left="5856" w:hanging="133"/>
      </w:pPr>
      <w:rPr>
        <w:rFonts w:hint="default"/>
        <w:lang w:val="fi-FI" w:eastAsia="en-US" w:bidi="ar-SA"/>
      </w:rPr>
    </w:lvl>
    <w:lvl w:ilvl="6" w:tplc="170EC826">
      <w:numFmt w:val="bullet"/>
      <w:lvlText w:val="•"/>
      <w:lvlJc w:val="left"/>
      <w:pPr>
        <w:ind w:left="6930" w:hanging="133"/>
      </w:pPr>
      <w:rPr>
        <w:rFonts w:hint="default"/>
        <w:lang w:val="fi-FI" w:eastAsia="en-US" w:bidi="ar-SA"/>
      </w:rPr>
    </w:lvl>
    <w:lvl w:ilvl="7" w:tplc="0B784EB4">
      <w:numFmt w:val="bullet"/>
      <w:lvlText w:val="•"/>
      <w:lvlJc w:val="left"/>
      <w:pPr>
        <w:ind w:left="8004" w:hanging="133"/>
      </w:pPr>
      <w:rPr>
        <w:rFonts w:hint="default"/>
        <w:lang w:val="fi-FI" w:eastAsia="en-US" w:bidi="ar-SA"/>
      </w:rPr>
    </w:lvl>
    <w:lvl w:ilvl="8" w:tplc="CFF8D76C">
      <w:numFmt w:val="bullet"/>
      <w:lvlText w:val="•"/>
      <w:lvlJc w:val="left"/>
      <w:pPr>
        <w:ind w:left="9078" w:hanging="133"/>
      </w:pPr>
      <w:rPr>
        <w:rFonts w:hint="default"/>
        <w:lang w:val="fi-FI" w:eastAsia="en-US" w:bidi="ar-SA"/>
      </w:rPr>
    </w:lvl>
  </w:abstractNum>
  <w:abstractNum w:abstractNumId="65" w15:restartNumberingAfterBreak="0">
    <w:nsid w:val="704D7F0C"/>
    <w:multiLevelType w:val="hybridMultilevel"/>
    <w:tmpl w:val="80E0B4C6"/>
    <w:lvl w:ilvl="0" w:tplc="8C16A040">
      <w:numFmt w:val="bullet"/>
      <w:lvlText w:val=""/>
      <w:lvlJc w:val="left"/>
      <w:pPr>
        <w:ind w:left="1751" w:hanging="356"/>
      </w:pPr>
      <w:rPr>
        <w:rFonts w:ascii="Symbol" w:eastAsia="Symbol" w:hAnsi="Symbol" w:cs="Symbol" w:hint="default"/>
        <w:spacing w:val="0"/>
        <w:w w:val="100"/>
        <w:lang w:val="fi-FI" w:eastAsia="en-US" w:bidi="ar-SA"/>
      </w:rPr>
    </w:lvl>
    <w:lvl w:ilvl="1" w:tplc="4D3691C0">
      <w:numFmt w:val="bullet"/>
      <w:lvlText w:val=""/>
      <w:lvlJc w:val="left"/>
      <w:pPr>
        <w:ind w:left="2116" w:hanging="358"/>
      </w:pPr>
      <w:rPr>
        <w:rFonts w:ascii="Symbol" w:eastAsia="Symbol" w:hAnsi="Symbol" w:cs="Symbol" w:hint="default"/>
        <w:b/>
        <w:bCs/>
        <w:i w:val="0"/>
        <w:iCs w:val="0"/>
        <w:spacing w:val="0"/>
        <w:w w:val="100"/>
        <w:sz w:val="22"/>
        <w:szCs w:val="22"/>
        <w:lang w:val="fi-FI" w:eastAsia="en-US" w:bidi="ar-SA"/>
      </w:rPr>
    </w:lvl>
    <w:lvl w:ilvl="2" w:tplc="E916AA2E">
      <w:numFmt w:val="bullet"/>
      <w:lvlText w:val="•"/>
      <w:lvlJc w:val="left"/>
      <w:pPr>
        <w:ind w:left="2120" w:hanging="358"/>
      </w:pPr>
      <w:rPr>
        <w:rFonts w:hint="default"/>
        <w:lang w:val="fi-FI" w:eastAsia="en-US" w:bidi="ar-SA"/>
      </w:rPr>
    </w:lvl>
    <w:lvl w:ilvl="3" w:tplc="35741DCE">
      <w:numFmt w:val="bullet"/>
      <w:lvlText w:val="•"/>
      <w:lvlJc w:val="left"/>
      <w:pPr>
        <w:ind w:left="2460" w:hanging="358"/>
      </w:pPr>
      <w:rPr>
        <w:rFonts w:hint="default"/>
        <w:lang w:val="fi-FI" w:eastAsia="en-US" w:bidi="ar-SA"/>
      </w:rPr>
    </w:lvl>
    <w:lvl w:ilvl="4" w:tplc="AB902A58">
      <w:numFmt w:val="bullet"/>
      <w:lvlText w:val="•"/>
      <w:lvlJc w:val="left"/>
      <w:pPr>
        <w:ind w:left="3712" w:hanging="358"/>
      </w:pPr>
      <w:rPr>
        <w:rFonts w:hint="default"/>
        <w:lang w:val="fi-FI" w:eastAsia="en-US" w:bidi="ar-SA"/>
      </w:rPr>
    </w:lvl>
    <w:lvl w:ilvl="5" w:tplc="F6084C42">
      <w:numFmt w:val="bullet"/>
      <w:lvlText w:val="•"/>
      <w:lvlJc w:val="left"/>
      <w:pPr>
        <w:ind w:left="4964" w:hanging="358"/>
      </w:pPr>
      <w:rPr>
        <w:rFonts w:hint="default"/>
        <w:lang w:val="fi-FI" w:eastAsia="en-US" w:bidi="ar-SA"/>
      </w:rPr>
    </w:lvl>
    <w:lvl w:ilvl="6" w:tplc="E88E2798">
      <w:numFmt w:val="bullet"/>
      <w:lvlText w:val="•"/>
      <w:lvlJc w:val="left"/>
      <w:pPr>
        <w:ind w:left="6217" w:hanging="358"/>
      </w:pPr>
      <w:rPr>
        <w:rFonts w:hint="default"/>
        <w:lang w:val="fi-FI" w:eastAsia="en-US" w:bidi="ar-SA"/>
      </w:rPr>
    </w:lvl>
    <w:lvl w:ilvl="7" w:tplc="3BDAA6A8">
      <w:numFmt w:val="bullet"/>
      <w:lvlText w:val="•"/>
      <w:lvlJc w:val="left"/>
      <w:pPr>
        <w:ind w:left="7469" w:hanging="358"/>
      </w:pPr>
      <w:rPr>
        <w:rFonts w:hint="default"/>
        <w:lang w:val="fi-FI" w:eastAsia="en-US" w:bidi="ar-SA"/>
      </w:rPr>
    </w:lvl>
    <w:lvl w:ilvl="8" w:tplc="E5707584">
      <w:numFmt w:val="bullet"/>
      <w:lvlText w:val="•"/>
      <w:lvlJc w:val="left"/>
      <w:pPr>
        <w:ind w:left="8721" w:hanging="358"/>
      </w:pPr>
      <w:rPr>
        <w:rFonts w:hint="default"/>
        <w:lang w:val="fi-FI" w:eastAsia="en-US" w:bidi="ar-SA"/>
      </w:rPr>
    </w:lvl>
  </w:abstractNum>
  <w:abstractNum w:abstractNumId="66"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7" w15:restartNumberingAfterBreak="0">
    <w:nsid w:val="71A22937"/>
    <w:multiLevelType w:val="hybridMultilevel"/>
    <w:tmpl w:val="A8FC4A1A"/>
    <w:lvl w:ilvl="0" w:tplc="4B04640E">
      <w:start w:val="1"/>
      <w:numFmt w:val="decimal"/>
      <w:lvlText w:val="%1."/>
      <w:lvlJc w:val="left"/>
      <w:pPr>
        <w:ind w:left="1605" w:hanging="567"/>
      </w:pPr>
      <w:rPr>
        <w:rFonts w:ascii="Times New Roman" w:eastAsia="Times New Roman" w:hAnsi="Times New Roman" w:cs="Times New Roman" w:hint="default"/>
        <w:b/>
        <w:bCs/>
        <w:i w:val="0"/>
        <w:iCs w:val="0"/>
        <w:spacing w:val="0"/>
        <w:w w:val="100"/>
        <w:sz w:val="22"/>
        <w:szCs w:val="22"/>
        <w:lang w:val="fi-FI" w:eastAsia="en-US" w:bidi="ar-SA"/>
      </w:rPr>
    </w:lvl>
    <w:lvl w:ilvl="1" w:tplc="ED963E50">
      <w:numFmt w:val="bullet"/>
      <w:lvlText w:val=""/>
      <w:lvlJc w:val="left"/>
      <w:pPr>
        <w:ind w:left="1604" w:hanging="567"/>
      </w:pPr>
      <w:rPr>
        <w:rFonts w:ascii="Symbol" w:eastAsia="Symbol" w:hAnsi="Symbol" w:cs="Symbol" w:hint="default"/>
        <w:spacing w:val="0"/>
        <w:w w:val="100"/>
        <w:lang w:val="fi-FI" w:eastAsia="en-US" w:bidi="ar-SA"/>
      </w:rPr>
    </w:lvl>
    <w:lvl w:ilvl="2" w:tplc="D2C44274">
      <w:numFmt w:val="bullet"/>
      <w:lvlText w:val="•"/>
      <w:lvlJc w:val="left"/>
      <w:pPr>
        <w:ind w:left="2669" w:hanging="567"/>
      </w:pPr>
      <w:rPr>
        <w:rFonts w:hint="default"/>
        <w:lang w:val="fi-FI" w:eastAsia="en-US" w:bidi="ar-SA"/>
      </w:rPr>
    </w:lvl>
    <w:lvl w:ilvl="3" w:tplc="CF48BA20">
      <w:numFmt w:val="bullet"/>
      <w:lvlText w:val="•"/>
      <w:lvlJc w:val="left"/>
      <w:pPr>
        <w:ind w:left="3739" w:hanging="567"/>
      </w:pPr>
      <w:rPr>
        <w:rFonts w:hint="default"/>
        <w:lang w:val="fi-FI" w:eastAsia="en-US" w:bidi="ar-SA"/>
      </w:rPr>
    </w:lvl>
    <w:lvl w:ilvl="4" w:tplc="109472EE">
      <w:numFmt w:val="bullet"/>
      <w:lvlText w:val="•"/>
      <w:lvlJc w:val="left"/>
      <w:pPr>
        <w:ind w:left="4808" w:hanging="567"/>
      </w:pPr>
      <w:rPr>
        <w:rFonts w:hint="default"/>
        <w:lang w:val="fi-FI" w:eastAsia="en-US" w:bidi="ar-SA"/>
      </w:rPr>
    </w:lvl>
    <w:lvl w:ilvl="5" w:tplc="9C1C6DF6">
      <w:numFmt w:val="bullet"/>
      <w:lvlText w:val="•"/>
      <w:lvlJc w:val="left"/>
      <w:pPr>
        <w:ind w:left="5878" w:hanging="567"/>
      </w:pPr>
      <w:rPr>
        <w:rFonts w:hint="default"/>
        <w:lang w:val="fi-FI" w:eastAsia="en-US" w:bidi="ar-SA"/>
      </w:rPr>
    </w:lvl>
    <w:lvl w:ilvl="6" w:tplc="1858286C">
      <w:numFmt w:val="bullet"/>
      <w:lvlText w:val="•"/>
      <w:lvlJc w:val="left"/>
      <w:pPr>
        <w:ind w:left="6948" w:hanging="567"/>
      </w:pPr>
      <w:rPr>
        <w:rFonts w:hint="default"/>
        <w:lang w:val="fi-FI" w:eastAsia="en-US" w:bidi="ar-SA"/>
      </w:rPr>
    </w:lvl>
    <w:lvl w:ilvl="7" w:tplc="072A1CB4">
      <w:numFmt w:val="bullet"/>
      <w:lvlText w:val="•"/>
      <w:lvlJc w:val="left"/>
      <w:pPr>
        <w:ind w:left="8017" w:hanging="567"/>
      </w:pPr>
      <w:rPr>
        <w:rFonts w:hint="default"/>
        <w:lang w:val="fi-FI" w:eastAsia="en-US" w:bidi="ar-SA"/>
      </w:rPr>
    </w:lvl>
    <w:lvl w:ilvl="8" w:tplc="76B214AA">
      <w:numFmt w:val="bullet"/>
      <w:lvlText w:val="•"/>
      <w:lvlJc w:val="left"/>
      <w:pPr>
        <w:ind w:left="9087" w:hanging="567"/>
      </w:pPr>
      <w:rPr>
        <w:rFonts w:hint="default"/>
        <w:lang w:val="fi-FI" w:eastAsia="en-US" w:bidi="ar-SA"/>
      </w:rPr>
    </w:lvl>
  </w:abstractNum>
  <w:abstractNum w:abstractNumId="68" w15:restartNumberingAfterBreak="0">
    <w:nsid w:val="71DA118D"/>
    <w:multiLevelType w:val="hybridMultilevel"/>
    <w:tmpl w:val="00005030"/>
    <w:lvl w:ilvl="0" w:tplc="AC1A0752">
      <w:numFmt w:val="bullet"/>
      <w:lvlText w:val=""/>
      <w:lvlJc w:val="left"/>
      <w:pPr>
        <w:ind w:left="1604" w:hanging="567"/>
      </w:pPr>
      <w:rPr>
        <w:rFonts w:ascii="Symbol" w:eastAsia="Symbol" w:hAnsi="Symbol" w:cs="Symbol" w:hint="default"/>
        <w:b w:val="0"/>
        <w:bCs w:val="0"/>
        <w:i w:val="0"/>
        <w:iCs w:val="0"/>
        <w:spacing w:val="0"/>
        <w:w w:val="100"/>
        <w:sz w:val="22"/>
        <w:szCs w:val="22"/>
        <w:lang w:val="fi-FI" w:eastAsia="en-US" w:bidi="ar-SA"/>
      </w:rPr>
    </w:lvl>
    <w:lvl w:ilvl="1" w:tplc="5060FE1A">
      <w:numFmt w:val="bullet"/>
      <w:lvlText w:val="•"/>
      <w:lvlJc w:val="left"/>
      <w:pPr>
        <w:ind w:left="2562" w:hanging="567"/>
      </w:pPr>
      <w:rPr>
        <w:rFonts w:hint="default"/>
        <w:lang w:val="fi-FI" w:eastAsia="en-US" w:bidi="ar-SA"/>
      </w:rPr>
    </w:lvl>
    <w:lvl w:ilvl="2" w:tplc="E39C9D00">
      <w:numFmt w:val="bullet"/>
      <w:lvlText w:val="•"/>
      <w:lvlJc w:val="left"/>
      <w:pPr>
        <w:ind w:left="3525" w:hanging="567"/>
      </w:pPr>
      <w:rPr>
        <w:rFonts w:hint="default"/>
        <w:lang w:val="fi-FI" w:eastAsia="en-US" w:bidi="ar-SA"/>
      </w:rPr>
    </w:lvl>
    <w:lvl w:ilvl="3" w:tplc="7A42AE10">
      <w:numFmt w:val="bullet"/>
      <w:lvlText w:val="•"/>
      <w:lvlJc w:val="left"/>
      <w:pPr>
        <w:ind w:left="4487" w:hanging="567"/>
      </w:pPr>
      <w:rPr>
        <w:rFonts w:hint="default"/>
        <w:lang w:val="fi-FI" w:eastAsia="en-US" w:bidi="ar-SA"/>
      </w:rPr>
    </w:lvl>
    <w:lvl w:ilvl="4" w:tplc="4FE098FE">
      <w:numFmt w:val="bullet"/>
      <w:lvlText w:val="•"/>
      <w:lvlJc w:val="left"/>
      <w:pPr>
        <w:ind w:left="5450" w:hanging="567"/>
      </w:pPr>
      <w:rPr>
        <w:rFonts w:hint="default"/>
        <w:lang w:val="fi-FI" w:eastAsia="en-US" w:bidi="ar-SA"/>
      </w:rPr>
    </w:lvl>
    <w:lvl w:ilvl="5" w:tplc="DABA8E72">
      <w:numFmt w:val="bullet"/>
      <w:lvlText w:val="•"/>
      <w:lvlJc w:val="left"/>
      <w:pPr>
        <w:ind w:left="6413" w:hanging="567"/>
      </w:pPr>
      <w:rPr>
        <w:rFonts w:hint="default"/>
        <w:lang w:val="fi-FI" w:eastAsia="en-US" w:bidi="ar-SA"/>
      </w:rPr>
    </w:lvl>
    <w:lvl w:ilvl="6" w:tplc="43B84550">
      <w:numFmt w:val="bullet"/>
      <w:lvlText w:val="•"/>
      <w:lvlJc w:val="left"/>
      <w:pPr>
        <w:ind w:left="7375" w:hanging="567"/>
      </w:pPr>
      <w:rPr>
        <w:rFonts w:hint="default"/>
        <w:lang w:val="fi-FI" w:eastAsia="en-US" w:bidi="ar-SA"/>
      </w:rPr>
    </w:lvl>
    <w:lvl w:ilvl="7" w:tplc="91BA13CA">
      <w:numFmt w:val="bullet"/>
      <w:lvlText w:val="•"/>
      <w:lvlJc w:val="left"/>
      <w:pPr>
        <w:ind w:left="8338" w:hanging="567"/>
      </w:pPr>
      <w:rPr>
        <w:rFonts w:hint="default"/>
        <w:lang w:val="fi-FI" w:eastAsia="en-US" w:bidi="ar-SA"/>
      </w:rPr>
    </w:lvl>
    <w:lvl w:ilvl="8" w:tplc="A4306EA4">
      <w:numFmt w:val="bullet"/>
      <w:lvlText w:val="•"/>
      <w:lvlJc w:val="left"/>
      <w:pPr>
        <w:ind w:left="9301" w:hanging="567"/>
      </w:pPr>
      <w:rPr>
        <w:rFonts w:hint="default"/>
        <w:lang w:val="fi-FI" w:eastAsia="en-US" w:bidi="ar-SA"/>
      </w:rPr>
    </w:lvl>
  </w:abstractNum>
  <w:abstractNum w:abstractNumId="69" w15:restartNumberingAfterBreak="0">
    <w:nsid w:val="740820E1"/>
    <w:multiLevelType w:val="hybridMultilevel"/>
    <w:tmpl w:val="AC245350"/>
    <w:lvl w:ilvl="0" w:tplc="DFE84B9A">
      <w:start w:val="1"/>
      <w:numFmt w:val="bullet"/>
      <w:lvlText w:val="-"/>
      <w:lvlJc w:val="left"/>
      <w:pPr>
        <w:ind w:left="4613" w:hanging="360"/>
      </w:pPr>
      <w:rPr>
        <w:rFonts w:ascii="Times New Roman" w:eastAsia="DengXia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70"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1"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2"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num w:numId="1" w16cid:durableId="1281374008">
    <w:abstractNumId w:val="21"/>
  </w:num>
  <w:num w:numId="2" w16cid:durableId="756630228">
    <w:abstractNumId w:val="65"/>
  </w:num>
  <w:num w:numId="3" w16cid:durableId="1564172220">
    <w:abstractNumId w:val="64"/>
  </w:num>
  <w:num w:numId="4" w16cid:durableId="1233851518">
    <w:abstractNumId w:val="67"/>
  </w:num>
  <w:num w:numId="5" w16cid:durableId="60448911">
    <w:abstractNumId w:val="10"/>
  </w:num>
  <w:num w:numId="6" w16cid:durableId="1395086330">
    <w:abstractNumId w:val="62"/>
  </w:num>
  <w:num w:numId="7" w16cid:durableId="1950234743">
    <w:abstractNumId w:val="9"/>
  </w:num>
  <w:num w:numId="8" w16cid:durableId="1185750731">
    <w:abstractNumId w:val="36"/>
  </w:num>
  <w:num w:numId="9" w16cid:durableId="1564026954">
    <w:abstractNumId w:val="27"/>
  </w:num>
  <w:num w:numId="10" w16cid:durableId="1726836588">
    <w:abstractNumId w:val="5"/>
  </w:num>
  <w:num w:numId="11" w16cid:durableId="1806004958">
    <w:abstractNumId w:val="1"/>
  </w:num>
  <w:num w:numId="12" w16cid:durableId="1693725478">
    <w:abstractNumId w:val="46"/>
  </w:num>
  <w:num w:numId="13" w16cid:durableId="1911959921">
    <w:abstractNumId w:val="52"/>
  </w:num>
  <w:num w:numId="14" w16cid:durableId="902983094">
    <w:abstractNumId w:val="68"/>
  </w:num>
  <w:num w:numId="15" w16cid:durableId="271938510">
    <w:abstractNumId w:val="0"/>
  </w:num>
  <w:num w:numId="16" w16cid:durableId="370619670">
    <w:abstractNumId w:val="6"/>
  </w:num>
  <w:num w:numId="17" w16cid:durableId="1967542857">
    <w:abstractNumId w:val="53"/>
  </w:num>
  <w:num w:numId="18" w16cid:durableId="333268916">
    <w:abstractNumId w:val="38"/>
  </w:num>
  <w:num w:numId="19" w16cid:durableId="1511069179">
    <w:abstractNumId w:val="47"/>
  </w:num>
  <w:num w:numId="20" w16cid:durableId="207960178">
    <w:abstractNumId w:val="8"/>
  </w:num>
  <w:num w:numId="21" w16cid:durableId="866018417">
    <w:abstractNumId w:val="51"/>
  </w:num>
  <w:num w:numId="22" w16cid:durableId="1074279124">
    <w:abstractNumId w:val="28"/>
  </w:num>
  <w:num w:numId="23" w16cid:durableId="1478844062">
    <w:abstractNumId w:val="57"/>
  </w:num>
  <w:num w:numId="24" w16cid:durableId="1038316728">
    <w:abstractNumId w:val="18"/>
  </w:num>
  <w:num w:numId="25" w16cid:durableId="643780278">
    <w:abstractNumId w:val="49"/>
  </w:num>
  <w:num w:numId="26" w16cid:durableId="479925958">
    <w:abstractNumId w:val="24"/>
  </w:num>
  <w:num w:numId="27" w16cid:durableId="1798183440">
    <w:abstractNumId w:val="17"/>
  </w:num>
  <w:num w:numId="28" w16cid:durableId="736127811">
    <w:abstractNumId w:val="22"/>
  </w:num>
  <w:num w:numId="29" w16cid:durableId="1634361897">
    <w:abstractNumId w:val="3"/>
  </w:num>
  <w:num w:numId="30" w16cid:durableId="1897886866">
    <w:abstractNumId w:val="39"/>
  </w:num>
  <w:num w:numId="31" w16cid:durableId="1013186663">
    <w:abstractNumId w:val="37"/>
  </w:num>
  <w:num w:numId="32" w16cid:durableId="2027780543">
    <w:abstractNumId w:val="54"/>
  </w:num>
  <w:num w:numId="33" w16cid:durableId="1448428510">
    <w:abstractNumId w:val="32"/>
  </w:num>
  <w:num w:numId="34" w16cid:durableId="1126923102">
    <w:abstractNumId w:val="26"/>
  </w:num>
  <w:num w:numId="35" w16cid:durableId="1789466759">
    <w:abstractNumId w:val="34"/>
  </w:num>
  <w:num w:numId="36" w16cid:durableId="427315427">
    <w:abstractNumId w:val="20"/>
  </w:num>
  <w:num w:numId="37" w16cid:durableId="961037161">
    <w:abstractNumId w:val="29"/>
  </w:num>
  <w:num w:numId="38" w16cid:durableId="1584606793">
    <w:abstractNumId w:val="45"/>
  </w:num>
  <w:num w:numId="39" w16cid:durableId="250238292">
    <w:abstractNumId w:val="19"/>
  </w:num>
  <w:num w:numId="40" w16cid:durableId="621574618">
    <w:abstractNumId w:val="59"/>
  </w:num>
  <w:num w:numId="41" w16cid:durableId="156767676">
    <w:abstractNumId w:val="33"/>
  </w:num>
  <w:num w:numId="42" w16cid:durableId="2046246241">
    <w:abstractNumId w:val="61"/>
  </w:num>
  <w:num w:numId="43" w16cid:durableId="809908481">
    <w:abstractNumId w:val="55"/>
  </w:num>
  <w:num w:numId="44" w16cid:durableId="544294651">
    <w:abstractNumId w:val="66"/>
  </w:num>
  <w:num w:numId="45" w16cid:durableId="2145846052">
    <w:abstractNumId w:val="2"/>
  </w:num>
  <w:num w:numId="46" w16cid:durableId="2002346200">
    <w:abstractNumId w:val="72"/>
  </w:num>
  <w:num w:numId="47" w16cid:durableId="332758070">
    <w:abstractNumId w:val="69"/>
  </w:num>
  <w:num w:numId="48" w16cid:durableId="1098212478">
    <w:abstractNumId w:val="41"/>
  </w:num>
  <w:num w:numId="49" w16cid:durableId="591397261">
    <w:abstractNumId w:val="60"/>
  </w:num>
  <w:num w:numId="50" w16cid:durableId="981275391">
    <w:abstractNumId w:val="13"/>
  </w:num>
  <w:num w:numId="51" w16cid:durableId="1534075628">
    <w:abstractNumId w:val="14"/>
  </w:num>
  <w:num w:numId="52" w16cid:durableId="1005136059">
    <w:abstractNumId w:val="35"/>
  </w:num>
  <w:num w:numId="53" w16cid:durableId="419838827">
    <w:abstractNumId w:val="71"/>
  </w:num>
  <w:num w:numId="54" w16cid:durableId="1290472182">
    <w:abstractNumId w:val="48"/>
  </w:num>
  <w:num w:numId="55" w16cid:durableId="836775095">
    <w:abstractNumId w:val="11"/>
  </w:num>
  <w:num w:numId="56" w16cid:durableId="136648052">
    <w:abstractNumId w:val="30"/>
  </w:num>
  <w:num w:numId="57" w16cid:durableId="1823735850">
    <w:abstractNumId w:val="16"/>
  </w:num>
  <w:num w:numId="58" w16cid:durableId="2130472094">
    <w:abstractNumId w:val="44"/>
  </w:num>
  <w:num w:numId="59" w16cid:durableId="1091001553">
    <w:abstractNumId w:val="40"/>
  </w:num>
  <w:num w:numId="60" w16cid:durableId="2106806226">
    <w:abstractNumId w:val="70"/>
  </w:num>
  <w:num w:numId="61" w16cid:durableId="530336948">
    <w:abstractNumId w:val="23"/>
  </w:num>
  <w:num w:numId="62" w16cid:durableId="1906452236">
    <w:abstractNumId w:val="42"/>
  </w:num>
  <w:num w:numId="63" w16cid:durableId="1085224936">
    <w:abstractNumId w:val="43"/>
  </w:num>
  <w:num w:numId="64" w16cid:durableId="1827621804">
    <w:abstractNumId w:val="56"/>
  </w:num>
  <w:num w:numId="65" w16cid:durableId="2054109022">
    <w:abstractNumId w:val="50"/>
  </w:num>
  <w:num w:numId="66" w16cid:durableId="1467970371">
    <w:abstractNumId w:val="31"/>
  </w:num>
  <w:num w:numId="67" w16cid:durableId="169873192">
    <w:abstractNumId w:val="7"/>
  </w:num>
  <w:num w:numId="68" w16cid:durableId="2120904805">
    <w:abstractNumId w:val="4"/>
  </w:num>
  <w:num w:numId="69" w16cid:durableId="863247718">
    <w:abstractNumId w:val="58"/>
  </w:num>
  <w:num w:numId="70" w16cid:durableId="559445875">
    <w:abstractNumId w:val="25"/>
  </w:num>
  <w:num w:numId="71" w16cid:durableId="606354567">
    <w:abstractNumId w:val="15"/>
  </w:num>
  <w:num w:numId="72" w16cid:durableId="1043480560">
    <w:abstractNumId w:val="12"/>
  </w:num>
  <w:num w:numId="73" w16cid:durableId="1341350043">
    <w:abstractNumId w:val="6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hideGrammaticalErrors/>
  <w:proofState w:spelling="clean" w:grammar="clean"/>
  <w:trackRevisions/>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027"/>
    <w:rsid w:val="00003B68"/>
    <w:rsid w:val="000060EE"/>
    <w:rsid w:val="00013DDE"/>
    <w:rsid w:val="000225D7"/>
    <w:rsid w:val="000247C0"/>
    <w:rsid w:val="000273BB"/>
    <w:rsid w:val="00030FA5"/>
    <w:rsid w:val="00033457"/>
    <w:rsid w:val="000374AA"/>
    <w:rsid w:val="00037D4D"/>
    <w:rsid w:val="00037E13"/>
    <w:rsid w:val="000411EA"/>
    <w:rsid w:val="00046681"/>
    <w:rsid w:val="00052A8A"/>
    <w:rsid w:val="00053D1E"/>
    <w:rsid w:val="00054925"/>
    <w:rsid w:val="0005494B"/>
    <w:rsid w:val="0005547E"/>
    <w:rsid w:val="000577C7"/>
    <w:rsid w:val="00061EA0"/>
    <w:rsid w:val="00070CF8"/>
    <w:rsid w:val="0007419D"/>
    <w:rsid w:val="00075D65"/>
    <w:rsid w:val="00075FEF"/>
    <w:rsid w:val="00076A2C"/>
    <w:rsid w:val="00076F50"/>
    <w:rsid w:val="00077C2B"/>
    <w:rsid w:val="00084035"/>
    <w:rsid w:val="00086961"/>
    <w:rsid w:val="000953D1"/>
    <w:rsid w:val="000B049C"/>
    <w:rsid w:val="000B7A07"/>
    <w:rsid w:val="000C022E"/>
    <w:rsid w:val="000C0699"/>
    <w:rsid w:val="000C0EDF"/>
    <w:rsid w:val="000C4216"/>
    <w:rsid w:val="000C5342"/>
    <w:rsid w:val="000D585C"/>
    <w:rsid w:val="000D69DA"/>
    <w:rsid w:val="000E12FD"/>
    <w:rsid w:val="000E2BCF"/>
    <w:rsid w:val="000E2D0D"/>
    <w:rsid w:val="000E459A"/>
    <w:rsid w:val="000E7E0A"/>
    <w:rsid w:val="000F5A9F"/>
    <w:rsid w:val="000F62A6"/>
    <w:rsid w:val="000F787E"/>
    <w:rsid w:val="001013A5"/>
    <w:rsid w:val="00101D7F"/>
    <w:rsid w:val="00102629"/>
    <w:rsid w:val="00105270"/>
    <w:rsid w:val="00111491"/>
    <w:rsid w:val="00115F0F"/>
    <w:rsid w:val="001204BF"/>
    <w:rsid w:val="00122040"/>
    <w:rsid w:val="00123B7B"/>
    <w:rsid w:val="001327AB"/>
    <w:rsid w:val="00133933"/>
    <w:rsid w:val="001416B4"/>
    <w:rsid w:val="0014197A"/>
    <w:rsid w:val="00144CBD"/>
    <w:rsid w:val="00145299"/>
    <w:rsid w:val="0014613B"/>
    <w:rsid w:val="00151249"/>
    <w:rsid w:val="0015503D"/>
    <w:rsid w:val="001616D3"/>
    <w:rsid w:val="0017020C"/>
    <w:rsid w:val="001728C6"/>
    <w:rsid w:val="0018234E"/>
    <w:rsid w:val="00182715"/>
    <w:rsid w:val="00193A75"/>
    <w:rsid w:val="001941FD"/>
    <w:rsid w:val="00194B8C"/>
    <w:rsid w:val="001A097F"/>
    <w:rsid w:val="001A2F77"/>
    <w:rsid w:val="001B235D"/>
    <w:rsid w:val="001B58C3"/>
    <w:rsid w:val="001B58DF"/>
    <w:rsid w:val="001B7910"/>
    <w:rsid w:val="001C0D69"/>
    <w:rsid w:val="001C1F69"/>
    <w:rsid w:val="001C383C"/>
    <w:rsid w:val="001C42B9"/>
    <w:rsid w:val="001C544B"/>
    <w:rsid w:val="001D1FFD"/>
    <w:rsid w:val="001D2399"/>
    <w:rsid w:val="001E02B8"/>
    <w:rsid w:val="001E1BB0"/>
    <w:rsid w:val="001E29DD"/>
    <w:rsid w:val="001F0366"/>
    <w:rsid w:val="001F0F65"/>
    <w:rsid w:val="001F1447"/>
    <w:rsid w:val="001F4A9D"/>
    <w:rsid w:val="001F7513"/>
    <w:rsid w:val="0020054B"/>
    <w:rsid w:val="00201DF4"/>
    <w:rsid w:val="00210238"/>
    <w:rsid w:val="0021156F"/>
    <w:rsid w:val="00211D63"/>
    <w:rsid w:val="002130E5"/>
    <w:rsid w:val="00216D96"/>
    <w:rsid w:val="00217182"/>
    <w:rsid w:val="0022205F"/>
    <w:rsid w:val="00223242"/>
    <w:rsid w:val="00223EE6"/>
    <w:rsid w:val="00234F46"/>
    <w:rsid w:val="00235B53"/>
    <w:rsid w:val="00237A3E"/>
    <w:rsid w:val="002419F1"/>
    <w:rsid w:val="0024478F"/>
    <w:rsid w:val="002476D6"/>
    <w:rsid w:val="002513B9"/>
    <w:rsid w:val="002520B6"/>
    <w:rsid w:val="0025268C"/>
    <w:rsid w:val="00253BCA"/>
    <w:rsid w:val="00254761"/>
    <w:rsid w:val="00260F67"/>
    <w:rsid w:val="002624AF"/>
    <w:rsid w:val="0026483C"/>
    <w:rsid w:val="00272202"/>
    <w:rsid w:val="00272976"/>
    <w:rsid w:val="00275ACD"/>
    <w:rsid w:val="002810F2"/>
    <w:rsid w:val="002831FA"/>
    <w:rsid w:val="0028514E"/>
    <w:rsid w:val="002854A1"/>
    <w:rsid w:val="00291EBC"/>
    <w:rsid w:val="00296A74"/>
    <w:rsid w:val="002A33DB"/>
    <w:rsid w:val="002A43CA"/>
    <w:rsid w:val="002A56B1"/>
    <w:rsid w:val="002B24BF"/>
    <w:rsid w:val="002B5C3F"/>
    <w:rsid w:val="002B7644"/>
    <w:rsid w:val="002C2D71"/>
    <w:rsid w:val="002C48C7"/>
    <w:rsid w:val="002C53D8"/>
    <w:rsid w:val="002D4BFB"/>
    <w:rsid w:val="002D5177"/>
    <w:rsid w:val="002D5707"/>
    <w:rsid w:val="002E3891"/>
    <w:rsid w:val="002E6368"/>
    <w:rsid w:val="002E714F"/>
    <w:rsid w:val="002F24BE"/>
    <w:rsid w:val="002F557F"/>
    <w:rsid w:val="00301C6B"/>
    <w:rsid w:val="00305766"/>
    <w:rsid w:val="00313522"/>
    <w:rsid w:val="003207C4"/>
    <w:rsid w:val="003412A6"/>
    <w:rsid w:val="0034274B"/>
    <w:rsid w:val="0034305B"/>
    <w:rsid w:val="00347F1E"/>
    <w:rsid w:val="00352004"/>
    <w:rsid w:val="00363EFF"/>
    <w:rsid w:val="00365B13"/>
    <w:rsid w:val="00365B6B"/>
    <w:rsid w:val="00371574"/>
    <w:rsid w:val="003727E5"/>
    <w:rsid w:val="00381F5D"/>
    <w:rsid w:val="00383DD9"/>
    <w:rsid w:val="003844C3"/>
    <w:rsid w:val="0038520F"/>
    <w:rsid w:val="003955EB"/>
    <w:rsid w:val="003A1821"/>
    <w:rsid w:val="003A45F0"/>
    <w:rsid w:val="003A6943"/>
    <w:rsid w:val="003B2654"/>
    <w:rsid w:val="003B2CC6"/>
    <w:rsid w:val="003B2F4E"/>
    <w:rsid w:val="003B3CDD"/>
    <w:rsid w:val="003B48D8"/>
    <w:rsid w:val="003B7027"/>
    <w:rsid w:val="003B7926"/>
    <w:rsid w:val="003C43CF"/>
    <w:rsid w:val="003C56F9"/>
    <w:rsid w:val="003D4DD6"/>
    <w:rsid w:val="003E11BC"/>
    <w:rsid w:val="003E2BE6"/>
    <w:rsid w:val="003E3E11"/>
    <w:rsid w:val="003E711E"/>
    <w:rsid w:val="003F07A8"/>
    <w:rsid w:val="003F1A95"/>
    <w:rsid w:val="003F37BF"/>
    <w:rsid w:val="003F6EBD"/>
    <w:rsid w:val="0040484C"/>
    <w:rsid w:val="004101CF"/>
    <w:rsid w:val="00412E5E"/>
    <w:rsid w:val="00414020"/>
    <w:rsid w:val="00416A3F"/>
    <w:rsid w:val="004235FD"/>
    <w:rsid w:val="0042468E"/>
    <w:rsid w:val="00426D55"/>
    <w:rsid w:val="00430EB8"/>
    <w:rsid w:val="00431D9F"/>
    <w:rsid w:val="00435451"/>
    <w:rsid w:val="0043696F"/>
    <w:rsid w:val="00436CA8"/>
    <w:rsid w:val="00437482"/>
    <w:rsid w:val="004440FA"/>
    <w:rsid w:val="00454EB8"/>
    <w:rsid w:val="00455598"/>
    <w:rsid w:val="00461828"/>
    <w:rsid w:val="00470998"/>
    <w:rsid w:val="00473FA3"/>
    <w:rsid w:val="00474F2E"/>
    <w:rsid w:val="004756FF"/>
    <w:rsid w:val="00477839"/>
    <w:rsid w:val="00477C88"/>
    <w:rsid w:val="00477CE3"/>
    <w:rsid w:val="00480A32"/>
    <w:rsid w:val="004822B0"/>
    <w:rsid w:val="00483000"/>
    <w:rsid w:val="00484863"/>
    <w:rsid w:val="004937DD"/>
    <w:rsid w:val="00495BB6"/>
    <w:rsid w:val="00496417"/>
    <w:rsid w:val="004A177A"/>
    <w:rsid w:val="004A2644"/>
    <w:rsid w:val="004A3206"/>
    <w:rsid w:val="004A3AB7"/>
    <w:rsid w:val="004B0BCD"/>
    <w:rsid w:val="004B70F3"/>
    <w:rsid w:val="004C5491"/>
    <w:rsid w:val="004C5DD8"/>
    <w:rsid w:val="004D214F"/>
    <w:rsid w:val="004D5FAB"/>
    <w:rsid w:val="004D7483"/>
    <w:rsid w:val="004D7BC4"/>
    <w:rsid w:val="004E2E18"/>
    <w:rsid w:val="004E47EB"/>
    <w:rsid w:val="004E4B96"/>
    <w:rsid w:val="004E4F22"/>
    <w:rsid w:val="004E6B53"/>
    <w:rsid w:val="004F46B0"/>
    <w:rsid w:val="004F5031"/>
    <w:rsid w:val="004F5142"/>
    <w:rsid w:val="004F767E"/>
    <w:rsid w:val="004F7EEE"/>
    <w:rsid w:val="00500902"/>
    <w:rsid w:val="00500B5C"/>
    <w:rsid w:val="00503985"/>
    <w:rsid w:val="00503D20"/>
    <w:rsid w:val="00511AFB"/>
    <w:rsid w:val="00511BCB"/>
    <w:rsid w:val="00512E53"/>
    <w:rsid w:val="00512F51"/>
    <w:rsid w:val="00516A37"/>
    <w:rsid w:val="00516AE9"/>
    <w:rsid w:val="00517125"/>
    <w:rsid w:val="005175E0"/>
    <w:rsid w:val="0052082D"/>
    <w:rsid w:val="005216FA"/>
    <w:rsid w:val="00525031"/>
    <w:rsid w:val="005260D5"/>
    <w:rsid w:val="005370A0"/>
    <w:rsid w:val="005568A9"/>
    <w:rsid w:val="00561762"/>
    <w:rsid w:val="00565102"/>
    <w:rsid w:val="00572840"/>
    <w:rsid w:val="0057331A"/>
    <w:rsid w:val="00575087"/>
    <w:rsid w:val="005856A8"/>
    <w:rsid w:val="0059109D"/>
    <w:rsid w:val="005936BF"/>
    <w:rsid w:val="00594BAC"/>
    <w:rsid w:val="00594EA7"/>
    <w:rsid w:val="005A06F5"/>
    <w:rsid w:val="005A191B"/>
    <w:rsid w:val="005A5DBD"/>
    <w:rsid w:val="005D3A00"/>
    <w:rsid w:val="005D5C7C"/>
    <w:rsid w:val="005F1B37"/>
    <w:rsid w:val="005F554F"/>
    <w:rsid w:val="005F70CC"/>
    <w:rsid w:val="00605EB4"/>
    <w:rsid w:val="006065A3"/>
    <w:rsid w:val="00611ABA"/>
    <w:rsid w:val="0061560B"/>
    <w:rsid w:val="00615DE1"/>
    <w:rsid w:val="00616E43"/>
    <w:rsid w:val="006226BA"/>
    <w:rsid w:val="006264CA"/>
    <w:rsid w:val="0062734E"/>
    <w:rsid w:val="0064112A"/>
    <w:rsid w:val="0064121E"/>
    <w:rsid w:val="006443E2"/>
    <w:rsid w:val="0064502E"/>
    <w:rsid w:val="0065335D"/>
    <w:rsid w:val="00662A9B"/>
    <w:rsid w:val="00664A1D"/>
    <w:rsid w:val="006675A6"/>
    <w:rsid w:val="006679A7"/>
    <w:rsid w:val="006707AF"/>
    <w:rsid w:val="006725DF"/>
    <w:rsid w:val="00673EEC"/>
    <w:rsid w:val="00674ED4"/>
    <w:rsid w:val="006801E1"/>
    <w:rsid w:val="00684174"/>
    <w:rsid w:val="00686B37"/>
    <w:rsid w:val="00692976"/>
    <w:rsid w:val="00693285"/>
    <w:rsid w:val="0069756A"/>
    <w:rsid w:val="006A0FEE"/>
    <w:rsid w:val="006A600E"/>
    <w:rsid w:val="006B00A4"/>
    <w:rsid w:val="006B40F8"/>
    <w:rsid w:val="006B68A2"/>
    <w:rsid w:val="006C1730"/>
    <w:rsid w:val="006C36EF"/>
    <w:rsid w:val="006C42DC"/>
    <w:rsid w:val="006D2E05"/>
    <w:rsid w:val="006D3ACD"/>
    <w:rsid w:val="006E4E50"/>
    <w:rsid w:val="006E5F9A"/>
    <w:rsid w:val="006E6BB4"/>
    <w:rsid w:val="006E7FA8"/>
    <w:rsid w:val="006F3FD3"/>
    <w:rsid w:val="006F6806"/>
    <w:rsid w:val="00703B13"/>
    <w:rsid w:val="00704B34"/>
    <w:rsid w:val="00704C8E"/>
    <w:rsid w:val="00705554"/>
    <w:rsid w:val="00712D87"/>
    <w:rsid w:val="00714243"/>
    <w:rsid w:val="00721777"/>
    <w:rsid w:val="00723CC2"/>
    <w:rsid w:val="00732781"/>
    <w:rsid w:val="00732F8B"/>
    <w:rsid w:val="00733FE2"/>
    <w:rsid w:val="00734958"/>
    <w:rsid w:val="007363A2"/>
    <w:rsid w:val="007377AD"/>
    <w:rsid w:val="007474AD"/>
    <w:rsid w:val="00751789"/>
    <w:rsid w:val="007577E8"/>
    <w:rsid w:val="00757B10"/>
    <w:rsid w:val="00762FE7"/>
    <w:rsid w:val="00765CA7"/>
    <w:rsid w:val="00767B6B"/>
    <w:rsid w:val="00771C51"/>
    <w:rsid w:val="0077607F"/>
    <w:rsid w:val="007773B5"/>
    <w:rsid w:val="00777B93"/>
    <w:rsid w:val="00785CE2"/>
    <w:rsid w:val="0078604C"/>
    <w:rsid w:val="0078643A"/>
    <w:rsid w:val="00790453"/>
    <w:rsid w:val="00791823"/>
    <w:rsid w:val="007935C2"/>
    <w:rsid w:val="00794651"/>
    <w:rsid w:val="007A236E"/>
    <w:rsid w:val="007A4230"/>
    <w:rsid w:val="007A4B31"/>
    <w:rsid w:val="007B46FB"/>
    <w:rsid w:val="007B5A2C"/>
    <w:rsid w:val="007C4323"/>
    <w:rsid w:val="007D4E35"/>
    <w:rsid w:val="007E1012"/>
    <w:rsid w:val="007E1324"/>
    <w:rsid w:val="007E18D4"/>
    <w:rsid w:val="007E6E60"/>
    <w:rsid w:val="007E7D34"/>
    <w:rsid w:val="007F5115"/>
    <w:rsid w:val="007F7167"/>
    <w:rsid w:val="008033D5"/>
    <w:rsid w:val="008110A0"/>
    <w:rsid w:val="00811AB5"/>
    <w:rsid w:val="008122F4"/>
    <w:rsid w:val="00814758"/>
    <w:rsid w:val="008203FB"/>
    <w:rsid w:val="00821605"/>
    <w:rsid w:val="008229E9"/>
    <w:rsid w:val="00830621"/>
    <w:rsid w:val="00844D4A"/>
    <w:rsid w:val="00847EF4"/>
    <w:rsid w:val="008530BD"/>
    <w:rsid w:val="00855FD2"/>
    <w:rsid w:val="00857615"/>
    <w:rsid w:val="0086716C"/>
    <w:rsid w:val="00867C17"/>
    <w:rsid w:val="00873146"/>
    <w:rsid w:val="00873C80"/>
    <w:rsid w:val="00874A95"/>
    <w:rsid w:val="00874ED2"/>
    <w:rsid w:val="00876C57"/>
    <w:rsid w:val="0087720C"/>
    <w:rsid w:val="00883282"/>
    <w:rsid w:val="008849BD"/>
    <w:rsid w:val="00885C44"/>
    <w:rsid w:val="00885D7F"/>
    <w:rsid w:val="0088774B"/>
    <w:rsid w:val="00893CD2"/>
    <w:rsid w:val="00894F07"/>
    <w:rsid w:val="0089521E"/>
    <w:rsid w:val="00895CB6"/>
    <w:rsid w:val="008A1091"/>
    <w:rsid w:val="008A3DEA"/>
    <w:rsid w:val="008A7BAC"/>
    <w:rsid w:val="008B0DA5"/>
    <w:rsid w:val="008B242C"/>
    <w:rsid w:val="008B2BB7"/>
    <w:rsid w:val="008B466A"/>
    <w:rsid w:val="008C1385"/>
    <w:rsid w:val="008C3A10"/>
    <w:rsid w:val="008C5268"/>
    <w:rsid w:val="008C5D3A"/>
    <w:rsid w:val="008D0054"/>
    <w:rsid w:val="008D40DB"/>
    <w:rsid w:val="008D44CB"/>
    <w:rsid w:val="008D6BF0"/>
    <w:rsid w:val="008D7A58"/>
    <w:rsid w:val="008E2252"/>
    <w:rsid w:val="008E4F94"/>
    <w:rsid w:val="008F173F"/>
    <w:rsid w:val="008F50FA"/>
    <w:rsid w:val="009002B3"/>
    <w:rsid w:val="0090491D"/>
    <w:rsid w:val="00912D90"/>
    <w:rsid w:val="00914C50"/>
    <w:rsid w:val="00915253"/>
    <w:rsid w:val="00917132"/>
    <w:rsid w:val="00917CCB"/>
    <w:rsid w:val="00920FF7"/>
    <w:rsid w:val="009249F3"/>
    <w:rsid w:val="009270AE"/>
    <w:rsid w:val="00940778"/>
    <w:rsid w:val="009408B3"/>
    <w:rsid w:val="009459C1"/>
    <w:rsid w:val="00954646"/>
    <w:rsid w:val="00954B3D"/>
    <w:rsid w:val="00962390"/>
    <w:rsid w:val="00982D4F"/>
    <w:rsid w:val="00985CC4"/>
    <w:rsid w:val="00987BC7"/>
    <w:rsid w:val="00990049"/>
    <w:rsid w:val="00996159"/>
    <w:rsid w:val="00997012"/>
    <w:rsid w:val="009A3CB5"/>
    <w:rsid w:val="009A6115"/>
    <w:rsid w:val="009B2466"/>
    <w:rsid w:val="009B2F1F"/>
    <w:rsid w:val="009C0679"/>
    <w:rsid w:val="009C213F"/>
    <w:rsid w:val="009C440C"/>
    <w:rsid w:val="009C4816"/>
    <w:rsid w:val="009C51F2"/>
    <w:rsid w:val="009C5914"/>
    <w:rsid w:val="009C665A"/>
    <w:rsid w:val="009C6CB7"/>
    <w:rsid w:val="009D25E5"/>
    <w:rsid w:val="009D3F0A"/>
    <w:rsid w:val="009D6046"/>
    <w:rsid w:val="009E3D0C"/>
    <w:rsid w:val="009E5578"/>
    <w:rsid w:val="009E78E1"/>
    <w:rsid w:val="009E7ABA"/>
    <w:rsid w:val="009F3E2A"/>
    <w:rsid w:val="009F4923"/>
    <w:rsid w:val="00A02C95"/>
    <w:rsid w:val="00A05ED4"/>
    <w:rsid w:val="00A126D2"/>
    <w:rsid w:val="00A128A0"/>
    <w:rsid w:val="00A14525"/>
    <w:rsid w:val="00A201A2"/>
    <w:rsid w:val="00A237F8"/>
    <w:rsid w:val="00A23B88"/>
    <w:rsid w:val="00A26AA2"/>
    <w:rsid w:val="00A26B3C"/>
    <w:rsid w:val="00A3116F"/>
    <w:rsid w:val="00A313D5"/>
    <w:rsid w:val="00A327CF"/>
    <w:rsid w:val="00A33950"/>
    <w:rsid w:val="00A34179"/>
    <w:rsid w:val="00A34EAB"/>
    <w:rsid w:val="00A35894"/>
    <w:rsid w:val="00A419C2"/>
    <w:rsid w:val="00A50F83"/>
    <w:rsid w:val="00A5225E"/>
    <w:rsid w:val="00A52BCC"/>
    <w:rsid w:val="00A5656C"/>
    <w:rsid w:val="00A60945"/>
    <w:rsid w:val="00A61786"/>
    <w:rsid w:val="00A64A18"/>
    <w:rsid w:val="00A64B2B"/>
    <w:rsid w:val="00A71F3E"/>
    <w:rsid w:val="00A72CF2"/>
    <w:rsid w:val="00A747A8"/>
    <w:rsid w:val="00A7650A"/>
    <w:rsid w:val="00A8035B"/>
    <w:rsid w:val="00A928DD"/>
    <w:rsid w:val="00A93FC7"/>
    <w:rsid w:val="00A94125"/>
    <w:rsid w:val="00A96347"/>
    <w:rsid w:val="00AA12F7"/>
    <w:rsid w:val="00AB09E0"/>
    <w:rsid w:val="00AB4AF0"/>
    <w:rsid w:val="00AB72A7"/>
    <w:rsid w:val="00AB74EF"/>
    <w:rsid w:val="00AC0B57"/>
    <w:rsid w:val="00AC1401"/>
    <w:rsid w:val="00AC31DF"/>
    <w:rsid w:val="00AC452A"/>
    <w:rsid w:val="00AD50F1"/>
    <w:rsid w:val="00AD722F"/>
    <w:rsid w:val="00AE637B"/>
    <w:rsid w:val="00AF53DE"/>
    <w:rsid w:val="00B051F7"/>
    <w:rsid w:val="00B066E3"/>
    <w:rsid w:val="00B27317"/>
    <w:rsid w:val="00B3031A"/>
    <w:rsid w:val="00B323BA"/>
    <w:rsid w:val="00B3309C"/>
    <w:rsid w:val="00B33A68"/>
    <w:rsid w:val="00B36686"/>
    <w:rsid w:val="00B40175"/>
    <w:rsid w:val="00B453BE"/>
    <w:rsid w:val="00B510B3"/>
    <w:rsid w:val="00B510C7"/>
    <w:rsid w:val="00B52CD3"/>
    <w:rsid w:val="00B55ACF"/>
    <w:rsid w:val="00B579A0"/>
    <w:rsid w:val="00B7345E"/>
    <w:rsid w:val="00B74C91"/>
    <w:rsid w:val="00B77875"/>
    <w:rsid w:val="00B8051F"/>
    <w:rsid w:val="00B865DC"/>
    <w:rsid w:val="00B90156"/>
    <w:rsid w:val="00B9284C"/>
    <w:rsid w:val="00B9313C"/>
    <w:rsid w:val="00BA2A23"/>
    <w:rsid w:val="00BA3A23"/>
    <w:rsid w:val="00BA5882"/>
    <w:rsid w:val="00BA5BC2"/>
    <w:rsid w:val="00BA750B"/>
    <w:rsid w:val="00BB5A61"/>
    <w:rsid w:val="00BC200D"/>
    <w:rsid w:val="00BC55CA"/>
    <w:rsid w:val="00BC57A3"/>
    <w:rsid w:val="00BD1D86"/>
    <w:rsid w:val="00BD39EC"/>
    <w:rsid w:val="00BD3C40"/>
    <w:rsid w:val="00BD3D07"/>
    <w:rsid w:val="00BD7CC0"/>
    <w:rsid w:val="00BE1D42"/>
    <w:rsid w:val="00BF0F77"/>
    <w:rsid w:val="00BF3213"/>
    <w:rsid w:val="00BF50DC"/>
    <w:rsid w:val="00BF6076"/>
    <w:rsid w:val="00C05DD7"/>
    <w:rsid w:val="00C0630E"/>
    <w:rsid w:val="00C06A8E"/>
    <w:rsid w:val="00C119F3"/>
    <w:rsid w:val="00C11A10"/>
    <w:rsid w:val="00C12CD6"/>
    <w:rsid w:val="00C1572A"/>
    <w:rsid w:val="00C17B7F"/>
    <w:rsid w:val="00C2525B"/>
    <w:rsid w:val="00C269A7"/>
    <w:rsid w:val="00C26E34"/>
    <w:rsid w:val="00C27CD4"/>
    <w:rsid w:val="00C31CF7"/>
    <w:rsid w:val="00C33703"/>
    <w:rsid w:val="00C34FBD"/>
    <w:rsid w:val="00C4165D"/>
    <w:rsid w:val="00C428D4"/>
    <w:rsid w:val="00C50C97"/>
    <w:rsid w:val="00C53113"/>
    <w:rsid w:val="00C54390"/>
    <w:rsid w:val="00C549F7"/>
    <w:rsid w:val="00C5610C"/>
    <w:rsid w:val="00C566E6"/>
    <w:rsid w:val="00C72B8D"/>
    <w:rsid w:val="00C758CA"/>
    <w:rsid w:val="00C75C9D"/>
    <w:rsid w:val="00C82B5A"/>
    <w:rsid w:val="00C83276"/>
    <w:rsid w:val="00C871A3"/>
    <w:rsid w:val="00C92996"/>
    <w:rsid w:val="00C92F09"/>
    <w:rsid w:val="00C95203"/>
    <w:rsid w:val="00C96C2E"/>
    <w:rsid w:val="00C96F78"/>
    <w:rsid w:val="00C974BF"/>
    <w:rsid w:val="00CA3DC5"/>
    <w:rsid w:val="00CA43F5"/>
    <w:rsid w:val="00CB65B9"/>
    <w:rsid w:val="00CD0457"/>
    <w:rsid w:val="00CD0910"/>
    <w:rsid w:val="00CD14E4"/>
    <w:rsid w:val="00CD5438"/>
    <w:rsid w:val="00CE2370"/>
    <w:rsid w:val="00CE52DC"/>
    <w:rsid w:val="00CE70D0"/>
    <w:rsid w:val="00CF2255"/>
    <w:rsid w:val="00D03B4D"/>
    <w:rsid w:val="00D0504C"/>
    <w:rsid w:val="00D25482"/>
    <w:rsid w:val="00D315AE"/>
    <w:rsid w:val="00D32E0C"/>
    <w:rsid w:val="00D35D59"/>
    <w:rsid w:val="00D36715"/>
    <w:rsid w:val="00D400DC"/>
    <w:rsid w:val="00D42483"/>
    <w:rsid w:val="00D43D49"/>
    <w:rsid w:val="00D440EB"/>
    <w:rsid w:val="00D51739"/>
    <w:rsid w:val="00D51ADF"/>
    <w:rsid w:val="00D53489"/>
    <w:rsid w:val="00D57B3C"/>
    <w:rsid w:val="00D57B7D"/>
    <w:rsid w:val="00D63C7B"/>
    <w:rsid w:val="00D64393"/>
    <w:rsid w:val="00D86C84"/>
    <w:rsid w:val="00D90ADB"/>
    <w:rsid w:val="00D917BE"/>
    <w:rsid w:val="00D927E1"/>
    <w:rsid w:val="00D9713C"/>
    <w:rsid w:val="00DA1539"/>
    <w:rsid w:val="00DA57CC"/>
    <w:rsid w:val="00DB0070"/>
    <w:rsid w:val="00DB0D22"/>
    <w:rsid w:val="00DB35DB"/>
    <w:rsid w:val="00DB75D8"/>
    <w:rsid w:val="00DC2C75"/>
    <w:rsid w:val="00DC663F"/>
    <w:rsid w:val="00DD06B1"/>
    <w:rsid w:val="00DD1894"/>
    <w:rsid w:val="00DD20FB"/>
    <w:rsid w:val="00DD705A"/>
    <w:rsid w:val="00DE1F8E"/>
    <w:rsid w:val="00DE69B5"/>
    <w:rsid w:val="00DE79F1"/>
    <w:rsid w:val="00DE7EA1"/>
    <w:rsid w:val="00E05E35"/>
    <w:rsid w:val="00E1156B"/>
    <w:rsid w:val="00E12A1E"/>
    <w:rsid w:val="00E12AA4"/>
    <w:rsid w:val="00E16A2A"/>
    <w:rsid w:val="00E21C89"/>
    <w:rsid w:val="00E2372A"/>
    <w:rsid w:val="00E23E87"/>
    <w:rsid w:val="00E37F1F"/>
    <w:rsid w:val="00E415D5"/>
    <w:rsid w:val="00E44F77"/>
    <w:rsid w:val="00E456A9"/>
    <w:rsid w:val="00E5285E"/>
    <w:rsid w:val="00E53778"/>
    <w:rsid w:val="00E57787"/>
    <w:rsid w:val="00E57E17"/>
    <w:rsid w:val="00E62019"/>
    <w:rsid w:val="00E62982"/>
    <w:rsid w:val="00E67930"/>
    <w:rsid w:val="00E67A24"/>
    <w:rsid w:val="00E70835"/>
    <w:rsid w:val="00E70BF6"/>
    <w:rsid w:val="00E82249"/>
    <w:rsid w:val="00E845AE"/>
    <w:rsid w:val="00E84F40"/>
    <w:rsid w:val="00E86980"/>
    <w:rsid w:val="00E87550"/>
    <w:rsid w:val="00E919A5"/>
    <w:rsid w:val="00EA0C47"/>
    <w:rsid w:val="00EA21A6"/>
    <w:rsid w:val="00EA2A65"/>
    <w:rsid w:val="00EA4370"/>
    <w:rsid w:val="00EA653B"/>
    <w:rsid w:val="00EA6D97"/>
    <w:rsid w:val="00EB5DDD"/>
    <w:rsid w:val="00EC0612"/>
    <w:rsid w:val="00ED3911"/>
    <w:rsid w:val="00ED6BAC"/>
    <w:rsid w:val="00EE1020"/>
    <w:rsid w:val="00EE26A6"/>
    <w:rsid w:val="00EE3CCA"/>
    <w:rsid w:val="00EF05D0"/>
    <w:rsid w:val="00EF1709"/>
    <w:rsid w:val="00EF443A"/>
    <w:rsid w:val="00EF533A"/>
    <w:rsid w:val="00F00146"/>
    <w:rsid w:val="00F00A43"/>
    <w:rsid w:val="00F10CFA"/>
    <w:rsid w:val="00F13020"/>
    <w:rsid w:val="00F203AD"/>
    <w:rsid w:val="00F37774"/>
    <w:rsid w:val="00F40657"/>
    <w:rsid w:val="00F45530"/>
    <w:rsid w:val="00F463A5"/>
    <w:rsid w:val="00F47BBA"/>
    <w:rsid w:val="00F5649D"/>
    <w:rsid w:val="00F57148"/>
    <w:rsid w:val="00F62D44"/>
    <w:rsid w:val="00F6440C"/>
    <w:rsid w:val="00F70FEB"/>
    <w:rsid w:val="00F73444"/>
    <w:rsid w:val="00F743B0"/>
    <w:rsid w:val="00F80E4E"/>
    <w:rsid w:val="00F8348B"/>
    <w:rsid w:val="00F87888"/>
    <w:rsid w:val="00F9510E"/>
    <w:rsid w:val="00FA14E4"/>
    <w:rsid w:val="00FA56B2"/>
    <w:rsid w:val="00FB14A2"/>
    <w:rsid w:val="00FB16D8"/>
    <w:rsid w:val="00FB31B0"/>
    <w:rsid w:val="00FB64A8"/>
    <w:rsid w:val="00FC0567"/>
    <w:rsid w:val="00FC1E68"/>
    <w:rsid w:val="00FC58F7"/>
    <w:rsid w:val="00FD25B0"/>
    <w:rsid w:val="00FD7485"/>
    <w:rsid w:val="00FE1B7C"/>
    <w:rsid w:val="00FE4E4B"/>
    <w:rsid w:val="00FE5DF5"/>
    <w:rsid w:val="00FF1202"/>
    <w:rsid w:val="00FF57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8F2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Pr>
      <w:rFonts w:ascii="Times New Roman" w:eastAsia="SimSun" w:hAnsi="Times New Roman" w:cs="Times New Roman"/>
      <w:sz w:val="22"/>
      <w:szCs w:val="22"/>
      <w:lang w:val="en-GB" w:eastAsia="zh-CN"/>
    </w:rPr>
  </w:style>
  <w:style w:type="paragraph" w:styleId="1">
    <w:name w:val="heading 1"/>
    <w:basedOn w:val="a0"/>
    <w:link w:val="1Char"/>
    <w:uiPriority w:val="1"/>
    <w:qFormat/>
    <w:rsid w:val="00BF3213"/>
    <w:pPr>
      <w:tabs>
        <w:tab w:val="left" w:pos="585"/>
      </w:tabs>
      <w:ind w:left="567" w:hanging="567"/>
      <w:outlineLvl w:val="0"/>
    </w:pPr>
    <w:rPr>
      <w:rFonts w:eastAsia="Times New Roman"/>
      <w:b/>
      <w:bCs/>
      <w:lang w:val="fi-FI" w:eastAsia="en-US"/>
    </w:rPr>
  </w:style>
  <w:style w:type="paragraph" w:styleId="2">
    <w:name w:val="heading 2"/>
    <w:basedOn w:val="a0"/>
    <w:uiPriority w:val="1"/>
    <w:qFormat/>
    <w:rsid w:val="00A327CF"/>
    <w:pPr>
      <w:tabs>
        <w:tab w:val="left" w:pos="603"/>
      </w:tabs>
      <w:ind w:left="567" w:hanging="567"/>
      <w:outlineLvl w:val="1"/>
    </w:pPr>
    <w:rPr>
      <w:rFonts w:eastAsia="Times New Roman"/>
      <w:b/>
      <w:bCs/>
      <w:lang w:val="fi-FI"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Char"/>
    <w:uiPriority w:val="1"/>
    <w:qFormat/>
    <w:pPr>
      <w:ind w:left="1038"/>
    </w:pPr>
    <w:rPr>
      <w:rFonts w:eastAsia="Times New Roman"/>
      <w:lang w:val="fi-FI" w:eastAsia="en-US"/>
    </w:rPr>
  </w:style>
  <w:style w:type="paragraph" w:styleId="a">
    <w:name w:val="List Paragraph"/>
    <w:basedOn w:val="a0"/>
    <w:uiPriority w:val="34"/>
    <w:qFormat/>
    <w:rsid w:val="00BD3C40"/>
    <w:pPr>
      <w:numPr>
        <w:numId w:val="35"/>
      </w:numPr>
      <w:ind w:left="567" w:hanging="567"/>
    </w:pPr>
    <w:rPr>
      <w:rFonts w:eastAsia="Times New Roman"/>
      <w:lang w:val="fi-FI" w:eastAsia="en-US"/>
    </w:rPr>
  </w:style>
  <w:style w:type="paragraph" w:customStyle="1" w:styleId="TableParagraph">
    <w:name w:val="Table Paragraph"/>
    <w:basedOn w:val="a0"/>
    <w:uiPriority w:val="1"/>
    <w:qFormat/>
    <w:rPr>
      <w:rFonts w:eastAsia="Times New Roman"/>
      <w:lang w:val="fi-FI" w:eastAsia="en-US"/>
    </w:rPr>
  </w:style>
  <w:style w:type="paragraph" w:styleId="a5">
    <w:name w:val="header"/>
    <w:basedOn w:val="a0"/>
    <w:link w:val="Char0"/>
    <w:uiPriority w:val="99"/>
    <w:unhideWhenUsed/>
    <w:rsid w:val="00296A74"/>
    <w:pPr>
      <w:tabs>
        <w:tab w:val="center" w:pos="4513"/>
        <w:tab w:val="right" w:pos="9026"/>
      </w:tabs>
    </w:pPr>
  </w:style>
  <w:style w:type="character" w:customStyle="1" w:styleId="Char0">
    <w:name w:val="머리글 Char"/>
    <w:link w:val="a5"/>
    <w:uiPriority w:val="99"/>
    <w:rsid w:val="00296A74"/>
    <w:rPr>
      <w:rFonts w:ascii="Times New Roman" w:eastAsia="SimSun" w:hAnsi="Times New Roman" w:cs="Times New Roman"/>
      <w:lang w:val="en-GB" w:eastAsia="zh-CN"/>
    </w:rPr>
  </w:style>
  <w:style w:type="paragraph" w:styleId="a6">
    <w:name w:val="footer"/>
    <w:basedOn w:val="a0"/>
    <w:link w:val="Char1"/>
    <w:uiPriority w:val="99"/>
    <w:unhideWhenUsed/>
    <w:rsid w:val="00296A74"/>
    <w:pPr>
      <w:tabs>
        <w:tab w:val="center" w:pos="4513"/>
        <w:tab w:val="right" w:pos="9026"/>
      </w:tabs>
    </w:pPr>
  </w:style>
  <w:style w:type="character" w:customStyle="1" w:styleId="Char1">
    <w:name w:val="바닥글 Char"/>
    <w:link w:val="a6"/>
    <w:uiPriority w:val="99"/>
    <w:rsid w:val="00296A74"/>
    <w:rPr>
      <w:rFonts w:ascii="Times New Roman" w:eastAsia="SimSun" w:hAnsi="Times New Roman" w:cs="Times New Roman"/>
      <w:lang w:val="en-GB" w:eastAsia="zh-CN"/>
    </w:rPr>
  </w:style>
  <w:style w:type="paragraph" w:styleId="a7">
    <w:name w:val="Title"/>
    <w:basedOn w:val="a0"/>
    <w:next w:val="a0"/>
    <w:link w:val="Char2"/>
    <w:uiPriority w:val="10"/>
    <w:qFormat/>
    <w:rsid w:val="00594EA7"/>
    <w:pPr>
      <w:contextualSpacing/>
    </w:pPr>
    <w:rPr>
      <w:rFonts w:ascii="Cambria" w:hAnsi="Cambria"/>
      <w:spacing w:val="-10"/>
      <w:kern w:val="28"/>
      <w:sz w:val="56"/>
      <w:szCs w:val="56"/>
    </w:rPr>
  </w:style>
  <w:style w:type="character" w:customStyle="1" w:styleId="Char2">
    <w:name w:val="제목 Char"/>
    <w:link w:val="a7"/>
    <w:uiPriority w:val="10"/>
    <w:rsid w:val="00594EA7"/>
    <w:rPr>
      <w:rFonts w:ascii="Cambria" w:eastAsia="SimSun" w:hAnsi="Cambria" w:cs="Times New Roman"/>
      <w:spacing w:val="-10"/>
      <w:kern w:val="28"/>
      <w:sz w:val="56"/>
      <w:szCs w:val="56"/>
      <w:lang w:val="en-GB" w:eastAsia="zh-CN"/>
    </w:rPr>
  </w:style>
  <w:style w:type="paragraph" w:customStyle="1" w:styleId="TitleA">
    <w:name w:val="Title A"/>
    <w:basedOn w:val="a7"/>
    <w:qFormat/>
    <w:rsid w:val="00594EA7"/>
    <w:pPr>
      <w:jc w:val="center"/>
      <w:outlineLvl w:val="0"/>
    </w:pPr>
    <w:rPr>
      <w:rFonts w:ascii="Times New Roman" w:hAnsi="Times New Roman"/>
      <w:b/>
      <w:spacing w:val="0"/>
      <w:sz w:val="22"/>
      <w:lang w:val="cs-CZ"/>
    </w:rPr>
  </w:style>
  <w:style w:type="character" w:customStyle="1" w:styleId="Char">
    <w:name w:val="본문 Char"/>
    <w:link w:val="a4"/>
    <w:rsid w:val="00C119F3"/>
    <w:rPr>
      <w:rFonts w:ascii="Times New Roman" w:eastAsia="Times New Roman" w:hAnsi="Times New Roman" w:cs="Times New Roman"/>
      <w:lang w:val="fi-FI"/>
    </w:rPr>
  </w:style>
  <w:style w:type="character" w:styleId="a8">
    <w:name w:val="annotation reference"/>
    <w:uiPriority w:val="99"/>
    <w:semiHidden/>
    <w:unhideWhenUsed/>
    <w:rsid w:val="00E456A9"/>
    <w:rPr>
      <w:sz w:val="16"/>
      <w:szCs w:val="16"/>
    </w:rPr>
  </w:style>
  <w:style w:type="paragraph" w:styleId="a9">
    <w:name w:val="annotation text"/>
    <w:basedOn w:val="a0"/>
    <w:link w:val="Char3"/>
    <w:uiPriority w:val="99"/>
    <w:unhideWhenUsed/>
    <w:rsid w:val="00E456A9"/>
    <w:rPr>
      <w:sz w:val="20"/>
      <w:szCs w:val="20"/>
    </w:rPr>
  </w:style>
  <w:style w:type="character" w:customStyle="1" w:styleId="Char3">
    <w:name w:val="메모 텍스트 Char"/>
    <w:link w:val="a9"/>
    <w:uiPriority w:val="99"/>
    <w:rsid w:val="00E456A9"/>
    <w:rPr>
      <w:rFonts w:ascii="Times New Roman" w:eastAsia="SimSun" w:hAnsi="Times New Roman" w:cs="Times New Roman"/>
      <w:sz w:val="20"/>
      <w:szCs w:val="20"/>
      <w:lang w:val="en-GB" w:eastAsia="zh-CN"/>
    </w:rPr>
  </w:style>
  <w:style w:type="paragraph" w:styleId="aa">
    <w:name w:val="annotation subject"/>
    <w:basedOn w:val="a9"/>
    <w:next w:val="a9"/>
    <w:link w:val="Char4"/>
    <w:uiPriority w:val="99"/>
    <w:semiHidden/>
    <w:unhideWhenUsed/>
    <w:rsid w:val="00E456A9"/>
    <w:rPr>
      <w:b/>
      <w:bCs/>
    </w:rPr>
  </w:style>
  <w:style w:type="character" w:customStyle="1" w:styleId="Char4">
    <w:name w:val="메모 주제 Char"/>
    <w:link w:val="aa"/>
    <w:uiPriority w:val="99"/>
    <w:semiHidden/>
    <w:rsid w:val="00E456A9"/>
    <w:rPr>
      <w:rFonts w:ascii="Times New Roman" w:eastAsia="SimSun" w:hAnsi="Times New Roman" w:cs="Times New Roman"/>
      <w:b/>
      <w:bCs/>
      <w:sz w:val="20"/>
      <w:szCs w:val="20"/>
      <w:lang w:val="en-GB" w:eastAsia="zh-CN"/>
    </w:rPr>
  </w:style>
  <w:style w:type="paragraph" w:customStyle="1" w:styleId="TitleB">
    <w:name w:val="Title B"/>
    <w:basedOn w:val="a0"/>
    <w:qFormat/>
    <w:rsid w:val="008B2BB7"/>
    <w:pPr>
      <w:keepNext/>
      <w:ind w:left="567" w:hanging="567"/>
      <w:outlineLvl w:val="0"/>
    </w:pPr>
    <w:rPr>
      <w:b/>
      <w:lang w:val="en-US"/>
    </w:rPr>
  </w:style>
  <w:style w:type="table" w:styleId="ab">
    <w:name w:val="Table Grid"/>
    <w:basedOn w:val="a2"/>
    <w:uiPriority w:val="39"/>
    <w:rsid w:val="00615DE1"/>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a0"/>
    <w:uiPriority w:val="1"/>
    <w:qFormat/>
    <w:rsid w:val="00920FF7"/>
    <w:pPr>
      <w:ind w:left="1418" w:hanging="1418"/>
    </w:pPr>
    <w:rPr>
      <w:i/>
    </w:rPr>
  </w:style>
  <w:style w:type="paragraph" w:styleId="ac">
    <w:name w:val="Revision"/>
    <w:hidden/>
    <w:uiPriority w:val="99"/>
    <w:semiHidden/>
    <w:rsid w:val="00CE70D0"/>
    <w:rPr>
      <w:rFonts w:ascii="Times New Roman" w:eastAsia="SimSun" w:hAnsi="Times New Roman" w:cs="Times New Roman"/>
      <w:sz w:val="22"/>
      <w:szCs w:val="22"/>
      <w:lang w:val="en-GB" w:eastAsia="zh-CN"/>
    </w:rPr>
  </w:style>
  <w:style w:type="character" w:styleId="ad">
    <w:name w:val="Hyperlink"/>
    <w:uiPriority w:val="99"/>
    <w:rsid w:val="00525031"/>
    <w:rPr>
      <w:rFonts w:cs="Times New Roman"/>
      <w:color w:val="0000FF"/>
      <w:u w:val="single"/>
    </w:rPr>
  </w:style>
  <w:style w:type="character" w:customStyle="1" w:styleId="10">
    <w:name w:val="확인되지 않은 멘션1"/>
    <w:uiPriority w:val="99"/>
    <w:semiHidden/>
    <w:unhideWhenUsed/>
    <w:rsid w:val="00F47BBA"/>
    <w:rPr>
      <w:color w:val="605E5C"/>
      <w:shd w:val="clear" w:color="auto" w:fill="E1DFDD"/>
    </w:rPr>
  </w:style>
  <w:style w:type="paragraph" w:customStyle="1" w:styleId="Default">
    <w:name w:val="Default"/>
    <w:rsid w:val="00C05DD7"/>
    <w:pPr>
      <w:widowControl w:val="0"/>
      <w:autoSpaceDE w:val="0"/>
      <w:autoSpaceDN w:val="0"/>
      <w:adjustRightInd w:val="0"/>
    </w:pPr>
    <w:rPr>
      <w:rFonts w:ascii="Arial" w:eastAsia="DengXian" w:hAnsi="Arial"/>
      <w:color w:val="000000"/>
      <w:sz w:val="24"/>
      <w:szCs w:val="24"/>
      <w:lang w:eastAsia="en-US"/>
    </w:rPr>
  </w:style>
  <w:style w:type="paragraph" w:customStyle="1" w:styleId="StyleArialNarrow8pts">
    <w:name w:val="_Style Arial Narrow 8 pts"/>
    <w:basedOn w:val="a0"/>
    <w:qFormat/>
    <w:rsid w:val="00C05DD7"/>
    <w:pPr>
      <w:tabs>
        <w:tab w:val="left" w:pos="567"/>
      </w:tabs>
    </w:pPr>
    <w:rPr>
      <w:rFonts w:ascii="Arial Narrow" w:eastAsia="PMingLiU" w:hAnsi="Arial Narrow"/>
      <w:sz w:val="16"/>
      <w:szCs w:val="16"/>
      <w:lang w:val="es-ES" w:eastAsia="en-US"/>
    </w:rPr>
  </w:style>
  <w:style w:type="character" w:customStyle="1" w:styleId="1Char">
    <w:name w:val="제목 1 Char"/>
    <w:link w:val="1"/>
    <w:uiPriority w:val="9"/>
    <w:rsid w:val="004440FA"/>
    <w:rPr>
      <w:rFonts w:ascii="Times New Roman" w:eastAsia="Times New Roman" w:hAnsi="Times New Roman" w:cs="Times New Roman"/>
      <w:b/>
      <w:bCs/>
      <w:sz w:val="22"/>
      <w:szCs w:val="22"/>
      <w:lang w:eastAsia="en-US"/>
    </w:rPr>
  </w:style>
  <w:style w:type="character" w:customStyle="1" w:styleId="cf01">
    <w:name w:val="cf01"/>
    <w:rsid w:val="00347F1E"/>
    <w:rPr>
      <w:rFonts w:ascii="Segoe UI" w:hAnsi="Segoe UI" w:cs="Segoe UI" w:hint="default"/>
      <w:sz w:val="18"/>
      <w:szCs w:val="18"/>
    </w:rPr>
  </w:style>
  <w:style w:type="paragraph" w:styleId="ae">
    <w:name w:val="Balloon Text"/>
    <w:basedOn w:val="a0"/>
    <w:link w:val="Char5"/>
    <w:uiPriority w:val="99"/>
    <w:semiHidden/>
    <w:unhideWhenUsed/>
    <w:rsid w:val="000E459A"/>
    <w:rPr>
      <w:rFonts w:asciiTheme="majorHAnsi" w:eastAsiaTheme="majorEastAsia" w:hAnsiTheme="majorHAnsi" w:cstheme="majorBidi"/>
      <w:sz w:val="18"/>
      <w:szCs w:val="18"/>
    </w:rPr>
  </w:style>
  <w:style w:type="character" w:customStyle="1" w:styleId="Char5">
    <w:name w:val="풍선 도움말 텍스트 Char"/>
    <w:basedOn w:val="a1"/>
    <w:link w:val="ae"/>
    <w:uiPriority w:val="99"/>
    <w:semiHidden/>
    <w:rsid w:val="000E459A"/>
    <w:rPr>
      <w:rFonts w:asciiTheme="majorHAnsi" w:eastAsiaTheme="majorEastAsia" w:hAnsiTheme="majorHAnsi" w:cstheme="majorBidi"/>
      <w:sz w:val="18"/>
      <w:szCs w:val="18"/>
      <w:lang w:val="en-GB" w:eastAsia="zh-CN"/>
    </w:rPr>
  </w:style>
  <w:style w:type="character" w:styleId="af">
    <w:name w:val="Unresolved Mention"/>
    <w:basedOn w:val="a1"/>
    <w:uiPriority w:val="99"/>
    <w:semiHidden/>
    <w:unhideWhenUsed/>
    <w:rsid w:val="00E37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80310">
      <w:bodyDiv w:val="1"/>
      <w:marLeft w:val="0"/>
      <w:marRight w:val="0"/>
      <w:marTop w:val="0"/>
      <w:marBottom w:val="0"/>
      <w:divBdr>
        <w:top w:val="none" w:sz="0" w:space="0" w:color="auto"/>
        <w:left w:val="none" w:sz="0" w:space="0" w:color="auto"/>
        <w:bottom w:val="none" w:sz="0" w:space="0" w:color="auto"/>
        <w:right w:val="none" w:sz="0" w:space="0" w:color="auto"/>
      </w:divBdr>
    </w:div>
    <w:div w:id="1445033666">
      <w:bodyDiv w:val="1"/>
      <w:marLeft w:val="0"/>
      <w:marRight w:val="0"/>
      <w:marTop w:val="0"/>
      <w:marBottom w:val="0"/>
      <w:divBdr>
        <w:top w:val="none" w:sz="0" w:space="0" w:color="auto"/>
        <w:left w:val="none" w:sz="0" w:space="0" w:color="auto"/>
        <w:bottom w:val="none" w:sz="0" w:space="0" w:color="auto"/>
        <w:right w:val="none" w:sz="0" w:space="0" w:color="auto"/>
      </w:divBdr>
    </w:div>
    <w:div w:id="1511095954">
      <w:bodyDiv w:val="1"/>
      <w:marLeft w:val="0"/>
      <w:marRight w:val="0"/>
      <w:marTop w:val="0"/>
      <w:marBottom w:val="0"/>
      <w:divBdr>
        <w:top w:val="none" w:sz="0" w:space="0" w:color="auto"/>
        <w:left w:val="none" w:sz="0" w:space="0" w:color="auto"/>
        <w:bottom w:val="none" w:sz="0" w:space="0" w:color="auto"/>
        <w:right w:val="none" w:sz="0" w:space="0" w:color="auto"/>
      </w:divBdr>
    </w:div>
    <w:div w:id="1519850132">
      <w:bodyDiv w:val="1"/>
      <w:marLeft w:val="0"/>
      <w:marRight w:val="0"/>
      <w:marTop w:val="0"/>
      <w:marBottom w:val="0"/>
      <w:divBdr>
        <w:top w:val="none" w:sz="0" w:space="0" w:color="auto"/>
        <w:left w:val="none" w:sz="0" w:space="0" w:color="auto"/>
        <w:bottom w:val="none" w:sz="0" w:space="0" w:color="auto"/>
        <w:right w:val="none" w:sz="0" w:space="0" w:color="auto"/>
      </w:divBdr>
    </w:div>
    <w:div w:id="1600018431">
      <w:bodyDiv w:val="1"/>
      <w:marLeft w:val="0"/>
      <w:marRight w:val="0"/>
      <w:marTop w:val="0"/>
      <w:marBottom w:val="0"/>
      <w:divBdr>
        <w:top w:val="none" w:sz="0" w:space="0" w:color="auto"/>
        <w:left w:val="none" w:sz="0" w:space="0" w:color="auto"/>
        <w:bottom w:val="none" w:sz="0" w:space="0" w:color="auto"/>
        <w:right w:val="none" w:sz="0" w:space="0" w:color="auto"/>
      </w:divBdr>
    </w:div>
    <w:div w:id="1727339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mailto:NLinfo@celltrionhc.com" TargetMode="External"/><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hyperlink" Target="mailto:BEinfo@celltrionhc.com"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hyperlink" Target="https://www.ema.europa.e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mailto:NLinfo@celltrionhc.com" TargetMode="External"/><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mailto:BEinfo@celltrionhc.com" TargetMode="External"/><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EMADOC-1700519818-2467751</_dlc_DocId>
    <_dlc_DocIdUrl xmlns="a034c160-bfb7-45f5-8632-2eb7e0508071">
      <Url>https://euema.sharepoint.com/sites/CRM/_layouts/15/DocIdRedir.aspx?ID=EMADOC-1700519818-2467751</Url>
      <Description>EMADOC-1700519818-2467751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9D958C-10C2-4990-82C8-AB2DEA17E7F7}"/>
</file>

<file path=customXml/itemProps2.xml><?xml version="1.0" encoding="utf-8"?>
<ds:datastoreItem xmlns:ds="http://schemas.openxmlformats.org/officeDocument/2006/customXml" ds:itemID="{19AF412F-98EA-4EAA-80DF-6568666B8826}">
  <ds:schemaRefs>
    <ds:schemaRef ds:uri="http://schemas.microsoft.com/sharepoint/v3/contenttype/forms"/>
  </ds:schemaRefs>
</ds:datastoreItem>
</file>

<file path=customXml/itemProps3.xml><?xml version="1.0" encoding="utf-8"?>
<ds:datastoreItem xmlns:ds="http://schemas.openxmlformats.org/officeDocument/2006/customXml" ds:itemID="{5560155E-7C9D-426B-B330-442A169DE51B}">
  <ds:schemaRefs>
    <ds:schemaRef ds:uri="http://schemas.openxmlformats.org/officeDocument/2006/bibliography"/>
  </ds:schemaRefs>
</ds:datastoreItem>
</file>

<file path=customXml/itemProps4.xml><?xml version="1.0" encoding="utf-8"?>
<ds:datastoreItem xmlns:ds="http://schemas.openxmlformats.org/officeDocument/2006/customXml" ds:itemID="{49208DCB-71B9-4E99-843A-3D68AC646F25}">
  <ds:schemaRefs>
    <ds:schemaRef ds:uri="http://schemas.microsoft.com/office/2006/metadata/properties"/>
    <ds:schemaRef ds:uri="http://schemas.microsoft.com/office/infopath/2007/PartnerControls"/>
    <ds:schemaRef ds:uri="a4d64e8f-e33f-435d-981f-c49545ae15b0"/>
    <ds:schemaRef ds:uri="e1eef876-2644-4dc2-b8ea-c736ac46ca54"/>
  </ds:schemaRefs>
</ds:datastoreItem>
</file>

<file path=customXml/itemProps5.xml><?xml version="1.0" encoding="utf-8"?>
<ds:datastoreItem xmlns:ds="http://schemas.openxmlformats.org/officeDocument/2006/customXml" ds:itemID="{B6105340-4992-4C45-9241-AFE7F8A89B99}"/>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183</Pages>
  <Words>64974</Words>
  <Characters>384651</Characters>
  <Application>Microsoft Office Word</Application>
  <DocSecurity>0</DocSecurity>
  <Lines>24040</Lines>
  <Paragraphs>15504</Paragraphs>
  <ScaleCrop>false</ScaleCrop>
  <HeadingPairs>
    <vt:vector size="2" baseType="variant">
      <vt:variant>
        <vt:lpstr>제목</vt:lpstr>
      </vt:variant>
      <vt:variant>
        <vt:i4>1</vt:i4>
      </vt:variant>
    </vt:vector>
  </HeadingPairs>
  <TitlesOfParts>
    <vt:vector size="1" baseType="lpstr">
      <vt:lpstr>Avtozma, INN-tocilizumab</vt:lpstr>
    </vt:vector>
  </TitlesOfParts>
  <Manager/>
  <Company/>
  <LinksUpToDate>false</LinksUpToDate>
  <CharactersWithSpaces>434121</CharactersWithSpaces>
  <SharedDoc>false</SharedDoc>
  <HLinks>
    <vt:vector size="120" baseType="variant">
      <vt:variant>
        <vt:i4>1245197</vt:i4>
      </vt:variant>
      <vt:variant>
        <vt:i4>57</vt:i4>
      </vt:variant>
      <vt:variant>
        <vt:i4>0</vt:i4>
      </vt:variant>
      <vt:variant>
        <vt:i4>5</vt:i4>
      </vt:variant>
      <vt:variant>
        <vt:lpwstr>http://www.ema.europa.eu/</vt:lpwstr>
      </vt:variant>
      <vt:variant>
        <vt:lpwstr/>
      </vt:variant>
      <vt:variant>
        <vt:i4>8257627</vt:i4>
      </vt:variant>
      <vt:variant>
        <vt:i4>54</vt:i4>
      </vt:variant>
      <vt:variant>
        <vt:i4>0</vt:i4>
      </vt:variant>
      <vt:variant>
        <vt:i4>5</vt:i4>
      </vt:variant>
      <vt:variant>
        <vt:lpwstr>mailto:NLinfo@celltrionhc.com</vt:lpwstr>
      </vt:variant>
      <vt:variant>
        <vt:lpwstr/>
      </vt:variant>
      <vt:variant>
        <vt:i4>7602258</vt:i4>
      </vt:variant>
      <vt:variant>
        <vt:i4>51</vt:i4>
      </vt:variant>
      <vt:variant>
        <vt:i4>0</vt:i4>
      </vt:variant>
      <vt:variant>
        <vt:i4>5</vt:i4>
      </vt:variant>
      <vt:variant>
        <vt:lpwstr>mailto:infoDE@celltrionhc.com</vt:lpwstr>
      </vt:variant>
      <vt:variant>
        <vt:lpwstr/>
      </vt:variant>
      <vt:variant>
        <vt:i4>7471186</vt:i4>
      </vt:variant>
      <vt:variant>
        <vt:i4>48</vt:i4>
      </vt:variant>
      <vt:variant>
        <vt:i4>0</vt:i4>
      </vt:variant>
      <vt:variant>
        <vt:i4>5</vt:i4>
      </vt:variant>
      <vt:variant>
        <vt:lpwstr>mailto:BEinfo@celltrionhc.com</vt:lpwstr>
      </vt:variant>
      <vt:variant>
        <vt:lpwstr/>
      </vt:variant>
      <vt:variant>
        <vt:i4>7471186</vt:i4>
      </vt:variant>
      <vt:variant>
        <vt:i4>45</vt:i4>
      </vt:variant>
      <vt:variant>
        <vt:i4>0</vt:i4>
      </vt:variant>
      <vt:variant>
        <vt:i4>5</vt:i4>
      </vt:variant>
      <vt:variant>
        <vt:lpwstr>mailto:BEinfo@celltrionhc.com</vt:lpwstr>
      </vt:variant>
      <vt:variant>
        <vt:lpwstr/>
      </vt:variant>
      <vt:variant>
        <vt:i4>2490456</vt:i4>
      </vt:variant>
      <vt:variant>
        <vt:i4>42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39</vt:i4>
      </vt:variant>
      <vt:variant>
        <vt:i4>0</vt:i4>
      </vt:variant>
      <vt:variant>
        <vt:i4>5</vt:i4>
      </vt:variant>
      <vt:variant>
        <vt:lpwstr>http://www.ema.europa.eu/</vt:lpwstr>
      </vt:variant>
      <vt:variant>
        <vt:lpwstr/>
      </vt:variant>
      <vt:variant>
        <vt:i4>8257627</vt:i4>
      </vt:variant>
      <vt:variant>
        <vt:i4>36</vt:i4>
      </vt:variant>
      <vt:variant>
        <vt:i4>0</vt:i4>
      </vt:variant>
      <vt:variant>
        <vt:i4>5</vt:i4>
      </vt:variant>
      <vt:variant>
        <vt:lpwstr>mailto:NLinfo@celltrionhc.com</vt:lpwstr>
      </vt:variant>
      <vt:variant>
        <vt:lpwstr/>
      </vt:variant>
      <vt:variant>
        <vt:i4>2490456</vt:i4>
      </vt:variant>
      <vt:variant>
        <vt:i4>33</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30</vt:i4>
      </vt:variant>
      <vt:variant>
        <vt:i4>0</vt:i4>
      </vt:variant>
      <vt:variant>
        <vt:i4>5</vt:i4>
      </vt:variant>
      <vt:variant>
        <vt:lpwstr>http://www.ema.europa.eu/</vt:lpwstr>
      </vt:variant>
      <vt:variant>
        <vt:lpwstr/>
      </vt:variant>
      <vt:variant>
        <vt:i4>2490456</vt:i4>
      </vt:variant>
      <vt:variant>
        <vt:i4>27</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24</vt:i4>
      </vt:variant>
      <vt:variant>
        <vt:i4>0</vt:i4>
      </vt:variant>
      <vt:variant>
        <vt:i4>5</vt:i4>
      </vt:variant>
      <vt:variant>
        <vt:lpwstr>http://www.ema.europa.eu/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2490456</vt:i4>
      </vt:variant>
      <vt:variant>
        <vt:i4>9</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dc:description/>
  <cp:lastModifiedBy/>
  <cp:revision>1</cp:revision>
  <dcterms:created xsi:type="dcterms:W3CDTF">2025-07-11T12:15:00Z</dcterms:created>
  <dcterms:modified xsi:type="dcterms:W3CDTF">2025-08-27T06:18:00Z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1b441840-9eab-4988-a753-0f2948908557</vt:lpwstr>
  </property>
  <property fmtid="{D5CDD505-2E9C-101B-9397-08002B2CF9AE}" pid="4" name="MediaServiceImageTags">
    <vt:lpwstr/>
  </property>
</Properties>
</file>